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79EB4" w14:textId="77777777" w:rsidR="003A11FB" w:rsidRPr="00743B64" w:rsidRDefault="003A11FB" w:rsidP="003A11FB">
      <w:pPr>
        <w:jc w:val="center"/>
        <w:rPr>
          <w:sz w:val="24"/>
          <w:szCs w:val="24"/>
        </w:rPr>
      </w:pPr>
    </w:p>
    <w:p w14:paraId="46A03EC6" w14:textId="77777777" w:rsidR="003A11FB" w:rsidRDefault="003A11FB" w:rsidP="003A11FB">
      <w:pPr>
        <w:rPr>
          <w:sz w:val="24"/>
          <w:szCs w:val="24"/>
        </w:rPr>
      </w:pPr>
    </w:p>
    <w:p w14:paraId="0C95148A" w14:textId="77777777" w:rsidR="00743B64" w:rsidRPr="00743B64" w:rsidRDefault="00743B64" w:rsidP="003A11FB">
      <w:pPr>
        <w:rPr>
          <w:sz w:val="24"/>
          <w:szCs w:val="24"/>
        </w:rPr>
      </w:pPr>
    </w:p>
    <w:p w14:paraId="4E41A71B" w14:textId="77777777" w:rsidR="003A11FB" w:rsidRPr="0040443B" w:rsidRDefault="003A11FB" w:rsidP="001A4067">
      <w:pPr>
        <w:rPr>
          <w:b/>
          <w:bCs/>
          <w:sz w:val="60"/>
          <w:szCs w:val="60"/>
        </w:rPr>
      </w:pPr>
      <w:bookmarkStart w:id="0" w:name="_Toc184720156"/>
      <w:bookmarkStart w:id="1" w:name="_Toc187464283"/>
      <w:r w:rsidRPr="0040443B">
        <w:rPr>
          <w:b/>
          <w:bCs/>
          <w:sz w:val="60"/>
          <w:szCs w:val="60"/>
        </w:rPr>
        <w:t>RECHTSPOSITIEREGELING VOOR HET GEMEENTE</w:t>
      </w:r>
      <w:r w:rsidR="00832F4C" w:rsidRPr="0040443B">
        <w:rPr>
          <w:b/>
          <w:bCs/>
          <w:sz w:val="60"/>
          <w:szCs w:val="60"/>
        </w:rPr>
        <w:t>- en OCMW-</w:t>
      </w:r>
      <w:r w:rsidRPr="0040443B">
        <w:rPr>
          <w:b/>
          <w:bCs/>
          <w:sz w:val="60"/>
          <w:szCs w:val="60"/>
        </w:rPr>
        <w:t>PERSONEEL</w:t>
      </w:r>
      <w:bookmarkEnd w:id="0"/>
      <w:bookmarkEnd w:id="1"/>
    </w:p>
    <w:p w14:paraId="47B4A0C2" w14:textId="77777777" w:rsidR="003A11FB" w:rsidRDefault="003A11FB" w:rsidP="003A11FB"/>
    <w:p w14:paraId="7788062B" w14:textId="77777777" w:rsidR="003A11FB" w:rsidRDefault="003A11FB" w:rsidP="003A11FB">
      <w:pPr>
        <w:rPr>
          <w:sz w:val="40"/>
        </w:rPr>
      </w:pPr>
    </w:p>
    <w:p w14:paraId="38619BB4" w14:textId="53C1B8F7" w:rsidR="003A11FB" w:rsidRPr="00044301" w:rsidRDefault="007B22EA" w:rsidP="007B22EA">
      <w:pPr>
        <w:jc w:val="left"/>
      </w:pPr>
      <w:r>
        <w:t xml:space="preserve">De gecoördineerde versie van deze </w:t>
      </w:r>
      <w:r w:rsidR="00565ACF">
        <w:t>RPR, goedgekeurd in de gemeente- en OCMW</w:t>
      </w:r>
      <w:r w:rsidR="00C418DD">
        <w:t>-</w:t>
      </w:r>
      <w:r w:rsidR="00565ACF">
        <w:t xml:space="preserve">raad </w:t>
      </w:r>
      <w:r>
        <w:t xml:space="preserve">van </w:t>
      </w:r>
    </w:p>
    <w:p w14:paraId="139F1A71" w14:textId="76E26642" w:rsidR="003346E6" w:rsidRPr="00044301" w:rsidRDefault="007B22EA" w:rsidP="009D4C40">
      <w:pPr>
        <w:numPr>
          <w:ilvl w:val="0"/>
          <w:numId w:val="43"/>
        </w:numPr>
        <w:jc w:val="left"/>
      </w:pPr>
      <w:r w:rsidRPr="3D49E98B">
        <w:t>is va</w:t>
      </w:r>
      <w:r w:rsidR="00481835" w:rsidRPr="3D49E98B">
        <w:t xml:space="preserve">n toepassing met ingang van </w:t>
      </w:r>
      <w:r w:rsidR="1C2672EE" w:rsidRPr="3D49E98B">
        <w:t>01</w:t>
      </w:r>
      <w:r w:rsidR="00481835" w:rsidRPr="3D49E98B">
        <w:t>/</w:t>
      </w:r>
      <w:r w:rsidR="002E7875">
        <w:t>1</w:t>
      </w:r>
      <w:r w:rsidRPr="3D49E98B">
        <w:t>/20</w:t>
      </w:r>
      <w:r w:rsidR="00565ACF" w:rsidRPr="3D49E98B">
        <w:t>2</w:t>
      </w:r>
      <w:r w:rsidR="002E7875">
        <w:t>6</w:t>
      </w:r>
    </w:p>
    <w:p w14:paraId="59C6108E" w14:textId="6712BCC3" w:rsidR="001270D7" w:rsidRDefault="00594AD4" w:rsidP="009D4C40">
      <w:pPr>
        <w:numPr>
          <w:ilvl w:val="0"/>
          <w:numId w:val="43"/>
        </w:numPr>
        <w:jc w:val="left"/>
      </w:pPr>
      <w:r>
        <w:t xml:space="preserve">vervangt </w:t>
      </w:r>
      <w:r w:rsidR="00695C0D">
        <w:t>alle voorgaande</w:t>
      </w:r>
      <w:r>
        <w:t xml:space="preserve"> RPR-versie</w:t>
      </w:r>
      <w:r w:rsidR="00695C0D">
        <w:t>s.</w:t>
      </w:r>
    </w:p>
    <w:p w14:paraId="34DF75B0" w14:textId="77777777" w:rsidR="009329AE" w:rsidRDefault="009329AE" w:rsidP="009329AE">
      <w:pPr>
        <w:ind w:left="1211"/>
        <w:jc w:val="left"/>
      </w:pPr>
    </w:p>
    <w:p w14:paraId="66C75C96" w14:textId="77777777" w:rsidR="009329AE" w:rsidRDefault="009329AE" w:rsidP="009329AE">
      <w:pPr>
        <w:ind w:left="1211"/>
        <w:jc w:val="left"/>
      </w:pPr>
    </w:p>
    <w:p w14:paraId="26B5D70B" w14:textId="77777777" w:rsidR="009329AE" w:rsidRDefault="009329AE" w:rsidP="009329AE">
      <w:pPr>
        <w:ind w:left="1211"/>
        <w:jc w:val="left"/>
      </w:pPr>
    </w:p>
    <w:p w14:paraId="20A139E3" w14:textId="77777777" w:rsidR="009329AE" w:rsidRDefault="009329AE" w:rsidP="009329AE">
      <w:pPr>
        <w:ind w:left="1211"/>
        <w:jc w:val="left"/>
      </w:pPr>
    </w:p>
    <w:p w14:paraId="189C189A" w14:textId="77777777" w:rsidR="009329AE" w:rsidRDefault="009329AE" w:rsidP="009329AE">
      <w:pPr>
        <w:ind w:left="1211"/>
        <w:jc w:val="left"/>
      </w:pPr>
    </w:p>
    <w:p w14:paraId="41E9C181" w14:textId="77777777" w:rsidR="009329AE" w:rsidRDefault="009329AE" w:rsidP="009329AE">
      <w:pPr>
        <w:ind w:left="1211"/>
        <w:jc w:val="left"/>
      </w:pPr>
    </w:p>
    <w:p w14:paraId="12136EA6" w14:textId="77777777" w:rsidR="009329AE" w:rsidRDefault="009329AE" w:rsidP="009329AE">
      <w:pPr>
        <w:ind w:left="1211"/>
        <w:jc w:val="left"/>
      </w:pPr>
    </w:p>
    <w:p w14:paraId="2856C11B" w14:textId="77777777" w:rsidR="009329AE" w:rsidRDefault="009329AE" w:rsidP="009329AE">
      <w:pPr>
        <w:ind w:left="1211"/>
        <w:jc w:val="left"/>
      </w:pPr>
    </w:p>
    <w:p w14:paraId="251EA2D0" w14:textId="77777777" w:rsidR="009329AE" w:rsidRDefault="009329AE" w:rsidP="009329AE">
      <w:pPr>
        <w:ind w:left="1211"/>
        <w:jc w:val="left"/>
      </w:pPr>
    </w:p>
    <w:p w14:paraId="20D322DF" w14:textId="77777777" w:rsidR="009329AE" w:rsidRDefault="009329AE" w:rsidP="009329AE">
      <w:pPr>
        <w:ind w:left="1211"/>
        <w:jc w:val="left"/>
      </w:pPr>
    </w:p>
    <w:p w14:paraId="5A64805A" w14:textId="77777777" w:rsidR="009329AE" w:rsidRDefault="009329AE" w:rsidP="009329AE">
      <w:pPr>
        <w:ind w:left="1211"/>
        <w:jc w:val="left"/>
      </w:pPr>
    </w:p>
    <w:p w14:paraId="0AA237A1" w14:textId="77777777" w:rsidR="009329AE" w:rsidRDefault="009329AE" w:rsidP="009329AE">
      <w:pPr>
        <w:ind w:left="1211"/>
        <w:jc w:val="left"/>
      </w:pPr>
    </w:p>
    <w:p w14:paraId="40C7DD94" w14:textId="77777777" w:rsidR="009329AE" w:rsidRDefault="009329AE" w:rsidP="009329AE">
      <w:pPr>
        <w:ind w:left="0"/>
        <w:jc w:val="left"/>
      </w:pPr>
    </w:p>
    <w:p w14:paraId="3B16ABD6" w14:textId="6FCB0050" w:rsidR="009329AE" w:rsidRDefault="009329AE" w:rsidP="009329AE">
      <w:pPr>
        <w:ind w:left="1211"/>
        <w:jc w:val="left"/>
      </w:pPr>
      <w:r w:rsidRPr="000D65C6">
        <w:rPr>
          <w:rFonts w:ascii="Times New Roman" w:hAnsi="Times New Roman"/>
          <w:noProof/>
          <w:sz w:val="24"/>
          <w:szCs w:val="24"/>
          <w:lang w:val="nl-BE" w:eastAsia="nl-BE"/>
        </w:rPr>
        <w:drawing>
          <wp:inline distT="0" distB="0" distL="0" distR="0" wp14:anchorId="59D7F984" wp14:editId="4D8C31EA">
            <wp:extent cx="2333625" cy="902997"/>
            <wp:effectExtent l="0" t="0" r="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3707" cy="906898"/>
                    </a:xfrm>
                    <a:prstGeom prst="rect">
                      <a:avLst/>
                    </a:prstGeom>
                    <a:noFill/>
                    <a:ln>
                      <a:noFill/>
                    </a:ln>
                  </pic:spPr>
                </pic:pic>
              </a:graphicData>
            </a:graphic>
          </wp:inline>
        </w:drawing>
      </w:r>
    </w:p>
    <w:p w14:paraId="106205BF" w14:textId="77777777" w:rsidR="001270D7" w:rsidRDefault="001270D7">
      <w:pPr>
        <w:spacing w:before="0" w:after="0"/>
        <w:ind w:left="0"/>
        <w:jc w:val="left"/>
      </w:pPr>
      <w:r>
        <w:br w:type="page"/>
      </w:r>
    </w:p>
    <w:sdt>
      <w:sdtPr>
        <w:rPr>
          <w:rFonts w:ascii="Arial" w:hAnsi="Arial"/>
          <w:color w:val="auto"/>
          <w:sz w:val="20"/>
          <w:szCs w:val="20"/>
          <w:lang w:val="nl-NL" w:eastAsia="nl-NL"/>
        </w:rPr>
        <w:id w:val="-1662449244"/>
        <w:docPartObj>
          <w:docPartGallery w:val="Table of Contents"/>
          <w:docPartUnique/>
        </w:docPartObj>
      </w:sdtPr>
      <w:sdtEndPr>
        <w:rPr>
          <w:b/>
          <w:bCs/>
        </w:rPr>
      </w:sdtEndPr>
      <w:sdtContent>
        <w:p w14:paraId="0C17A7F3" w14:textId="6857C12C" w:rsidR="001A4067" w:rsidRDefault="001A4067">
          <w:pPr>
            <w:pStyle w:val="Kopvaninhoudsopgave"/>
          </w:pPr>
          <w:r>
            <w:rPr>
              <w:lang w:val="nl-NL"/>
            </w:rPr>
            <w:t>Inhoud</w:t>
          </w:r>
        </w:p>
        <w:p w14:paraId="7DC2A293" w14:textId="6AB88384" w:rsidR="002E7875" w:rsidRDefault="001A4067">
          <w:pPr>
            <w:pStyle w:val="Inhopg1"/>
            <w:rPr>
              <w:rFonts w:asciiTheme="minorHAnsi" w:eastAsiaTheme="minorEastAsia" w:hAnsiTheme="minorHAnsi" w:cstheme="minorBidi"/>
              <w:b w:val="0"/>
              <w:bCs w:val="0"/>
              <w:caps w:val="0"/>
              <w:kern w:val="2"/>
              <w:sz w:val="24"/>
              <w:szCs w:val="24"/>
              <w:lang w:val="nl-BE" w:eastAsia="nl-BE"/>
              <w14:ligatures w14:val="standardContextual"/>
            </w:rPr>
          </w:pPr>
          <w:r>
            <w:fldChar w:fldCharType="begin"/>
          </w:r>
          <w:r>
            <w:instrText xml:space="preserve"> TOC \o "1-3" \h \z \u </w:instrText>
          </w:r>
          <w:r>
            <w:fldChar w:fldCharType="separate"/>
          </w:r>
          <w:hyperlink w:anchor="_Toc215738934" w:history="1">
            <w:r w:rsidR="002E7875" w:rsidRPr="00AA38E6">
              <w:rPr>
                <w:rStyle w:val="Hyperlink"/>
              </w:rPr>
              <w:t>TITEL 1. TOEPASSINGSGEBIED EN ALGEMENE BEPALINGEN</w:t>
            </w:r>
            <w:r w:rsidR="002E7875">
              <w:rPr>
                <w:webHidden/>
              </w:rPr>
              <w:tab/>
            </w:r>
            <w:r w:rsidR="002E7875">
              <w:rPr>
                <w:webHidden/>
              </w:rPr>
              <w:fldChar w:fldCharType="begin"/>
            </w:r>
            <w:r w:rsidR="002E7875">
              <w:rPr>
                <w:webHidden/>
              </w:rPr>
              <w:instrText xml:space="preserve"> PAGEREF _Toc215738934 \h </w:instrText>
            </w:r>
            <w:r w:rsidR="002E7875">
              <w:rPr>
                <w:webHidden/>
              </w:rPr>
            </w:r>
            <w:r w:rsidR="002E7875">
              <w:rPr>
                <w:webHidden/>
              </w:rPr>
              <w:fldChar w:fldCharType="separate"/>
            </w:r>
            <w:r w:rsidR="002E7875">
              <w:rPr>
                <w:webHidden/>
              </w:rPr>
              <w:t>6</w:t>
            </w:r>
            <w:r w:rsidR="002E7875">
              <w:rPr>
                <w:webHidden/>
              </w:rPr>
              <w:fldChar w:fldCharType="end"/>
            </w:r>
          </w:hyperlink>
        </w:p>
        <w:p w14:paraId="2EE3DC83" w14:textId="12082CD0"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35" w:history="1">
            <w:r w:rsidRPr="00AA38E6">
              <w:rPr>
                <w:rStyle w:val="Hyperlink"/>
              </w:rPr>
              <w:t>Hoofdstuk I. Inleidende bepalingen</w:t>
            </w:r>
            <w:r>
              <w:rPr>
                <w:webHidden/>
              </w:rPr>
              <w:tab/>
            </w:r>
            <w:r>
              <w:rPr>
                <w:webHidden/>
              </w:rPr>
              <w:fldChar w:fldCharType="begin"/>
            </w:r>
            <w:r>
              <w:rPr>
                <w:webHidden/>
              </w:rPr>
              <w:instrText xml:space="preserve"> PAGEREF _Toc215738935 \h </w:instrText>
            </w:r>
            <w:r>
              <w:rPr>
                <w:webHidden/>
              </w:rPr>
            </w:r>
            <w:r>
              <w:rPr>
                <w:webHidden/>
              </w:rPr>
              <w:fldChar w:fldCharType="separate"/>
            </w:r>
            <w:r>
              <w:rPr>
                <w:webHidden/>
              </w:rPr>
              <w:t>6</w:t>
            </w:r>
            <w:r>
              <w:rPr>
                <w:webHidden/>
              </w:rPr>
              <w:fldChar w:fldCharType="end"/>
            </w:r>
          </w:hyperlink>
        </w:p>
        <w:p w14:paraId="768F51D9" w14:textId="037A4F3D" w:rsidR="002E7875" w:rsidRDefault="002E7875">
          <w:pPr>
            <w:pStyle w:val="Inhopg1"/>
            <w:rPr>
              <w:rFonts w:asciiTheme="minorHAnsi" w:eastAsiaTheme="minorEastAsia" w:hAnsiTheme="minorHAnsi" w:cstheme="minorBidi"/>
              <w:b w:val="0"/>
              <w:bCs w:val="0"/>
              <w:caps w:val="0"/>
              <w:kern w:val="2"/>
              <w:sz w:val="24"/>
              <w:szCs w:val="24"/>
              <w:lang w:val="nl-BE" w:eastAsia="nl-BE"/>
              <w14:ligatures w14:val="standardContextual"/>
            </w:rPr>
          </w:pPr>
          <w:hyperlink w:anchor="_Toc215738936" w:history="1">
            <w:r w:rsidRPr="00AA38E6">
              <w:rPr>
                <w:rStyle w:val="Hyperlink"/>
              </w:rPr>
              <w:t>TITEL 2. DE LOOPBAAN</w:t>
            </w:r>
            <w:r>
              <w:rPr>
                <w:webHidden/>
              </w:rPr>
              <w:tab/>
            </w:r>
            <w:r>
              <w:rPr>
                <w:webHidden/>
              </w:rPr>
              <w:fldChar w:fldCharType="begin"/>
            </w:r>
            <w:r>
              <w:rPr>
                <w:webHidden/>
              </w:rPr>
              <w:instrText xml:space="preserve"> PAGEREF _Toc215738936 \h </w:instrText>
            </w:r>
            <w:r>
              <w:rPr>
                <w:webHidden/>
              </w:rPr>
            </w:r>
            <w:r>
              <w:rPr>
                <w:webHidden/>
              </w:rPr>
              <w:fldChar w:fldCharType="separate"/>
            </w:r>
            <w:r>
              <w:rPr>
                <w:webHidden/>
              </w:rPr>
              <w:t>10</w:t>
            </w:r>
            <w:r>
              <w:rPr>
                <w:webHidden/>
              </w:rPr>
              <w:fldChar w:fldCharType="end"/>
            </w:r>
          </w:hyperlink>
        </w:p>
        <w:p w14:paraId="7343DDE0" w14:textId="273FAD90"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37" w:history="1">
            <w:r w:rsidRPr="00AA38E6">
              <w:rPr>
                <w:rStyle w:val="Hyperlink"/>
              </w:rPr>
              <w:t>Hoofdstuk I. graden</w:t>
            </w:r>
            <w:r>
              <w:rPr>
                <w:webHidden/>
              </w:rPr>
              <w:tab/>
            </w:r>
            <w:r>
              <w:rPr>
                <w:webHidden/>
              </w:rPr>
              <w:fldChar w:fldCharType="begin"/>
            </w:r>
            <w:r>
              <w:rPr>
                <w:webHidden/>
              </w:rPr>
              <w:instrText xml:space="preserve"> PAGEREF _Toc215738937 \h </w:instrText>
            </w:r>
            <w:r>
              <w:rPr>
                <w:webHidden/>
              </w:rPr>
            </w:r>
            <w:r>
              <w:rPr>
                <w:webHidden/>
              </w:rPr>
              <w:fldChar w:fldCharType="separate"/>
            </w:r>
            <w:r>
              <w:rPr>
                <w:webHidden/>
              </w:rPr>
              <w:t>10</w:t>
            </w:r>
            <w:r>
              <w:rPr>
                <w:webHidden/>
              </w:rPr>
              <w:fldChar w:fldCharType="end"/>
            </w:r>
          </w:hyperlink>
        </w:p>
        <w:p w14:paraId="0DA3D7E2" w14:textId="76D794E9"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38" w:history="1">
            <w:r w:rsidRPr="00AA38E6">
              <w:rPr>
                <w:rStyle w:val="Hyperlink"/>
              </w:rPr>
              <w:t>Hoofdstuk II. instroom</w:t>
            </w:r>
            <w:r>
              <w:rPr>
                <w:webHidden/>
              </w:rPr>
              <w:tab/>
            </w:r>
            <w:r>
              <w:rPr>
                <w:webHidden/>
              </w:rPr>
              <w:fldChar w:fldCharType="begin"/>
            </w:r>
            <w:r>
              <w:rPr>
                <w:webHidden/>
              </w:rPr>
              <w:instrText xml:space="preserve"> PAGEREF _Toc215738938 \h </w:instrText>
            </w:r>
            <w:r>
              <w:rPr>
                <w:webHidden/>
              </w:rPr>
            </w:r>
            <w:r>
              <w:rPr>
                <w:webHidden/>
              </w:rPr>
              <w:fldChar w:fldCharType="separate"/>
            </w:r>
            <w:r>
              <w:rPr>
                <w:webHidden/>
              </w:rPr>
              <w:t>10</w:t>
            </w:r>
            <w:r>
              <w:rPr>
                <w:webHidden/>
              </w:rPr>
              <w:fldChar w:fldCharType="end"/>
            </w:r>
          </w:hyperlink>
        </w:p>
        <w:p w14:paraId="619DB62B" w14:textId="79B66526"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39" w:history="1">
            <w:r w:rsidRPr="00AA38E6">
              <w:rPr>
                <w:rStyle w:val="Hyperlink"/>
              </w:rPr>
              <w:t>Afdeling 1. algemene toelatingsvoorwaarden</w:t>
            </w:r>
            <w:r>
              <w:rPr>
                <w:webHidden/>
              </w:rPr>
              <w:tab/>
            </w:r>
            <w:r>
              <w:rPr>
                <w:webHidden/>
              </w:rPr>
              <w:fldChar w:fldCharType="begin"/>
            </w:r>
            <w:r>
              <w:rPr>
                <w:webHidden/>
              </w:rPr>
              <w:instrText xml:space="preserve"> PAGEREF _Toc215738939 \h </w:instrText>
            </w:r>
            <w:r>
              <w:rPr>
                <w:webHidden/>
              </w:rPr>
            </w:r>
            <w:r>
              <w:rPr>
                <w:webHidden/>
              </w:rPr>
              <w:fldChar w:fldCharType="separate"/>
            </w:r>
            <w:r>
              <w:rPr>
                <w:webHidden/>
              </w:rPr>
              <w:t>10</w:t>
            </w:r>
            <w:r>
              <w:rPr>
                <w:webHidden/>
              </w:rPr>
              <w:fldChar w:fldCharType="end"/>
            </w:r>
          </w:hyperlink>
        </w:p>
        <w:p w14:paraId="7A626AE1" w14:textId="48A01134"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40" w:history="1">
            <w:r w:rsidRPr="00AA38E6">
              <w:rPr>
                <w:rStyle w:val="Hyperlink"/>
              </w:rPr>
              <w:t>Afdeling 2. algemene en specifieke of aanvullende aanwervingsvoorwaarden</w:t>
            </w:r>
            <w:r>
              <w:rPr>
                <w:webHidden/>
              </w:rPr>
              <w:tab/>
            </w:r>
            <w:r>
              <w:rPr>
                <w:webHidden/>
              </w:rPr>
              <w:fldChar w:fldCharType="begin"/>
            </w:r>
            <w:r>
              <w:rPr>
                <w:webHidden/>
              </w:rPr>
              <w:instrText xml:space="preserve"> PAGEREF _Toc215738940 \h </w:instrText>
            </w:r>
            <w:r>
              <w:rPr>
                <w:webHidden/>
              </w:rPr>
            </w:r>
            <w:r>
              <w:rPr>
                <w:webHidden/>
              </w:rPr>
              <w:fldChar w:fldCharType="separate"/>
            </w:r>
            <w:r>
              <w:rPr>
                <w:webHidden/>
              </w:rPr>
              <w:t>11</w:t>
            </w:r>
            <w:r>
              <w:rPr>
                <w:webHidden/>
              </w:rPr>
              <w:fldChar w:fldCharType="end"/>
            </w:r>
          </w:hyperlink>
        </w:p>
        <w:p w14:paraId="2CAB4315" w14:textId="63B65F0B"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41" w:history="1">
            <w:r w:rsidRPr="00AA38E6">
              <w:rPr>
                <w:rStyle w:val="Hyperlink"/>
              </w:rPr>
              <w:t>Afdeling 3. wijze van bekendmaking</w:t>
            </w:r>
            <w:r>
              <w:rPr>
                <w:webHidden/>
              </w:rPr>
              <w:tab/>
            </w:r>
            <w:r>
              <w:rPr>
                <w:webHidden/>
              </w:rPr>
              <w:fldChar w:fldCharType="begin"/>
            </w:r>
            <w:r>
              <w:rPr>
                <w:webHidden/>
              </w:rPr>
              <w:instrText xml:space="preserve"> PAGEREF _Toc215738941 \h </w:instrText>
            </w:r>
            <w:r>
              <w:rPr>
                <w:webHidden/>
              </w:rPr>
            </w:r>
            <w:r>
              <w:rPr>
                <w:webHidden/>
              </w:rPr>
              <w:fldChar w:fldCharType="separate"/>
            </w:r>
            <w:r>
              <w:rPr>
                <w:webHidden/>
              </w:rPr>
              <w:t>12</w:t>
            </w:r>
            <w:r>
              <w:rPr>
                <w:webHidden/>
              </w:rPr>
              <w:fldChar w:fldCharType="end"/>
            </w:r>
          </w:hyperlink>
        </w:p>
        <w:p w14:paraId="41395485" w14:textId="67BDE4F8"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42" w:history="1">
            <w:r w:rsidRPr="00AA38E6">
              <w:rPr>
                <w:rStyle w:val="Hyperlink"/>
              </w:rPr>
              <w:t>Afdeling 4. wijze van kandidaatstelling</w:t>
            </w:r>
            <w:r>
              <w:rPr>
                <w:webHidden/>
              </w:rPr>
              <w:tab/>
            </w:r>
            <w:r>
              <w:rPr>
                <w:webHidden/>
              </w:rPr>
              <w:fldChar w:fldCharType="begin"/>
            </w:r>
            <w:r>
              <w:rPr>
                <w:webHidden/>
              </w:rPr>
              <w:instrText xml:space="preserve"> PAGEREF _Toc215738942 \h </w:instrText>
            </w:r>
            <w:r>
              <w:rPr>
                <w:webHidden/>
              </w:rPr>
            </w:r>
            <w:r>
              <w:rPr>
                <w:webHidden/>
              </w:rPr>
              <w:fldChar w:fldCharType="separate"/>
            </w:r>
            <w:r>
              <w:rPr>
                <w:webHidden/>
              </w:rPr>
              <w:t>13</w:t>
            </w:r>
            <w:r>
              <w:rPr>
                <w:webHidden/>
              </w:rPr>
              <w:fldChar w:fldCharType="end"/>
            </w:r>
          </w:hyperlink>
        </w:p>
        <w:p w14:paraId="4F6C4EA1" w14:textId="2E2AB01B"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43" w:history="1">
            <w:r w:rsidRPr="00AA38E6">
              <w:rPr>
                <w:rStyle w:val="Hyperlink"/>
              </w:rPr>
              <w:t>Afdeling 5. selectietechnieken</w:t>
            </w:r>
            <w:r>
              <w:rPr>
                <w:webHidden/>
              </w:rPr>
              <w:tab/>
            </w:r>
            <w:r>
              <w:rPr>
                <w:webHidden/>
              </w:rPr>
              <w:fldChar w:fldCharType="begin"/>
            </w:r>
            <w:r>
              <w:rPr>
                <w:webHidden/>
              </w:rPr>
              <w:instrText xml:space="preserve"> PAGEREF _Toc215738943 \h </w:instrText>
            </w:r>
            <w:r>
              <w:rPr>
                <w:webHidden/>
              </w:rPr>
            </w:r>
            <w:r>
              <w:rPr>
                <w:webHidden/>
              </w:rPr>
              <w:fldChar w:fldCharType="separate"/>
            </w:r>
            <w:r>
              <w:rPr>
                <w:webHidden/>
              </w:rPr>
              <w:t>14</w:t>
            </w:r>
            <w:r>
              <w:rPr>
                <w:webHidden/>
              </w:rPr>
              <w:fldChar w:fldCharType="end"/>
            </w:r>
          </w:hyperlink>
        </w:p>
        <w:p w14:paraId="091147F0" w14:textId="019F0250"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44" w:history="1">
            <w:r w:rsidRPr="00AA38E6">
              <w:rPr>
                <w:rStyle w:val="Hyperlink"/>
              </w:rPr>
              <w:t>Afdeling 6. De selectiecommissie</w:t>
            </w:r>
            <w:r>
              <w:rPr>
                <w:webHidden/>
              </w:rPr>
              <w:tab/>
            </w:r>
            <w:r>
              <w:rPr>
                <w:webHidden/>
              </w:rPr>
              <w:fldChar w:fldCharType="begin"/>
            </w:r>
            <w:r>
              <w:rPr>
                <w:webHidden/>
              </w:rPr>
              <w:instrText xml:space="preserve"> PAGEREF _Toc215738944 \h </w:instrText>
            </w:r>
            <w:r>
              <w:rPr>
                <w:webHidden/>
              </w:rPr>
            </w:r>
            <w:r>
              <w:rPr>
                <w:webHidden/>
              </w:rPr>
              <w:fldChar w:fldCharType="separate"/>
            </w:r>
            <w:r>
              <w:rPr>
                <w:webHidden/>
              </w:rPr>
              <w:t>15</w:t>
            </w:r>
            <w:r>
              <w:rPr>
                <w:webHidden/>
              </w:rPr>
              <w:fldChar w:fldCharType="end"/>
            </w:r>
          </w:hyperlink>
        </w:p>
        <w:p w14:paraId="770186AB" w14:textId="474C6DA2"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45" w:history="1">
            <w:r w:rsidRPr="00AA38E6">
              <w:rPr>
                <w:rStyle w:val="Hyperlink"/>
              </w:rPr>
              <w:t>Afdeling 7. wervingsreserves</w:t>
            </w:r>
            <w:r>
              <w:rPr>
                <w:webHidden/>
              </w:rPr>
              <w:tab/>
            </w:r>
            <w:r>
              <w:rPr>
                <w:webHidden/>
              </w:rPr>
              <w:fldChar w:fldCharType="begin"/>
            </w:r>
            <w:r>
              <w:rPr>
                <w:webHidden/>
              </w:rPr>
              <w:instrText xml:space="preserve"> PAGEREF _Toc215738945 \h </w:instrText>
            </w:r>
            <w:r>
              <w:rPr>
                <w:webHidden/>
              </w:rPr>
            </w:r>
            <w:r>
              <w:rPr>
                <w:webHidden/>
              </w:rPr>
              <w:fldChar w:fldCharType="separate"/>
            </w:r>
            <w:r>
              <w:rPr>
                <w:webHidden/>
              </w:rPr>
              <w:t>15</w:t>
            </w:r>
            <w:r>
              <w:rPr>
                <w:webHidden/>
              </w:rPr>
              <w:fldChar w:fldCharType="end"/>
            </w:r>
          </w:hyperlink>
        </w:p>
        <w:p w14:paraId="10984F13" w14:textId="3229CC24"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46" w:history="1">
            <w:r w:rsidRPr="00AA38E6">
              <w:rPr>
                <w:rStyle w:val="Hyperlink"/>
              </w:rPr>
              <w:t>Afdeling 8. het gebruik van tussentijdse wervingsreserves</w:t>
            </w:r>
            <w:r>
              <w:rPr>
                <w:webHidden/>
              </w:rPr>
              <w:tab/>
            </w:r>
            <w:r>
              <w:rPr>
                <w:webHidden/>
              </w:rPr>
              <w:fldChar w:fldCharType="begin"/>
            </w:r>
            <w:r>
              <w:rPr>
                <w:webHidden/>
              </w:rPr>
              <w:instrText xml:space="preserve"> PAGEREF _Toc215738946 \h </w:instrText>
            </w:r>
            <w:r>
              <w:rPr>
                <w:webHidden/>
              </w:rPr>
            </w:r>
            <w:r>
              <w:rPr>
                <w:webHidden/>
              </w:rPr>
              <w:fldChar w:fldCharType="separate"/>
            </w:r>
            <w:r>
              <w:rPr>
                <w:webHidden/>
              </w:rPr>
              <w:t>16</w:t>
            </w:r>
            <w:r>
              <w:rPr>
                <w:webHidden/>
              </w:rPr>
              <w:fldChar w:fldCharType="end"/>
            </w:r>
          </w:hyperlink>
        </w:p>
        <w:p w14:paraId="3E1E569B" w14:textId="17BCA331"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47" w:history="1">
            <w:r w:rsidRPr="00AA38E6">
              <w:rPr>
                <w:rStyle w:val="Hyperlink"/>
              </w:rPr>
              <w:t>Afdeling 9. permanente vacature</w:t>
            </w:r>
            <w:r>
              <w:rPr>
                <w:webHidden/>
              </w:rPr>
              <w:tab/>
            </w:r>
            <w:r>
              <w:rPr>
                <w:webHidden/>
              </w:rPr>
              <w:fldChar w:fldCharType="begin"/>
            </w:r>
            <w:r>
              <w:rPr>
                <w:webHidden/>
              </w:rPr>
              <w:instrText xml:space="preserve"> PAGEREF _Toc215738947 \h </w:instrText>
            </w:r>
            <w:r>
              <w:rPr>
                <w:webHidden/>
              </w:rPr>
            </w:r>
            <w:r>
              <w:rPr>
                <w:webHidden/>
              </w:rPr>
              <w:fldChar w:fldCharType="separate"/>
            </w:r>
            <w:r>
              <w:rPr>
                <w:webHidden/>
              </w:rPr>
              <w:t>16</w:t>
            </w:r>
            <w:r>
              <w:rPr>
                <w:webHidden/>
              </w:rPr>
              <w:fldChar w:fldCharType="end"/>
            </w:r>
          </w:hyperlink>
        </w:p>
        <w:p w14:paraId="2CED55D2" w14:textId="73CCDD6A"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48" w:history="1">
            <w:r w:rsidRPr="00AA38E6">
              <w:rPr>
                <w:rStyle w:val="Hyperlink"/>
              </w:rPr>
              <w:t>Afdeling 10. specifieke bepalingen voor de aanwerving in de betrekkingen die ingesteld worden ter uitvoering van werkgelegenheidsmaatregelen van de hogere overheid en in specifiek bepaalde contractuele betrekkingen</w:t>
            </w:r>
            <w:r>
              <w:rPr>
                <w:webHidden/>
              </w:rPr>
              <w:tab/>
            </w:r>
            <w:r>
              <w:rPr>
                <w:webHidden/>
              </w:rPr>
              <w:fldChar w:fldCharType="begin"/>
            </w:r>
            <w:r>
              <w:rPr>
                <w:webHidden/>
              </w:rPr>
              <w:instrText xml:space="preserve"> PAGEREF _Toc215738948 \h </w:instrText>
            </w:r>
            <w:r>
              <w:rPr>
                <w:webHidden/>
              </w:rPr>
            </w:r>
            <w:r>
              <w:rPr>
                <w:webHidden/>
              </w:rPr>
              <w:fldChar w:fldCharType="separate"/>
            </w:r>
            <w:r>
              <w:rPr>
                <w:webHidden/>
              </w:rPr>
              <w:t>16</w:t>
            </w:r>
            <w:r>
              <w:rPr>
                <w:webHidden/>
              </w:rPr>
              <w:fldChar w:fldCharType="end"/>
            </w:r>
          </w:hyperlink>
        </w:p>
        <w:p w14:paraId="28022724" w14:textId="48D93D75"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49" w:history="1">
            <w:r w:rsidRPr="00AA38E6">
              <w:rPr>
                <w:rStyle w:val="Hyperlink"/>
              </w:rPr>
              <w:t>Hoofdstuk III. de indiensttreding</w:t>
            </w:r>
            <w:r>
              <w:rPr>
                <w:webHidden/>
              </w:rPr>
              <w:tab/>
            </w:r>
            <w:r>
              <w:rPr>
                <w:webHidden/>
              </w:rPr>
              <w:fldChar w:fldCharType="begin"/>
            </w:r>
            <w:r>
              <w:rPr>
                <w:webHidden/>
              </w:rPr>
              <w:instrText xml:space="preserve"> PAGEREF _Toc215738949 \h </w:instrText>
            </w:r>
            <w:r>
              <w:rPr>
                <w:webHidden/>
              </w:rPr>
            </w:r>
            <w:r>
              <w:rPr>
                <w:webHidden/>
              </w:rPr>
              <w:fldChar w:fldCharType="separate"/>
            </w:r>
            <w:r>
              <w:rPr>
                <w:webHidden/>
              </w:rPr>
              <w:t>19</w:t>
            </w:r>
            <w:r>
              <w:rPr>
                <w:webHidden/>
              </w:rPr>
              <w:fldChar w:fldCharType="end"/>
            </w:r>
          </w:hyperlink>
        </w:p>
        <w:p w14:paraId="75A45F59" w14:textId="0FE79988"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50" w:history="1">
            <w:r w:rsidRPr="00AA38E6">
              <w:rPr>
                <w:rStyle w:val="Hyperlink"/>
              </w:rPr>
              <w:t>Hoofdstuk IV. de inwerkperiode</w:t>
            </w:r>
            <w:r>
              <w:rPr>
                <w:webHidden/>
              </w:rPr>
              <w:tab/>
            </w:r>
            <w:r>
              <w:rPr>
                <w:webHidden/>
              </w:rPr>
              <w:fldChar w:fldCharType="begin"/>
            </w:r>
            <w:r>
              <w:rPr>
                <w:webHidden/>
              </w:rPr>
              <w:instrText xml:space="preserve"> PAGEREF _Toc215738950 \h </w:instrText>
            </w:r>
            <w:r>
              <w:rPr>
                <w:webHidden/>
              </w:rPr>
            </w:r>
            <w:r>
              <w:rPr>
                <w:webHidden/>
              </w:rPr>
              <w:fldChar w:fldCharType="separate"/>
            </w:r>
            <w:r>
              <w:rPr>
                <w:webHidden/>
              </w:rPr>
              <w:t>20</w:t>
            </w:r>
            <w:r>
              <w:rPr>
                <w:webHidden/>
              </w:rPr>
              <w:fldChar w:fldCharType="end"/>
            </w:r>
          </w:hyperlink>
        </w:p>
        <w:p w14:paraId="3DEAE047" w14:textId="7F6CEF78"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51" w:history="1">
            <w:r w:rsidRPr="00AA38E6">
              <w:rPr>
                <w:rStyle w:val="Hyperlink"/>
              </w:rPr>
              <w:t>Afdeling 1. algemene bepalingen</w:t>
            </w:r>
            <w:r>
              <w:rPr>
                <w:webHidden/>
              </w:rPr>
              <w:tab/>
            </w:r>
            <w:r>
              <w:rPr>
                <w:webHidden/>
              </w:rPr>
              <w:fldChar w:fldCharType="begin"/>
            </w:r>
            <w:r>
              <w:rPr>
                <w:webHidden/>
              </w:rPr>
              <w:instrText xml:space="preserve"> PAGEREF _Toc215738951 \h </w:instrText>
            </w:r>
            <w:r>
              <w:rPr>
                <w:webHidden/>
              </w:rPr>
            </w:r>
            <w:r>
              <w:rPr>
                <w:webHidden/>
              </w:rPr>
              <w:fldChar w:fldCharType="separate"/>
            </w:r>
            <w:r>
              <w:rPr>
                <w:webHidden/>
              </w:rPr>
              <w:t>20</w:t>
            </w:r>
            <w:r>
              <w:rPr>
                <w:webHidden/>
              </w:rPr>
              <w:fldChar w:fldCharType="end"/>
            </w:r>
          </w:hyperlink>
        </w:p>
        <w:p w14:paraId="76AAE2E0" w14:textId="5644F57A"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52" w:history="1">
            <w:r w:rsidRPr="00AA38E6">
              <w:rPr>
                <w:rStyle w:val="Hyperlink"/>
              </w:rPr>
              <w:t>Afdeling 2. de duur van de inwerkperiode en de evaluatie tijdens de inwerkperiode</w:t>
            </w:r>
            <w:r>
              <w:rPr>
                <w:webHidden/>
              </w:rPr>
              <w:tab/>
            </w:r>
            <w:r>
              <w:rPr>
                <w:webHidden/>
              </w:rPr>
              <w:fldChar w:fldCharType="begin"/>
            </w:r>
            <w:r>
              <w:rPr>
                <w:webHidden/>
              </w:rPr>
              <w:instrText xml:space="preserve"> PAGEREF _Toc215738952 \h </w:instrText>
            </w:r>
            <w:r>
              <w:rPr>
                <w:webHidden/>
              </w:rPr>
            </w:r>
            <w:r>
              <w:rPr>
                <w:webHidden/>
              </w:rPr>
              <w:fldChar w:fldCharType="separate"/>
            </w:r>
            <w:r>
              <w:rPr>
                <w:webHidden/>
              </w:rPr>
              <w:t>20</w:t>
            </w:r>
            <w:r>
              <w:rPr>
                <w:webHidden/>
              </w:rPr>
              <w:fldChar w:fldCharType="end"/>
            </w:r>
          </w:hyperlink>
        </w:p>
        <w:p w14:paraId="14CE9879" w14:textId="05C9BE2E"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53" w:history="1">
            <w:r w:rsidRPr="00AA38E6">
              <w:rPr>
                <w:rStyle w:val="Hyperlink"/>
              </w:rPr>
              <w:t>Hoofdstuk v. opvolging, feedback en evaluatie</w:t>
            </w:r>
            <w:r>
              <w:rPr>
                <w:webHidden/>
              </w:rPr>
              <w:tab/>
            </w:r>
            <w:r>
              <w:rPr>
                <w:webHidden/>
              </w:rPr>
              <w:fldChar w:fldCharType="begin"/>
            </w:r>
            <w:r>
              <w:rPr>
                <w:webHidden/>
              </w:rPr>
              <w:instrText xml:space="preserve"> PAGEREF _Toc215738953 \h </w:instrText>
            </w:r>
            <w:r>
              <w:rPr>
                <w:webHidden/>
              </w:rPr>
            </w:r>
            <w:r>
              <w:rPr>
                <w:webHidden/>
              </w:rPr>
              <w:fldChar w:fldCharType="separate"/>
            </w:r>
            <w:r>
              <w:rPr>
                <w:webHidden/>
              </w:rPr>
              <w:t>22</w:t>
            </w:r>
            <w:r>
              <w:rPr>
                <w:webHidden/>
              </w:rPr>
              <w:fldChar w:fldCharType="end"/>
            </w:r>
          </w:hyperlink>
        </w:p>
        <w:p w14:paraId="54BC1F6A" w14:textId="199C3B88"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54" w:history="1">
            <w:r w:rsidRPr="00AA38E6">
              <w:rPr>
                <w:rStyle w:val="Hyperlink"/>
              </w:rPr>
              <w:t>Afdeling 1. opvolging en feedback</w:t>
            </w:r>
            <w:r>
              <w:rPr>
                <w:webHidden/>
              </w:rPr>
              <w:tab/>
            </w:r>
            <w:r>
              <w:rPr>
                <w:webHidden/>
              </w:rPr>
              <w:fldChar w:fldCharType="begin"/>
            </w:r>
            <w:r>
              <w:rPr>
                <w:webHidden/>
              </w:rPr>
              <w:instrText xml:space="preserve"> PAGEREF _Toc215738954 \h </w:instrText>
            </w:r>
            <w:r>
              <w:rPr>
                <w:webHidden/>
              </w:rPr>
            </w:r>
            <w:r>
              <w:rPr>
                <w:webHidden/>
              </w:rPr>
              <w:fldChar w:fldCharType="separate"/>
            </w:r>
            <w:r>
              <w:rPr>
                <w:webHidden/>
              </w:rPr>
              <w:t>22</w:t>
            </w:r>
            <w:r>
              <w:rPr>
                <w:webHidden/>
              </w:rPr>
              <w:fldChar w:fldCharType="end"/>
            </w:r>
          </w:hyperlink>
        </w:p>
        <w:p w14:paraId="500E0DF5" w14:textId="5B77B7D4"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55" w:history="1">
            <w:r w:rsidRPr="00AA38E6">
              <w:rPr>
                <w:rStyle w:val="Hyperlink"/>
              </w:rPr>
              <w:t>Afdeling 2. evaluatie: de knipperlichtprocedure – procedure beroepsongeschiktheid</w:t>
            </w:r>
            <w:r>
              <w:rPr>
                <w:webHidden/>
              </w:rPr>
              <w:tab/>
            </w:r>
            <w:r>
              <w:rPr>
                <w:webHidden/>
              </w:rPr>
              <w:fldChar w:fldCharType="begin"/>
            </w:r>
            <w:r>
              <w:rPr>
                <w:webHidden/>
              </w:rPr>
              <w:instrText xml:space="preserve"> PAGEREF _Toc215738955 \h </w:instrText>
            </w:r>
            <w:r>
              <w:rPr>
                <w:webHidden/>
              </w:rPr>
            </w:r>
            <w:r>
              <w:rPr>
                <w:webHidden/>
              </w:rPr>
              <w:fldChar w:fldCharType="separate"/>
            </w:r>
            <w:r>
              <w:rPr>
                <w:webHidden/>
              </w:rPr>
              <w:t>22</w:t>
            </w:r>
            <w:r>
              <w:rPr>
                <w:webHidden/>
              </w:rPr>
              <w:fldChar w:fldCharType="end"/>
            </w:r>
          </w:hyperlink>
        </w:p>
        <w:p w14:paraId="463A51C9" w14:textId="55E8189E"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56" w:history="1">
            <w:r w:rsidRPr="00AA38E6">
              <w:rPr>
                <w:rStyle w:val="Hyperlink"/>
              </w:rPr>
              <w:t>Afdeling 3. specifieke bepalingen voor de evaluatie van de decretale graden</w:t>
            </w:r>
            <w:r>
              <w:rPr>
                <w:webHidden/>
              </w:rPr>
              <w:tab/>
            </w:r>
            <w:r>
              <w:rPr>
                <w:webHidden/>
              </w:rPr>
              <w:fldChar w:fldCharType="begin"/>
            </w:r>
            <w:r>
              <w:rPr>
                <w:webHidden/>
              </w:rPr>
              <w:instrText xml:space="preserve"> PAGEREF _Toc215738956 \h </w:instrText>
            </w:r>
            <w:r>
              <w:rPr>
                <w:webHidden/>
              </w:rPr>
            </w:r>
            <w:r>
              <w:rPr>
                <w:webHidden/>
              </w:rPr>
              <w:fldChar w:fldCharType="separate"/>
            </w:r>
            <w:r>
              <w:rPr>
                <w:webHidden/>
              </w:rPr>
              <w:t>25</w:t>
            </w:r>
            <w:r>
              <w:rPr>
                <w:webHidden/>
              </w:rPr>
              <w:fldChar w:fldCharType="end"/>
            </w:r>
          </w:hyperlink>
        </w:p>
        <w:p w14:paraId="4660676F" w14:textId="1A20E446"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57" w:history="1">
            <w:r w:rsidRPr="00AA38E6">
              <w:rPr>
                <w:rStyle w:val="Hyperlink"/>
              </w:rPr>
              <w:t>Hoofdstuk VI. het vormingsreglement</w:t>
            </w:r>
            <w:r>
              <w:rPr>
                <w:webHidden/>
              </w:rPr>
              <w:tab/>
            </w:r>
            <w:r>
              <w:rPr>
                <w:webHidden/>
              </w:rPr>
              <w:fldChar w:fldCharType="begin"/>
            </w:r>
            <w:r>
              <w:rPr>
                <w:webHidden/>
              </w:rPr>
              <w:instrText xml:space="preserve"> PAGEREF _Toc215738957 \h </w:instrText>
            </w:r>
            <w:r>
              <w:rPr>
                <w:webHidden/>
              </w:rPr>
            </w:r>
            <w:r>
              <w:rPr>
                <w:webHidden/>
              </w:rPr>
              <w:fldChar w:fldCharType="separate"/>
            </w:r>
            <w:r>
              <w:rPr>
                <w:webHidden/>
              </w:rPr>
              <w:t>27</w:t>
            </w:r>
            <w:r>
              <w:rPr>
                <w:webHidden/>
              </w:rPr>
              <w:fldChar w:fldCharType="end"/>
            </w:r>
          </w:hyperlink>
        </w:p>
        <w:p w14:paraId="7B6CD7E0" w14:textId="4B5BF008"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58" w:history="1">
            <w:r w:rsidRPr="00AA38E6">
              <w:rPr>
                <w:rStyle w:val="Hyperlink"/>
              </w:rPr>
              <w:t>Hoofdstuk VIII. de functionele loopbaan</w:t>
            </w:r>
            <w:r>
              <w:rPr>
                <w:webHidden/>
              </w:rPr>
              <w:tab/>
            </w:r>
            <w:r>
              <w:rPr>
                <w:webHidden/>
              </w:rPr>
              <w:fldChar w:fldCharType="begin"/>
            </w:r>
            <w:r>
              <w:rPr>
                <w:webHidden/>
              </w:rPr>
              <w:instrText xml:space="preserve"> PAGEREF _Toc215738958 \h </w:instrText>
            </w:r>
            <w:r>
              <w:rPr>
                <w:webHidden/>
              </w:rPr>
            </w:r>
            <w:r>
              <w:rPr>
                <w:webHidden/>
              </w:rPr>
              <w:fldChar w:fldCharType="separate"/>
            </w:r>
            <w:r>
              <w:rPr>
                <w:webHidden/>
              </w:rPr>
              <w:t>28</w:t>
            </w:r>
            <w:r>
              <w:rPr>
                <w:webHidden/>
              </w:rPr>
              <w:fldChar w:fldCharType="end"/>
            </w:r>
          </w:hyperlink>
        </w:p>
        <w:p w14:paraId="19A2A251" w14:textId="20A4BA79"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59" w:history="1">
            <w:r w:rsidRPr="00AA38E6">
              <w:rPr>
                <w:rStyle w:val="Hyperlink"/>
              </w:rPr>
              <w:t>Afdeling 1. algemene bepalingen</w:t>
            </w:r>
            <w:r>
              <w:rPr>
                <w:webHidden/>
              </w:rPr>
              <w:tab/>
            </w:r>
            <w:r>
              <w:rPr>
                <w:webHidden/>
              </w:rPr>
              <w:fldChar w:fldCharType="begin"/>
            </w:r>
            <w:r>
              <w:rPr>
                <w:webHidden/>
              </w:rPr>
              <w:instrText xml:space="preserve"> PAGEREF _Toc215738959 \h </w:instrText>
            </w:r>
            <w:r>
              <w:rPr>
                <w:webHidden/>
              </w:rPr>
            </w:r>
            <w:r>
              <w:rPr>
                <w:webHidden/>
              </w:rPr>
              <w:fldChar w:fldCharType="separate"/>
            </w:r>
            <w:r>
              <w:rPr>
                <w:webHidden/>
              </w:rPr>
              <w:t>28</w:t>
            </w:r>
            <w:r>
              <w:rPr>
                <w:webHidden/>
              </w:rPr>
              <w:fldChar w:fldCharType="end"/>
            </w:r>
          </w:hyperlink>
        </w:p>
        <w:p w14:paraId="0F39AD4F" w14:textId="126AE764"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60" w:history="1">
            <w:r w:rsidRPr="00AA38E6">
              <w:rPr>
                <w:rStyle w:val="Hyperlink"/>
              </w:rPr>
              <w:t>Afdeling 2. de functionele loopbanen per niveau</w:t>
            </w:r>
            <w:r>
              <w:rPr>
                <w:webHidden/>
              </w:rPr>
              <w:tab/>
            </w:r>
            <w:r>
              <w:rPr>
                <w:webHidden/>
              </w:rPr>
              <w:fldChar w:fldCharType="begin"/>
            </w:r>
            <w:r>
              <w:rPr>
                <w:webHidden/>
              </w:rPr>
              <w:instrText xml:space="preserve"> PAGEREF _Toc215738960 \h </w:instrText>
            </w:r>
            <w:r>
              <w:rPr>
                <w:webHidden/>
              </w:rPr>
            </w:r>
            <w:r>
              <w:rPr>
                <w:webHidden/>
              </w:rPr>
              <w:fldChar w:fldCharType="separate"/>
            </w:r>
            <w:r>
              <w:rPr>
                <w:webHidden/>
              </w:rPr>
              <w:t>28</w:t>
            </w:r>
            <w:r>
              <w:rPr>
                <w:webHidden/>
              </w:rPr>
              <w:fldChar w:fldCharType="end"/>
            </w:r>
          </w:hyperlink>
        </w:p>
        <w:p w14:paraId="32BA65CC" w14:textId="4A83AFF5"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61" w:history="1">
            <w:r w:rsidRPr="00AA38E6">
              <w:rPr>
                <w:rStyle w:val="Hyperlink"/>
              </w:rPr>
              <w:t>Hoofdstuk IX. de bevordering</w:t>
            </w:r>
            <w:r>
              <w:rPr>
                <w:webHidden/>
              </w:rPr>
              <w:tab/>
            </w:r>
            <w:r>
              <w:rPr>
                <w:webHidden/>
              </w:rPr>
              <w:fldChar w:fldCharType="begin"/>
            </w:r>
            <w:r>
              <w:rPr>
                <w:webHidden/>
              </w:rPr>
              <w:instrText xml:space="preserve"> PAGEREF _Toc215738961 \h </w:instrText>
            </w:r>
            <w:r>
              <w:rPr>
                <w:webHidden/>
              </w:rPr>
            </w:r>
            <w:r>
              <w:rPr>
                <w:webHidden/>
              </w:rPr>
              <w:fldChar w:fldCharType="separate"/>
            </w:r>
            <w:r>
              <w:rPr>
                <w:webHidden/>
              </w:rPr>
              <w:t>30</w:t>
            </w:r>
            <w:r>
              <w:rPr>
                <w:webHidden/>
              </w:rPr>
              <w:fldChar w:fldCharType="end"/>
            </w:r>
          </w:hyperlink>
        </w:p>
        <w:p w14:paraId="33E0227F" w14:textId="23119C8A"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62" w:history="1">
            <w:r w:rsidRPr="00AA38E6">
              <w:rPr>
                <w:rStyle w:val="Hyperlink"/>
              </w:rPr>
              <w:t>Afdeling 1. toepassingsgebied</w:t>
            </w:r>
            <w:r>
              <w:rPr>
                <w:webHidden/>
              </w:rPr>
              <w:tab/>
            </w:r>
            <w:r>
              <w:rPr>
                <w:webHidden/>
              </w:rPr>
              <w:fldChar w:fldCharType="begin"/>
            </w:r>
            <w:r>
              <w:rPr>
                <w:webHidden/>
              </w:rPr>
              <w:instrText xml:space="preserve"> PAGEREF _Toc215738962 \h </w:instrText>
            </w:r>
            <w:r>
              <w:rPr>
                <w:webHidden/>
              </w:rPr>
            </w:r>
            <w:r>
              <w:rPr>
                <w:webHidden/>
              </w:rPr>
              <w:fldChar w:fldCharType="separate"/>
            </w:r>
            <w:r>
              <w:rPr>
                <w:webHidden/>
              </w:rPr>
              <w:t>30</w:t>
            </w:r>
            <w:r>
              <w:rPr>
                <w:webHidden/>
              </w:rPr>
              <w:fldChar w:fldCharType="end"/>
            </w:r>
          </w:hyperlink>
        </w:p>
        <w:p w14:paraId="38981E61" w14:textId="58B25F72"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63" w:history="1">
            <w:r w:rsidRPr="00AA38E6">
              <w:rPr>
                <w:rStyle w:val="Hyperlink"/>
              </w:rPr>
              <w:t>Afdeling 2. bevorderingsvoorwaarden</w:t>
            </w:r>
            <w:r>
              <w:rPr>
                <w:webHidden/>
              </w:rPr>
              <w:tab/>
            </w:r>
            <w:r>
              <w:rPr>
                <w:webHidden/>
              </w:rPr>
              <w:fldChar w:fldCharType="begin"/>
            </w:r>
            <w:r>
              <w:rPr>
                <w:webHidden/>
              </w:rPr>
              <w:instrText xml:space="preserve"> PAGEREF _Toc215738963 \h </w:instrText>
            </w:r>
            <w:r>
              <w:rPr>
                <w:webHidden/>
              </w:rPr>
            </w:r>
            <w:r>
              <w:rPr>
                <w:webHidden/>
              </w:rPr>
              <w:fldChar w:fldCharType="separate"/>
            </w:r>
            <w:r>
              <w:rPr>
                <w:webHidden/>
              </w:rPr>
              <w:t>30</w:t>
            </w:r>
            <w:r>
              <w:rPr>
                <w:webHidden/>
              </w:rPr>
              <w:fldChar w:fldCharType="end"/>
            </w:r>
          </w:hyperlink>
        </w:p>
        <w:p w14:paraId="3ED24A94" w14:textId="1C40F20C"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64" w:history="1">
            <w:r w:rsidRPr="00AA38E6">
              <w:rPr>
                <w:rStyle w:val="Hyperlink"/>
              </w:rPr>
              <w:t>Afdeling 3. wijze van bekendmaking</w:t>
            </w:r>
            <w:r>
              <w:rPr>
                <w:webHidden/>
              </w:rPr>
              <w:tab/>
            </w:r>
            <w:r>
              <w:rPr>
                <w:webHidden/>
              </w:rPr>
              <w:fldChar w:fldCharType="begin"/>
            </w:r>
            <w:r>
              <w:rPr>
                <w:webHidden/>
              </w:rPr>
              <w:instrText xml:space="preserve"> PAGEREF _Toc215738964 \h </w:instrText>
            </w:r>
            <w:r>
              <w:rPr>
                <w:webHidden/>
              </w:rPr>
            </w:r>
            <w:r>
              <w:rPr>
                <w:webHidden/>
              </w:rPr>
              <w:fldChar w:fldCharType="separate"/>
            </w:r>
            <w:r>
              <w:rPr>
                <w:webHidden/>
              </w:rPr>
              <w:t>31</w:t>
            </w:r>
            <w:r>
              <w:rPr>
                <w:webHidden/>
              </w:rPr>
              <w:fldChar w:fldCharType="end"/>
            </w:r>
          </w:hyperlink>
        </w:p>
        <w:p w14:paraId="2483D35A" w14:textId="45CACA39"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65" w:history="1">
            <w:r w:rsidRPr="00AA38E6">
              <w:rPr>
                <w:rStyle w:val="Hyperlink"/>
              </w:rPr>
              <w:t>Afdeling 4. wijze van kandidaatstelling</w:t>
            </w:r>
            <w:r>
              <w:rPr>
                <w:webHidden/>
              </w:rPr>
              <w:tab/>
            </w:r>
            <w:r>
              <w:rPr>
                <w:webHidden/>
              </w:rPr>
              <w:fldChar w:fldCharType="begin"/>
            </w:r>
            <w:r>
              <w:rPr>
                <w:webHidden/>
              </w:rPr>
              <w:instrText xml:space="preserve"> PAGEREF _Toc215738965 \h </w:instrText>
            </w:r>
            <w:r>
              <w:rPr>
                <w:webHidden/>
              </w:rPr>
            </w:r>
            <w:r>
              <w:rPr>
                <w:webHidden/>
              </w:rPr>
              <w:fldChar w:fldCharType="separate"/>
            </w:r>
            <w:r>
              <w:rPr>
                <w:webHidden/>
              </w:rPr>
              <w:t>31</w:t>
            </w:r>
            <w:r>
              <w:rPr>
                <w:webHidden/>
              </w:rPr>
              <w:fldChar w:fldCharType="end"/>
            </w:r>
          </w:hyperlink>
        </w:p>
        <w:p w14:paraId="704FF763" w14:textId="5AEE30F1"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66" w:history="1">
            <w:r w:rsidRPr="00AA38E6">
              <w:rPr>
                <w:rStyle w:val="Hyperlink"/>
              </w:rPr>
              <w:t>Afdeling 5. de selectieprocedure</w:t>
            </w:r>
            <w:r>
              <w:rPr>
                <w:webHidden/>
              </w:rPr>
              <w:tab/>
            </w:r>
            <w:r>
              <w:rPr>
                <w:webHidden/>
              </w:rPr>
              <w:fldChar w:fldCharType="begin"/>
            </w:r>
            <w:r>
              <w:rPr>
                <w:webHidden/>
              </w:rPr>
              <w:instrText xml:space="preserve"> PAGEREF _Toc215738966 \h </w:instrText>
            </w:r>
            <w:r>
              <w:rPr>
                <w:webHidden/>
              </w:rPr>
            </w:r>
            <w:r>
              <w:rPr>
                <w:webHidden/>
              </w:rPr>
              <w:fldChar w:fldCharType="separate"/>
            </w:r>
            <w:r>
              <w:rPr>
                <w:webHidden/>
              </w:rPr>
              <w:t>32</w:t>
            </w:r>
            <w:r>
              <w:rPr>
                <w:webHidden/>
              </w:rPr>
              <w:fldChar w:fldCharType="end"/>
            </w:r>
          </w:hyperlink>
        </w:p>
        <w:p w14:paraId="46D28D0C" w14:textId="52EE6BDD"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67" w:history="1">
            <w:r w:rsidRPr="00AA38E6">
              <w:rPr>
                <w:rStyle w:val="Hyperlink"/>
              </w:rPr>
              <w:t>Afdeling 6. de bevorderingsreserve</w:t>
            </w:r>
            <w:r>
              <w:rPr>
                <w:webHidden/>
              </w:rPr>
              <w:tab/>
            </w:r>
            <w:r>
              <w:rPr>
                <w:webHidden/>
              </w:rPr>
              <w:fldChar w:fldCharType="begin"/>
            </w:r>
            <w:r>
              <w:rPr>
                <w:webHidden/>
              </w:rPr>
              <w:instrText xml:space="preserve"> PAGEREF _Toc215738967 \h </w:instrText>
            </w:r>
            <w:r>
              <w:rPr>
                <w:webHidden/>
              </w:rPr>
            </w:r>
            <w:r>
              <w:rPr>
                <w:webHidden/>
              </w:rPr>
              <w:fldChar w:fldCharType="separate"/>
            </w:r>
            <w:r>
              <w:rPr>
                <w:webHidden/>
              </w:rPr>
              <w:t>32</w:t>
            </w:r>
            <w:r>
              <w:rPr>
                <w:webHidden/>
              </w:rPr>
              <w:fldChar w:fldCharType="end"/>
            </w:r>
          </w:hyperlink>
        </w:p>
        <w:p w14:paraId="1679D769" w14:textId="47A59730"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68" w:history="1">
            <w:r w:rsidRPr="00AA38E6">
              <w:rPr>
                <w:rStyle w:val="Hyperlink"/>
              </w:rPr>
              <w:t>Afdeling 7. administratieve anciënniteit en andere arbeidsvoorwaarden</w:t>
            </w:r>
            <w:r>
              <w:rPr>
                <w:webHidden/>
              </w:rPr>
              <w:tab/>
            </w:r>
            <w:r>
              <w:rPr>
                <w:webHidden/>
              </w:rPr>
              <w:fldChar w:fldCharType="begin"/>
            </w:r>
            <w:r>
              <w:rPr>
                <w:webHidden/>
              </w:rPr>
              <w:instrText xml:space="preserve"> PAGEREF _Toc215738968 \h </w:instrText>
            </w:r>
            <w:r>
              <w:rPr>
                <w:webHidden/>
              </w:rPr>
            </w:r>
            <w:r>
              <w:rPr>
                <w:webHidden/>
              </w:rPr>
              <w:fldChar w:fldCharType="separate"/>
            </w:r>
            <w:r>
              <w:rPr>
                <w:webHidden/>
              </w:rPr>
              <w:t>32</w:t>
            </w:r>
            <w:r>
              <w:rPr>
                <w:webHidden/>
              </w:rPr>
              <w:fldChar w:fldCharType="end"/>
            </w:r>
          </w:hyperlink>
        </w:p>
        <w:p w14:paraId="5B4986A6" w14:textId="184EA323"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69" w:history="1">
            <w:r w:rsidRPr="00AA38E6">
              <w:rPr>
                <w:rStyle w:val="Hyperlink"/>
              </w:rPr>
              <w:t>Afdeling 8. de proeftijd van het personeelslid na bevordering</w:t>
            </w:r>
            <w:r>
              <w:rPr>
                <w:webHidden/>
              </w:rPr>
              <w:tab/>
            </w:r>
            <w:r>
              <w:rPr>
                <w:webHidden/>
              </w:rPr>
              <w:fldChar w:fldCharType="begin"/>
            </w:r>
            <w:r>
              <w:rPr>
                <w:webHidden/>
              </w:rPr>
              <w:instrText xml:space="preserve"> PAGEREF _Toc215738969 \h </w:instrText>
            </w:r>
            <w:r>
              <w:rPr>
                <w:webHidden/>
              </w:rPr>
            </w:r>
            <w:r>
              <w:rPr>
                <w:webHidden/>
              </w:rPr>
              <w:fldChar w:fldCharType="separate"/>
            </w:r>
            <w:r>
              <w:rPr>
                <w:webHidden/>
              </w:rPr>
              <w:t>33</w:t>
            </w:r>
            <w:r>
              <w:rPr>
                <w:webHidden/>
              </w:rPr>
              <w:fldChar w:fldCharType="end"/>
            </w:r>
          </w:hyperlink>
        </w:p>
        <w:p w14:paraId="2EBF6E4A" w14:textId="5C5D85AD"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70" w:history="1">
            <w:r w:rsidRPr="00AA38E6">
              <w:rPr>
                <w:rStyle w:val="Hyperlink"/>
              </w:rPr>
              <w:t>Hoofdstuk x. interne mobiliteit</w:t>
            </w:r>
            <w:r>
              <w:rPr>
                <w:webHidden/>
              </w:rPr>
              <w:tab/>
            </w:r>
            <w:r>
              <w:rPr>
                <w:webHidden/>
              </w:rPr>
              <w:fldChar w:fldCharType="begin"/>
            </w:r>
            <w:r>
              <w:rPr>
                <w:webHidden/>
              </w:rPr>
              <w:instrText xml:space="preserve"> PAGEREF _Toc215738970 \h </w:instrText>
            </w:r>
            <w:r>
              <w:rPr>
                <w:webHidden/>
              </w:rPr>
            </w:r>
            <w:r>
              <w:rPr>
                <w:webHidden/>
              </w:rPr>
              <w:fldChar w:fldCharType="separate"/>
            </w:r>
            <w:r>
              <w:rPr>
                <w:webHidden/>
              </w:rPr>
              <w:t>33</w:t>
            </w:r>
            <w:r>
              <w:rPr>
                <w:webHidden/>
              </w:rPr>
              <w:fldChar w:fldCharType="end"/>
            </w:r>
          </w:hyperlink>
        </w:p>
        <w:p w14:paraId="00F6DA83" w14:textId="092D9F59"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71" w:history="1">
            <w:r w:rsidRPr="00AA38E6">
              <w:rPr>
                <w:rStyle w:val="Hyperlink"/>
              </w:rPr>
              <w:t>Afdeling 1. toepassingsgebied</w:t>
            </w:r>
            <w:r>
              <w:rPr>
                <w:webHidden/>
              </w:rPr>
              <w:tab/>
            </w:r>
            <w:r>
              <w:rPr>
                <w:webHidden/>
              </w:rPr>
              <w:fldChar w:fldCharType="begin"/>
            </w:r>
            <w:r>
              <w:rPr>
                <w:webHidden/>
              </w:rPr>
              <w:instrText xml:space="preserve"> PAGEREF _Toc215738971 \h </w:instrText>
            </w:r>
            <w:r>
              <w:rPr>
                <w:webHidden/>
              </w:rPr>
            </w:r>
            <w:r>
              <w:rPr>
                <w:webHidden/>
              </w:rPr>
              <w:fldChar w:fldCharType="separate"/>
            </w:r>
            <w:r>
              <w:rPr>
                <w:webHidden/>
              </w:rPr>
              <w:t>33</w:t>
            </w:r>
            <w:r>
              <w:rPr>
                <w:webHidden/>
              </w:rPr>
              <w:fldChar w:fldCharType="end"/>
            </w:r>
          </w:hyperlink>
        </w:p>
        <w:p w14:paraId="19298DF6" w14:textId="576AD901"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72" w:history="1">
            <w:r w:rsidRPr="00AA38E6">
              <w:rPr>
                <w:rStyle w:val="Hyperlink"/>
              </w:rPr>
              <w:t>Afdeling 2. algemene toelatings- en aanwervingsvoorwaarden</w:t>
            </w:r>
            <w:r>
              <w:rPr>
                <w:webHidden/>
              </w:rPr>
              <w:tab/>
            </w:r>
            <w:r>
              <w:rPr>
                <w:webHidden/>
              </w:rPr>
              <w:fldChar w:fldCharType="begin"/>
            </w:r>
            <w:r>
              <w:rPr>
                <w:webHidden/>
              </w:rPr>
              <w:instrText xml:space="preserve"> PAGEREF _Toc215738972 \h </w:instrText>
            </w:r>
            <w:r>
              <w:rPr>
                <w:webHidden/>
              </w:rPr>
            </w:r>
            <w:r>
              <w:rPr>
                <w:webHidden/>
              </w:rPr>
              <w:fldChar w:fldCharType="separate"/>
            </w:r>
            <w:r>
              <w:rPr>
                <w:webHidden/>
              </w:rPr>
              <w:t>33</w:t>
            </w:r>
            <w:r>
              <w:rPr>
                <w:webHidden/>
              </w:rPr>
              <w:fldChar w:fldCharType="end"/>
            </w:r>
          </w:hyperlink>
        </w:p>
        <w:p w14:paraId="6A37DCF3" w14:textId="4BCC9C32"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73" w:history="1">
            <w:r w:rsidRPr="00AA38E6">
              <w:rPr>
                <w:rStyle w:val="Hyperlink"/>
              </w:rPr>
              <w:t>Afdeling 3. wijze van bekendmaking</w:t>
            </w:r>
            <w:r>
              <w:rPr>
                <w:webHidden/>
              </w:rPr>
              <w:tab/>
            </w:r>
            <w:r>
              <w:rPr>
                <w:webHidden/>
              </w:rPr>
              <w:fldChar w:fldCharType="begin"/>
            </w:r>
            <w:r>
              <w:rPr>
                <w:webHidden/>
              </w:rPr>
              <w:instrText xml:space="preserve"> PAGEREF _Toc215738973 \h </w:instrText>
            </w:r>
            <w:r>
              <w:rPr>
                <w:webHidden/>
              </w:rPr>
            </w:r>
            <w:r>
              <w:rPr>
                <w:webHidden/>
              </w:rPr>
              <w:fldChar w:fldCharType="separate"/>
            </w:r>
            <w:r>
              <w:rPr>
                <w:webHidden/>
              </w:rPr>
              <w:t>34</w:t>
            </w:r>
            <w:r>
              <w:rPr>
                <w:webHidden/>
              </w:rPr>
              <w:fldChar w:fldCharType="end"/>
            </w:r>
          </w:hyperlink>
        </w:p>
        <w:p w14:paraId="7C243FA9" w14:textId="6EE5D9ED"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74" w:history="1">
            <w:r w:rsidRPr="00AA38E6">
              <w:rPr>
                <w:rStyle w:val="Hyperlink"/>
              </w:rPr>
              <w:t>Afdeling 4. wijze van kandidaatstelling</w:t>
            </w:r>
            <w:r>
              <w:rPr>
                <w:webHidden/>
              </w:rPr>
              <w:tab/>
            </w:r>
            <w:r>
              <w:rPr>
                <w:webHidden/>
              </w:rPr>
              <w:fldChar w:fldCharType="begin"/>
            </w:r>
            <w:r>
              <w:rPr>
                <w:webHidden/>
              </w:rPr>
              <w:instrText xml:space="preserve"> PAGEREF _Toc215738974 \h </w:instrText>
            </w:r>
            <w:r>
              <w:rPr>
                <w:webHidden/>
              </w:rPr>
            </w:r>
            <w:r>
              <w:rPr>
                <w:webHidden/>
              </w:rPr>
              <w:fldChar w:fldCharType="separate"/>
            </w:r>
            <w:r>
              <w:rPr>
                <w:webHidden/>
              </w:rPr>
              <w:t>34</w:t>
            </w:r>
            <w:r>
              <w:rPr>
                <w:webHidden/>
              </w:rPr>
              <w:fldChar w:fldCharType="end"/>
            </w:r>
          </w:hyperlink>
        </w:p>
        <w:p w14:paraId="15AB35C7" w14:textId="59B1F415"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75" w:history="1">
            <w:r w:rsidRPr="00AA38E6">
              <w:rPr>
                <w:rStyle w:val="Hyperlink"/>
              </w:rPr>
              <w:t>Afdeling 5. de selectieprocedure</w:t>
            </w:r>
            <w:r>
              <w:rPr>
                <w:webHidden/>
              </w:rPr>
              <w:tab/>
            </w:r>
            <w:r>
              <w:rPr>
                <w:webHidden/>
              </w:rPr>
              <w:fldChar w:fldCharType="begin"/>
            </w:r>
            <w:r>
              <w:rPr>
                <w:webHidden/>
              </w:rPr>
              <w:instrText xml:space="preserve"> PAGEREF _Toc215738975 \h </w:instrText>
            </w:r>
            <w:r>
              <w:rPr>
                <w:webHidden/>
              </w:rPr>
            </w:r>
            <w:r>
              <w:rPr>
                <w:webHidden/>
              </w:rPr>
              <w:fldChar w:fldCharType="separate"/>
            </w:r>
            <w:r>
              <w:rPr>
                <w:webHidden/>
              </w:rPr>
              <w:t>35</w:t>
            </w:r>
            <w:r>
              <w:rPr>
                <w:webHidden/>
              </w:rPr>
              <w:fldChar w:fldCharType="end"/>
            </w:r>
          </w:hyperlink>
        </w:p>
        <w:p w14:paraId="643ABEAD" w14:textId="296E7DBA"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76" w:history="1">
            <w:r w:rsidRPr="00AA38E6">
              <w:rPr>
                <w:rStyle w:val="Hyperlink"/>
              </w:rPr>
              <w:t>Afdeling 6. administratieve anciënniteit en andere arbeidsvoorwaarden</w:t>
            </w:r>
            <w:r>
              <w:rPr>
                <w:webHidden/>
              </w:rPr>
              <w:tab/>
            </w:r>
            <w:r>
              <w:rPr>
                <w:webHidden/>
              </w:rPr>
              <w:fldChar w:fldCharType="begin"/>
            </w:r>
            <w:r>
              <w:rPr>
                <w:webHidden/>
              </w:rPr>
              <w:instrText xml:space="preserve"> PAGEREF _Toc215738976 \h </w:instrText>
            </w:r>
            <w:r>
              <w:rPr>
                <w:webHidden/>
              </w:rPr>
            </w:r>
            <w:r>
              <w:rPr>
                <w:webHidden/>
              </w:rPr>
              <w:fldChar w:fldCharType="separate"/>
            </w:r>
            <w:r>
              <w:rPr>
                <w:webHidden/>
              </w:rPr>
              <w:t>35</w:t>
            </w:r>
            <w:r>
              <w:rPr>
                <w:webHidden/>
              </w:rPr>
              <w:fldChar w:fldCharType="end"/>
            </w:r>
          </w:hyperlink>
        </w:p>
        <w:p w14:paraId="3CB1D335" w14:textId="60363586"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77" w:history="1">
            <w:r w:rsidRPr="00AA38E6">
              <w:rPr>
                <w:rStyle w:val="Hyperlink"/>
              </w:rPr>
              <w:t>Hoofdstuk xi. externe mobiliteit</w:t>
            </w:r>
            <w:r>
              <w:rPr>
                <w:webHidden/>
              </w:rPr>
              <w:tab/>
            </w:r>
            <w:r>
              <w:rPr>
                <w:webHidden/>
              </w:rPr>
              <w:fldChar w:fldCharType="begin"/>
            </w:r>
            <w:r>
              <w:rPr>
                <w:webHidden/>
              </w:rPr>
              <w:instrText xml:space="preserve"> PAGEREF _Toc215738977 \h </w:instrText>
            </w:r>
            <w:r>
              <w:rPr>
                <w:webHidden/>
              </w:rPr>
            </w:r>
            <w:r>
              <w:rPr>
                <w:webHidden/>
              </w:rPr>
              <w:fldChar w:fldCharType="separate"/>
            </w:r>
            <w:r>
              <w:rPr>
                <w:webHidden/>
              </w:rPr>
              <w:t>35</w:t>
            </w:r>
            <w:r>
              <w:rPr>
                <w:webHidden/>
              </w:rPr>
              <w:fldChar w:fldCharType="end"/>
            </w:r>
          </w:hyperlink>
        </w:p>
        <w:p w14:paraId="0D00625D" w14:textId="7643BA28"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78" w:history="1">
            <w:r w:rsidRPr="00AA38E6">
              <w:rPr>
                <w:rStyle w:val="Hyperlink"/>
              </w:rPr>
              <w:t>Afdeling 1. toepassingsgebied</w:t>
            </w:r>
            <w:r>
              <w:rPr>
                <w:webHidden/>
              </w:rPr>
              <w:tab/>
            </w:r>
            <w:r>
              <w:rPr>
                <w:webHidden/>
              </w:rPr>
              <w:fldChar w:fldCharType="begin"/>
            </w:r>
            <w:r>
              <w:rPr>
                <w:webHidden/>
              </w:rPr>
              <w:instrText xml:space="preserve"> PAGEREF _Toc215738978 \h </w:instrText>
            </w:r>
            <w:r>
              <w:rPr>
                <w:webHidden/>
              </w:rPr>
            </w:r>
            <w:r>
              <w:rPr>
                <w:webHidden/>
              </w:rPr>
              <w:fldChar w:fldCharType="separate"/>
            </w:r>
            <w:r>
              <w:rPr>
                <w:webHidden/>
              </w:rPr>
              <w:t>36</w:t>
            </w:r>
            <w:r>
              <w:rPr>
                <w:webHidden/>
              </w:rPr>
              <w:fldChar w:fldCharType="end"/>
            </w:r>
          </w:hyperlink>
        </w:p>
        <w:p w14:paraId="62CA2F8C" w14:textId="60993834"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79" w:history="1">
            <w:r w:rsidRPr="00AA38E6">
              <w:rPr>
                <w:rStyle w:val="Hyperlink"/>
              </w:rPr>
              <w:t>Afdeling 2. algemene toelatings- en aanwervingsvoorwaarden</w:t>
            </w:r>
            <w:r>
              <w:rPr>
                <w:webHidden/>
              </w:rPr>
              <w:tab/>
            </w:r>
            <w:r>
              <w:rPr>
                <w:webHidden/>
              </w:rPr>
              <w:fldChar w:fldCharType="begin"/>
            </w:r>
            <w:r>
              <w:rPr>
                <w:webHidden/>
              </w:rPr>
              <w:instrText xml:space="preserve"> PAGEREF _Toc215738979 \h </w:instrText>
            </w:r>
            <w:r>
              <w:rPr>
                <w:webHidden/>
              </w:rPr>
            </w:r>
            <w:r>
              <w:rPr>
                <w:webHidden/>
              </w:rPr>
              <w:fldChar w:fldCharType="separate"/>
            </w:r>
            <w:r>
              <w:rPr>
                <w:webHidden/>
              </w:rPr>
              <w:t>36</w:t>
            </w:r>
            <w:r>
              <w:rPr>
                <w:webHidden/>
              </w:rPr>
              <w:fldChar w:fldCharType="end"/>
            </w:r>
          </w:hyperlink>
        </w:p>
        <w:p w14:paraId="018EFCAF" w14:textId="41BC3710"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80" w:history="1">
            <w:r w:rsidRPr="00AA38E6">
              <w:rPr>
                <w:rStyle w:val="Hyperlink"/>
              </w:rPr>
              <w:t>Afdeling 3. wijze van bekendmaking</w:t>
            </w:r>
            <w:r>
              <w:rPr>
                <w:webHidden/>
              </w:rPr>
              <w:tab/>
            </w:r>
            <w:r>
              <w:rPr>
                <w:webHidden/>
              </w:rPr>
              <w:fldChar w:fldCharType="begin"/>
            </w:r>
            <w:r>
              <w:rPr>
                <w:webHidden/>
              </w:rPr>
              <w:instrText xml:space="preserve"> PAGEREF _Toc215738980 \h </w:instrText>
            </w:r>
            <w:r>
              <w:rPr>
                <w:webHidden/>
              </w:rPr>
            </w:r>
            <w:r>
              <w:rPr>
                <w:webHidden/>
              </w:rPr>
              <w:fldChar w:fldCharType="separate"/>
            </w:r>
            <w:r>
              <w:rPr>
                <w:webHidden/>
              </w:rPr>
              <w:t>36</w:t>
            </w:r>
            <w:r>
              <w:rPr>
                <w:webHidden/>
              </w:rPr>
              <w:fldChar w:fldCharType="end"/>
            </w:r>
          </w:hyperlink>
        </w:p>
        <w:p w14:paraId="65806B7C" w14:textId="4AF386CB"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81" w:history="1">
            <w:r w:rsidRPr="00AA38E6">
              <w:rPr>
                <w:rStyle w:val="Hyperlink"/>
              </w:rPr>
              <w:t>Afdeling 4. wijze van kandidaatstelling</w:t>
            </w:r>
            <w:r>
              <w:rPr>
                <w:webHidden/>
              </w:rPr>
              <w:tab/>
            </w:r>
            <w:r>
              <w:rPr>
                <w:webHidden/>
              </w:rPr>
              <w:fldChar w:fldCharType="begin"/>
            </w:r>
            <w:r>
              <w:rPr>
                <w:webHidden/>
              </w:rPr>
              <w:instrText xml:space="preserve"> PAGEREF _Toc215738981 \h </w:instrText>
            </w:r>
            <w:r>
              <w:rPr>
                <w:webHidden/>
              </w:rPr>
            </w:r>
            <w:r>
              <w:rPr>
                <w:webHidden/>
              </w:rPr>
              <w:fldChar w:fldCharType="separate"/>
            </w:r>
            <w:r>
              <w:rPr>
                <w:webHidden/>
              </w:rPr>
              <w:t>37</w:t>
            </w:r>
            <w:r>
              <w:rPr>
                <w:webHidden/>
              </w:rPr>
              <w:fldChar w:fldCharType="end"/>
            </w:r>
          </w:hyperlink>
        </w:p>
        <w:p w14:paraId="0AA870CF" w14:textId="0113AC00"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82" w:history="1">
            <w:r w:rsidRPr="00AA38E6">
              <w:rPr>
                <w:rStyle w:val="Hyperlink"/>
              </w:rPr>
              <w:t>Afdeling 5. de selectieprocedure</w:t>
            </w:r>
            <w:r>
              <w:rPr>
                <w:webHidden/>
              </w:rPr>
              <w:tab/>
            </w:r>
            <w:r>
              <w:rPr>
                <w:webHidden/>
              </w:rPr>
              <w:fldChar w:fldCharType="begin"/>
            </w:r>
            <w:r>
              <w:rPr>
                <w:webHidden/>
              </w:rPr>
              <w:instrText xml:space="preserve"> PAGEREF _Toc215738982 \h </w:instrText>
            </w:r>
            <w:r>
              <w:rPr>
                <w:webHidden/>
              </w:rPr>
            </w:r>
            <w:r>
              <w:rPr>
                <w:webHidden/>
              </w:rPr>
              <w:fldChar w:fldCharType="separate"/>
            </w:r>
            <w:r>
              <w:rPr>
                <w:webHidden/>
              </w:rPr>
              <w:t>37</w:t>
            </w:r>
            <w:r>
              <w:rPr>
                <w:webHidden/>
              </w:rPr>
              <w:fldChar w:fldCharType="end"/>
            </w:r>
          </w:hyperlink>
        </w:p>
        <w:p w14:paraId="7AFC5E55" w14:textId="0188C658"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83" w:history="1">
            <w:r w:rsidRPr="00AA38E6">
              <w:rPr>
                <w:rStyle w:val="Hyperlink"/>
              </w:rPr>
              <w:t>Afdeling 6. administratieve anciënniteit en andere arbeidsvoorwaarden</w:t>
            </w:r>
            <w:r>
              <w:rPr>
                <w:webHidden/>
              </w:rPr>
              <w:tab/>
            </w:r>
            <w:r>
              <w:rPr>
                <w:webHidden/>
              </w:rPr>
              <w:fldChar w:fldCharType="begin"/>
            </w:r>
            <w:r>
              <w:rPr>
                <w:webHidden/>
              </w:rPr>
              <w:instrText xml:space="preserve"> PAGEREF _Toc215738983 \h </w:instrText>
            </w:r>
            <w:r>
              <w:rPr>
                <w:webHidden/>
              </w:rPr>
            </w:r>
            <w:r>
              <w:rPr>
                <w:webHidden/>
              </w:rPr>
              <w:fldChar w:fldCharType="separate"/>
            </w:r>
            <w:r>
              <w:rPr>
                <w:webHidden/>
              </w:rPr>
              <w:t>37</w:t>
            </w:r>
            <w:r>
              <w:rPr>
                <w:webHidden/>
              </w:rPr>
              <w:fldChar w:fldCharType="end"/>
            </w:r>
          </w:hyperlink>
        </w:p>
        <w:p w14:paraId="3EBBD85E" w14:textId="35BFDD75"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84" w:history="1">
            <w:r w:rsidRPr="00AA38E6">
              <w:rPr>
                <w:rStyle w:val="Hyperlink"/>
              </w:rPr>
              <w:t>hoofdstuk xii. de waarneming van een hogere functie</w:t>
            </w:r>
            <w:r>
              <w:rPr>
                <w:webHidden/>
              </w:rPr>
              <w:tab/>
            </w:r>
            <w:r>
              <w:rPr>
                <w:webHidden/>
              </w:rPr>
              <w:fldChar w:fldCharType="begin"/>
            </w:r>
            <w:r>
              <w:rPr>
                <w:webHidden/>
              </w:rPr>
              <w:instrText xml:space="preserve"> PAGEREF _Toc215738984 \h </w:instrText>
            </w:r>
            <w:r>
              <w:rPr>
                <w:webHidden/>
              </w:rPr>
            </w:r>
            <w:r>
              <w:rPr>
                <w:webHidden/>
              </w:rPr>
              <w:fldChar w:fldCharType="separate"/>
            </w:r>
            <w:r>
              <w:rPr>
                <w:webHidden/>
              </w:rPr>
              <w:t>38</w:t>
            </w:r>
            <w:r>
              <w:rPr>
                <w:webHidden/>
              </w:rPr>
              <w:fldChar w:fldCharType="end"/>
            </w:r>
          </w:hyperlink>
        </w:p>
        <w:p w14:paraId="476860CB" w14:textId="3191C244"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85" w:history="1">
            <w:r w:rsidRPr="00AA38E6">
              <w:rPr>
                <w:rStyle w:val="Hyperlink"/>
              </w:rPr>
              <w:t>Hoofdstuk xiii. herplaatsing</w:t>
            </w:r>
            <w:r>
              <w:rPr>
                <w:webHidden/>
              </w:rPr>
              <w:tab/>
            </w:r>
            <w:r>
              <w:rPr>
                <w:webHidden/>
              </w:rPr>
              <w:fldChar w:fldCharType="begin"/>
            </w:r>
            <w:r>
              <w:rPr>
                <w:webHidden/>
              </w:rPr>
              <w:instrText xml:space="preserve"> PAGEREF _Toc215738985 \h </w:instrText>
            </w:r>
            <w:r>
              <w:rPr>
                <w:webHidden/>
              </w:rPr>
            </w:r>
            <w:r>
              <w:rPr>
                <w:webHidden/>
              </w:rPr>
              <w:fldChar w:fldCharType="separate"/>
            </w:r>
            <w:r>
              <w:rPr>
                <w:webHidden/>
              </w:rPr>
              <w:t>39</w:t>
            </w:r>
            <w:r>
              <w:rPr>
                <w:webHidden/>
              </w:rPr>
              <w:fldChar w:fldCharType="end"/>
            </w:r>
          </w:hyperlink>
        </w:p>
        <w:p w14:paraId="0A563300" w14:textId="232EDF9A"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86" w:history="1">
            <w:r w:rsidRPr="00AA38E6">
              <w:rPr>
                <w:rStyle w:val="Hyperlink"/>
                <w:rFonts w:cs="Arial"/>
              </w:rPr>
              <w:t>Afdeling 1. herplaatsing om medische redenen</w:t>
            </w:r>
            <w:r>
              <w:rPr>
                <w:webHidden/>
              </w:rPr>
              <w:tab/>
            </w:r>
            <w:r>
              <w:rPr>
                <w:webHidden/>
              </w:rPr>
              <w:fldChar w:fldCharType="begin"/>
            </w:r>
            <w:r>
              <w:rPr>
                <w:webHidden/>
              </w:rPr>
              <w:instrText xml:space="preserve"> PAGEREF _Toc215738986 \h </w:instrText>
            </w:r>
            <w:r>
              <w:rPr>
                <w:webHidden/>
              </w:rPr>
            </w:r>
            <w:r>
              <w:rPr>
                <w:webHidden/>
              </w:rPr>
              <w:fldChar w:fldCharType="separate"/>
            </w:r>
            <w:r>
              <w:rPr>
                <w:webHidden/>
              </w:rPr>
              <w:t>39</w:t>
            </w:r>
            <w:r>
              <w:rPr>
                <w:webHidden/>
              </w:rPr>
              <w:fldChar w:fldCharType="end"/>
            </w:r>
          </w:hyperlink>
        </w:p>
        <w:p w14:paraId="27EF4604" w14:textId="64F641CC"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87" w:history="1">
            <w:r w:rsidRPr="00AA38E6">
              <w:rPr>
                <w:rStyle w:val="Hyperlink"/>
                <w:rFonts w:cs="Arial"/>
              </w:rPr>
              <w:t>Afdeling 2. herplaatsing na ongunstige evaluatie of als alternatief voor ontslag wegens beroepsongeschiktheid</w:t>
            </w:r>
            <w:r>
              <w:rPr>
                <w:webHidden/>
              </w:rPr>
              <w:tab/>
            </w:r>
            <w:r>
              <w:rPr>
                <w:webHidden/>
              </w:rPr>
              <w:fldChar w:fldCharType="begin"/>
            </w:r>
            <w:r>
              <w:rPr>
                <w:webHidden/>
              </w:rPr>
              <w:instrText xml:space="preserve"> PAGEREF _Toc215738987 \h </w:instrText>
            </w:r>
            <w:r>
              <w:rPr>
                <w:webHidden/>
              </w:rPr>
            </w:r>
            <w:r>
              <w:rPr>
                <w:webHidden/>
              </w:rPr>
              <w:fldChar w:fldCharType="separate"/>
            </w:r>
            <w:r>
              <w:rPr>
                <w:webHidden/>
              </w:rPr>
              <w:t>39</w:t>
            </w:r>
            <w:r>
              <w:rPr>
                <w:webHidden/>
              </w:rPr>
              <w:fldChar w:fldCharType="end"/>
            </w:r>
          </w:hyperlink>
        </w:p>
        <w:p w14:paraId="215DD814" w14:textId="00FDC39F"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88" w:history="1">
            <w:r w:rsidRPr="00AA38E6">
              <w:rPr>
                <w:rStyle w:val="Hyperlink"/>
                <w:rFonts w:cs="Arial"/>
              </w:rPr>
              <w:t>Afdeling 3. herplaatsing om persoonlijke redenen</w:t>
            </w:r>
            <w:r>
              <w:rPr>
                <w:webHidden/>
              </w:rPr>
              <w:tab/>
            </w:r>
            <w:r>
              <w:rPr>
                <w:webHidden/>
              </w:rPr>
              <w:fldChar w:fldCharType="begin"/>
            </w:r>
            <w:r>
              <w:rPr>
                <w:webHidden/>
              </w:rPr>
              <w:instrText xml:space="preserve"> PAGEREF _Toc215738988 \h </w:instrText>
            </w:r>
            <w:r>
              <w:rPr>
                <w:webHidden/>
              </w:rPr>
            </w:r>
            <w:r>
              <w:rPr>
                <w:webHidden/>
              </w:rPr>
              <w:fldChar w:fldCharType="separate"/>
            </w:r>
            <w:r>
              <w:rPr>
                <w:webHidden/>
              </w:rPr>
              <w:t>40</w:t>
            </w:r>
            <w:r>
              <w:rPr>
                <w:webHidden/>
              </w:rPr>
              <w:fldChar w:fldCharType="end"/>
            </w:r>
          </w:hyperlink>
        </w:p>
        <w:p w14:paraId="28373BD4" w14:textId="015D930B"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89" w:history="1">
            <w:r w:rsidRPr="00AA38E6">
              <w:rPr>
                <w:rStyle w:val="Hyperlink"/>
                <w:rFonts w:cs="Arial"/>
              </w:rPr>
              <w:t>Afdeling 4: Herplaatsing of ter beschikking stelling ingevolge afschaffing betrekking wegens noodwendigheden</w:t>
            </w:r>
            <w:r>
              <w:rPr>
                <w:webHidden/>
              </w:rPr>
              <w:tab/>
            </w:r>
            <w:r>
              <w:rPr>
                <w:webHidden/>
              </w:rPr>
              <w:fldChar w:fldCharType="begin"/>
            </w:r>
            <w:r>
              <w:rPr>
                <w:webHidden/>
              </w:rPr>
              <w:instrText xml:space="preserve"> PAGEREF _Toc215738989 \h </w:instrText>
            </w:r>
            <w:r>
              <w:rPr>
                <w:webHidden/>
              </w:rPr>
            </w:r>
            <w:r>
              <w:rPr>
                <w:webHidden/>
              </w:rPr>
              <w:fldChar w:fldCharType="separate"/>
            </w:r>
            <w:r>
              <w:rPr>
                <w:webHidden/>
              </w:rPr>
              <w:t>40</w:t>
            </w:r>
            <w:r>
              <w:rPr>
                <w:webHidden/>
              </w:rPr>
              <w:fldChar w:fldCharType="end"/>
            </w:r>
          </w:hyperlink>
        </w:p>
        <w:p w14:paraId="69FEEF35" w14:textId="657244BA" w:rsidR="002E7875" w:rsidRDefault="002E7875">
          <w:pPr>
            <w:pStyle w:val="Inhopg1"/>
            <w:rPr>
              <w:rFonts w:asciiTheme="minorHAnsi" w:eastAsiaTheme="minorEastAsia" w:hAnsiTheme="minorHAnsi" w:cstheme="minorBidi"/>
              <w:b w:val="0"/>
              <w:bCs w:val="0"/>
              <w:caps w:val="0"/>
              <w:kern w:val="2"/>
              <w:sz w:val="24"/>
              <w:szCs w:val="24"/>
              <w:lang w:val="nl-BE" w:eastAsia="nl-BE"/>
              <w14:ligatures w14:val="standardContextual"/>
            </w:rPr>
          </w:pPr>
          <w:hyperlink w:anchor="_Toc215738990" w:history="1">
            <w:r w:rsidRPr="00AA38E6">
              <w:rPr>
                <w:rStyle w:val="Hyperlink"/>
              </w:rPr>
              <w:t>TITEL 3. HET VERLIES VAN DE HOEDANIGHEID VAN STATUTAIR PERSONEELSLID EN DE DEFINITIEVE AMBTSNEERLEGGING</w:t>
            </w:r>
            <w:r>
              <w:rPr>
                <w:webHidden/>
              </w:rPr>
              <w:tab/>
            </w:r>
            <w:r>
              <w:rPr>
                <w:webHidden/>
              </w:rPr>
              <w:fldChar w:fldCharType="begin"/>
            </w:r>
            <w:r>
              <w:rPr>
                <w:webHidden/>
              </w:rPr>
              <w:instrText xml:space="preserve"> PAGEREF _Toc215738990 \h </w:instrText>
            </w:r>
            <w:r>
              <w:rPr>
                <w:webHidden/>
              </w:rPr>
            </w:r>
            <w:r>
              <w:rPr>
                <w:webHidden/>
              </w:rPr>
              <w:fldChar w:fldCharType="separate"/>
            </w:r>
            <w:r>
              <w:rPr>
                <w:webHidden/>
              </w:rPr>
              <w:t>42</w:t>
            </w:r>
            <w:r>
              <w:rPr>
                <w:webHidden/>
              </w:rPr>
              <w:fldChar w:fldCharType="end"/>
            </w:r>
          </w:hyperlink>
        </w:p>
        <w:p w14:paraId="742BB11F" w14:textId="4753F842"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91" w:history="1">
            <w:r w:rsidRPr="00AA38E6">
              <w:rPr>
                <w:rStyle w:val="Hyperlink"/>
              </w:rPr>
              <w:t>Hoofdstuk i. het verlies van de hoedanigheid van statutair personeelslid</w:t>
            </w:r>
            <w:r>
              <w:rPr>
                <w:webHidden/>
              </w:rPr>
              <w:tab/>
            </w:r>
            <w:r>
              <w:rPr>
                <w:webHidden/>
              </w:rPr>
              <w:fldChar w:fldCharType="begin"/>
            </w:r>
            <w:r>
              <w:rPr>
                <w:webHidden/>
              </w:rPr>
              <w:instrText xml:space="preserve"> PAGEREF _Toc215738991 \h </w:instrText>
            </w:r>
            <w:r>
              <w:rPr>
                <w:webHidden/>
              </w:rPr>
            </w:r>
            <w:r>
              <w:rPr>
                <w:webHidden/>
              </w:rPr>
              <w:fldChar w:fldCharType="separate"/>
            </w:r>
            <w:r>
              <w:rPr>
                <w:webHidden/>
              </w:rPr>
              <w:t>42</w:t>
            </w:r>
            <w:r>
              <w:rPr>
                <w:webHidden/>
              </w:rPr>
              <w:fldChar w:fldCharType="end"/>
            </w:r>
          </w:hyperlink>
        </w:p>
        <w:p w14:paraId="4B36EF8B" w14:textId="5B59EF63"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92" w:history="1">
            <w:r w:rsidRPr="00AA38E6">
              <w:rPr>
                <w:rStyle w:val="Hyperlink"/>
              </w:rPr>
              <w:t>Hoofdstuk ii. de definitieve ambtsneerlegging van het statutaire personeelslid</w:t>
            </w:r>
            <w:r>
              <w:rPr>
                <w:webHidden/>
              </w:rPr>
              <w:tab/>
            </w:r>
            <w:r>
              <w:rPr>
                <w:webHidden/>
              </w:rPr>
              <w:fldChar w:fldCharType="begin"/>
            </w:r>
            <w:r>
              <w:rPr>
                <w:webHidden/>
              </w:rPr>
              <w:instrText xml:space="preserve"> PAGEREF _Toc215738992 \h </w:instrText>
            </w:r>
            <w:r>
              <w:rPr>
                <w:webHidden/>
              </w:rPr>
            </w:r>
            <w:r>
              <w:rPr>
                <w:webHidden/>
              </w:rPr>
              <w:fldChar w:fldCharType="separate"/>
            </w:r>
            <w:r>
              <w:rPr>
                <w:webHidden/>
              </w:rPr>
              <w:t>43</w:t>
            </w:r>
            <w:r>
              <w:rPr>
                <w:webHidden/>
              </w:rPr>
              <w:fldChar w:fldCharType="end"/>
            </w:r>
          </w:hyperlink>
        </w:p>
        <w:p w14:paraId="159075F3" w14:textId="026BD1AE"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93" w:history="1">
            <w:r w:rsidRPr="00AA38E6">
              <w:rPr>
                <w:rStyle w:val="Hyperlink"/>
              </w:rPr>
              <w:t>Hoofdstuk iii. het outplacement</w:t>
            </w:r>
            <w:r>
              <w:rPr>
                <w:webHidden/>
              </w:rPr>
              <w:tab/>
            </w:r>
            <w:r>
              <w:rPr>
                <w:webHidden/>
              </w:rPr>
              <w:fldChar w:fldCharType="begin"/>
            </w:r>
            <w:r>
              <w:rPr>
                <w:webHidden/>
              </w:rPr>
              <w:instrText xml:space="preserve"> PAGEREF _Toc215738993 \h </w:instrText>
            </w:r>
            <w:r>
              <w:rPr>
                <w:webHidden/>
              </w:rPr>
            </w:r>
            <w:r>
              <w:rPr>
                <w:webHidden/>
              </w:rPr>
              <w:fldChar w:fldCharType="separate"/>
            </w:r>
            <w:r>
              <w:rPr>
                <w:webHidden/>
              </w:rPr>
              <w:t>44</w:t>
            </w:r>
            <w:r>
              <w:rPr>
                <w:webHidden/>
              </w:rPr>
              <w:fldChar w:fldCharType="end"/>
            </w:r>
          </w:hyperlink>
        </w:p>
        <w:p w14:paraId="6209A592" w14:textId="2AABE08F" w:rsidR="002E7875" w:rsidRDefault="002E7875">
          <w:pPr>
            <w:pStyle w:val="Inhopg1"/>
            <w:rPr>
              <w:rFonts w:asciiTheme="minorHAnsi" w:eastAsiaTheme="minorEastAsia" w:hAnsiTheme="minorHAnsi" w:cstheme="minorBidi"/>
              <w:b w:val="0"/>
              <w:bCs w:val="0"/>
              <w:caps w:val="0"/>
              <w:kern w:val="2"/>
              <w:sz w:val="24"/>
              <w:szCs w:val="24"/>
              <w:lang w:val="nl-BE" w:eastAsia="nl-BE"/>
              <w14:ligatures w14:val="standardContextual"/>
            </w:rPr>
          </w:pPr>
          <w:hyperlink w:anchor="_Toc215738994" w:history="1">
            <w:r w:rsidRPr="00AA38E6">
              <w:rPr>
                <w:rStyle w:val="Hyperlink"/>
              </w:rPr>
              <w:t>TITEL 4 OVERDRACHT EN TERBESCHIKKINGSTELLING VAN PERSONEEL</w:t>
            </w:r>
            <w:r>
              <w:rPr>
                <w:webHidden/>
              </w:rPr>
              <w:tab/>
            </w:r>
            <w:r>
              <w:rPr>
                <w:webHidden/>
              </w:rPr>
              <w:fldChar w:fldCharType="begin"/>
            </w:r>
            <w:r>
              <w:rPr>
                <w:webHidden/>
              </w:rPr>
              <w:instrText xml:space="preserve"> PAGEREF _Toc215738994 \h </w:instrText>
            </w:r>
            <w:r>
              <w:rPr>
                <w:webHidden/>
              </w:rPr>
            </w:r>
            <w:r>
              <w:rPr>
                <w:webHidden/>
              </w:rPr>
              <w:fldChar w:fldCharType="separate"/>
            </w:r>
            <w:r>
              <w:rPr>
                <w:webHidden/>
              </w:rPr>
              <w:t>45</w:t>
            </w:r>
            <w:r>
              <w:rPr>
                <w:webHidden/>
              </w:rPr>
              <w:fldChar w:fldCharType="end"/>
            </w:r>
          </w:hyperlink>
        </w:p>
        <w:p w14:paraId="2721B805" w14:textId="103CDBEC" w:rsidR="002E7875" w:rsidRDefault="002E7875">
          <w:pPr>
            <w:pStyle w:val="Inhopg1"/>
            <w:rPr>
              <w:rFonts w:asciiTheme="minorHAnsi" w:eastAsiaTheme="minorEastAsia" w:hAnsiTheme="minorHAnsi" w:cstheme="minorBidi"/>
              <w:b w:val="0"/>
              <w:bCs w:val="0"/>
              <w:caps w:val="0"/>
              <w:kern w:val="2"/>
              <w:sz w:val="24"/>
              <w:szCs w:val="24"/>
              <w:lang w:val="nl-BE" w:eastAsia="nl-BE"/>
              <w14:ligatures w14:val="standardContextual"/>
            </w:rPr>
          </w:pPr>
          <w:hyperlink w:anchor="_Toc215738995" w:history="1">
            <w:r w:rsidRPr="00AA38E6">
              <w:rPr>
                <w:rStyle w:val="Hyperlink"/>
              </w:rPr>
              <w:t>TITEL 5. HET SALARIS</w:t>
            </w:r>
            <w:r>
              <w:rPr>
                <w:webHidden/>
              </w:rPr>
              <w:tab/>
            </w:r>
            <w:r>
              <w:rPr>
                <w:webHidden/>
              </w:rPr>
              <w:fldChar w:fldCharType="begin"/>
            </w:r>
            <w:r>
              <w:rPr>
                <w:webHidden/>
              </w:rPr>
              <w:instrText xml:space="preserve"> PAGEREF _Toc215738995 \h </w:instrText>
            </w:r>
            <w:r>
              <w:rPr>
                <w:webHidden/>
              </w:rPr>
            </w:r>
            <w:r>
              <w:rPr>
                <w:webHidden/>
              </w:rPr>
              <w:fldChar w:fldCharType="separate"/>
            </w:r>
            <w:r>
              <w:rPr>
                <w:webHidden/>
              </w:rPr>
              <w:t>47</w:t>
            </w:r>
            <w:r>
              <w:rPr>
                <w:webHidden/>
              </w:rPr>
              <w:fldChar w:fldCharType="end"/>
            </w:r>
          </w:hyperlink>
        </w:p>
        <w:p w14:paraId="539D5375" w14:textId="333FA9FE"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96" w:history="1">
            <w:r w:rsidRPr="00AA38E6">
              <w:rPr>
                <w:rStyle w:val="Hyperlink"/>
              </w:rPr>
              <w:t>Hoofdstuk i. algemene bepalingen</w:t>
            </w:r>
            <w:r>
              <w:rPr>
                <w:webHidden/>
              </w:rPr>
              <w:tab/>
            </w:r>
            <w:r>
              <w:rPr>
                <w:webHidden/>
              </w:rPr>
              <w:fldChar w:fldCharType="begin"/>
            </w:r>
            <w:r>
              <w:rPr>
                <w:webHidden/>
              </w:rPr>
              <w:instrText xml:space="preserve"> PAGEREF _Toc215738996 \h </w:instrText>
            </w:r>
            <w:r>
              <w:rPr>
                <w:webHidden/>
              </w:rPr>
            </w:r>
            <w:r>
              <w:rPr>
                <w:webHidden/>
              </w:rPr>
              <w:fldChar w:fldCharType="separate"/>
            </w:r>
            <w:r>
              <w:rPr>
                <w:webHidden/>
              </w:rPr>
              <w:t>47</w:t>
            </w:r>
            <w:r>
              <w:rPr>
                <w:webHidden/>
              </w:rPr>
              <w:fldChar w:fldCharType="end"/>
            </w:r>
          </w:hyperlink>
        </w:p>
        <w:p w14:paraId="55979FD2" w14:textId="5F015DB9"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97" w:history="1">
            <w:r w:rsidRPr="00AA38E6">
              <w:rPr>
                <w:rStyle w:val="Hyperlink"/>
              </w:rPr>
              <w:t>Hoofdstuk ii. de toekenning van periodieke salarisverhogingen door de opbouw van geldelijke anciënNiteit</w:t>
            </w:r>
            <w:r>
              <w:rPr>
                <w:webHidden/>
              </w:rPr>
              <w:tab/>
            </w:r>
            <w:r>
              <w:rPr>
                <w:webHidden/>
              </w:rPr>
              <w:fldChar w:fldCharType="begin"/>
            </w:r>
            <w:r>
              <w:rPr>
                <w:webHidden/>
              </w:rPr>
              <w:instrText xml:space="preserve"> PAGEREF _Toc215738997 \h </w:instrText>
            </w:r>
            <w:r>
              <w:rPr>
                <w:webHidden/>
              </w:rPr>
            </w:r>
            <w:r>
              <w:rPr>
                <w:webHidden/>
              </w:rPr>
              <w:fldChar w:fldCharType="separate"/>
            </w:r>
            <w:r>
              <w:rPr>
                <w:webHidden/>
              </w:rPr>
              <w:t>49</w:t>
            </w:r>
            <w:r>
              <w:rPr>
                <w:webHidden/>
              </w:rPr>
              <w:fldChar w:fldCharType="end"/>
            </w:r>
          </w:hyperlink>
        </w:p>
        <w:p w14:paraId="34DB1FD8" w14:textId="7DC02E5A"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98" w:history="1">
            <w:r w:rsidRPr="00AA38E6">
              <w:rPr>
                <w:rStyle w:val="Hyperlink"/>
              </w:rPr>
              <w:t>Afdeling 1. diensten bij een overheid</w:t>
            </w:r>
            <w:r>
              <w:rPr>
                <w:webHidden/>
              </w:rPr>
              <w:tab/>
            </w:r>
            <w:r>
              <w:rPr>
                <w:webHidden/>
              </w:rPr>
              <w:fldChar w:fldCharType="begin"/>
            </w:r>
            <w:r>
              <w:rPr>
                <w:webHidden/>
              </w:rPr>
              <w:instrText xml:space="preserve"> PAGEREF _Toc215738998 \h </w:instrText>
            </w:r>
            <w:r>
              <w:rPr>
                <w:webHidden/>
              </w:rPr>
            </w:r>
            <w:r>
              <w:rPr>
                <w:webHidden/>
              </w:rPr>
              <w:fldChar w:fldCharType="separate"/>
            </w:r>
            <w:r>
              <w:rPr>
                <w:webHidden/>
              </w:rPr>
              <w:t>49</w:t>
            </w:r>
            <w:r>
              <w:rPr>
                <w:webHidden/>
              </w:rPr>
              <w:fldChar w:fldCharType="end"/>
            </w:r>
          </w:hyperlink>
        </w:p>
        <w:p w14:paraId="5561722A" w14:textId="5210734D"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99" w:history="1">
            <w:r w:rsidRPr="00AA38E6">
              <w:rPr>
                <w:rStyle w:val="Hyperlink"/>
              </w:rPr>
              <w:t>Afdeling 2. diensten in de privésector of als zelfstandige</w:t>
            </w:r>
            <w:r>
              <w:rPr>
                <w:webHidden/>
              </w:rPr>
              <w:tab/>
            </w:r>
            <w:r>
              <w:rPr>
                <w:webHidden/>
              </w:rPr>
              <w:fldChar w:fldCharType="begin"/>
            </w:r>
            <w:r>
              <w:rPr>
                <w:webHidden/>
              </w:rPr>
              <w:instrText xml:space="preserve"> PAGEREF _Toc215738999 \h </w:instrText>
            </w:r>
            <w:r>
              <w:rPr>
                <w:webHidden/>
              </w:rPr>
            </w:r>
            <w:r>
              <w:rPr>
                <w:webHidden/>
              </w:rPr>
              <w:fldChar w:fldCharType="separate"/>
            </w:r>
            <w:r>
              <w:rPr>
                <w:webHidden/>
              </w:rPr>
              <w:t>50</w:t>
            </w:r>
            <w:r>
              <w:rPr>
                <w:webHidden/>
              </w:rPr>
              <w:fldChar w:fldCharType="end"/>
            </w:r>
          </w:hyperlink>
        </w:p>
        <w:p w14:paraId="1665A727" w14:textId="738553FB"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00" w:history="1">
            <w:r w:rsidRPr="00AA38E6">
              <w:rPr>
                <w:rStyle w:val="Hyperlink"/>
                <w:bCs/>
              </w:rPr>
              <w:t>Afdeling 3. de valorisatie van de diensten</w:t>
            </w:r>
            <w:r>
              <w:rPr>
                <w:webHidden/>
              </w:rPr>
              <w:tab/>
            </w:r>
            <w:r>
              <w:rPr>
                <w:webHidden/>
              </w:rPr>
              <w:fldChar w:fldCharType="begin"/>
            </w:r>
            <w:r>
              <w:rPr>
                <w:webHidden/>
              </w:rPr>
              <w:instrText xml:space="preserve"> PAGEREF _Toc215739000 \h </w:instrText>
            </w:r>
            <w:r>
              <w:rPr>
                <w:webHidden/>
              </w:rPr>
            </w:r>
            <w:r>
              <w:rPr>
                <w:webHidden/>
              </w:rPr>
              <w:fldChar w:fldCharType="separate"/>
            </w:r>
            <w:r>
              <w:rPr>
                <w:webHidden/>
              </w:rPr>
              <w:t>50</w:t>
            </w:r>
            <w:r>
              <w:rPr>
                <w:webHidden/>
              </w:rPr>
              <w:fldChar w:fldCharType="end"/>
            </w:r>
          </w:hyperlink>
        </w:p>
        <w:p w14:paraId="54CA3A3D" w14:textId="0CB3D34F"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01" w:history="1">
            <w:r w:rsidRPr="00AA38E6">
              <w:rPr>
                <w:rStyle w:val="Hyperlink"/>
              </w:rPr>
              <w:t>Hoofdstuk iii. bijzondere bepalingen</w:t>
            </w:r>
            <w:r>
              <w:rPr>
                <w:webHidden/>
              </w:rPr>
              <w:tab/>
            </w:r>
            <w:r>
              <w:rPr>
                <w:webHidden/>
              </w:rPr>
              <w:fldChar w:fldCharType="begin"/>
            </w:r>
            <w:r>
              <w:rPr>
                <w:webHidden/>
              </w:rPr>
              <w:instrText xml:space="preserve"> PAGEREF _Toc215739001 \h </w:instrText>
            </w:r>
            <w:r>
              <w:rPr>
                <w:webHidden/>
              </w:rPr>
            </w:r>
            <w:r>
              <w:rPr>
                <w:webHidden/>
              </w:rPr>
              <w:fldChar w:fldCharType="separate"/>
            </w:r>
            <w:r>
              <w:rPr>
                <w:webHidden/>
              </w:rPr>
              <w:t>51</w:t>
            </w:r>
            <w:r>
              <w:rPr>
                <w:webHidden/>
              </w:rPr>
              <w:fldChar w:fldCharType="end"/>
            </w:r>
          </w:hyperlink>
        </w:p>
        <w:p w14:paraId="6D292367" w14:textId="3E69146E"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02" w:history="1">
            <w:r w:rsidRPr="00AA38E6">
              <w:rPr>
                <w:rStyle w:val="Hyperlink"/>
              </w:rPr>
              <w:t>Hoofdstuk iv. de betaling van het salaris</w:t>
            </w:r>
            <w:r>
              <w:rPr>
                <w:webHidden/>
              </w:rPr>
              <w:tab/>
            </w:r>
            <w:r>
              <w:rPr>
                <w:webHidden/>
              </w:rPr>
              <w:fldChar w:fldCharType="begin"/>
            </w:r>
            <w:r>
              <w:rPr>
                <w:webHidden/>
              </w:rPr>
              <w:instrText xml:space="preserve"> PAGEREF _Toc215739002 \h </w:instrText>
            </w:r>
            <w:r>
              <w:rPr>
                <w:webHidden/>
              </w:rPr>
            </w:r>
            <w:r>
              <w:rPr>
                <w:webHidden/>
              </w:rPr>
              <w:fldChar w:fldCharType="separate"/>
            </w:r>
            <w:r>
              <w:rPr>
                <w:webHidden/>
              </w:rPr>
              <w:t>52</w:t>
            </w:r>
            <w:r>
              <w:rPr>
                <w:webHidden/>
              </w:rPr>
              <w:fldChar w:fldCharType="end"/>
            </w:r>
          </w:hyperlink>
        </w:p>
        <w:p w14:paraId="5E40202D" w14:textId="4C71A4C7"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03" w:history="1">
            <w:r w:rsidRPr="00AA38E6">
              <w:rPr>
                <w:rStyle w:val="Hyperlink"/>
              </w:rPr>
              <w:t>Hoofdstuk v. theoretisch budget</w:t>
            </w:r>
            <w:r>
              <w:rPr>
                <w:webHidden/>
              </w:rPr>
              <w:tab/>
            </w:r>
            <w:r>
              <w:rPr>
                <w:webHidden/>
              </w:rPr>
              <w:fldChar w:fldCharType="begin"/>
            </w:r>
            <w:r>
              <w:rPr>
                <w:webHidden/>
              </w:rPr>
              <w:instrText xml:space="preserve"> PAGEREF _Toc215739003 \h </w:instrText>
            </w:r>
            <w:r>
              <w:rPr>
                <w:webHidden/>
              </w:rPr>
            </w:r>
            <w:r>
              <w:rPr>
                <w:webHidden/>
              </w:rPr>
              <w:fldChar w:fldCharType="separate"/>
            </w:r>
            <w:r>
              <w:rPr>
                <w:webHidden/>
              </w:rPr>
              <w:t>52</w:t>
            </w:r>
            <w:r>
              <w:rPr>
                <w:webHidden/>
              </w:rPr>
              <w:fldChar w:fldCharType="end"/>
            </w:r>
          </w:hyperlink>
        </w:p>
        <w:p w14:paraId="5D1F3EA1" w14:textId="17D5399A" w:rsidR="002E7875" w:rsidRDefault="002E7875">
          <w:pPr>
            <w:pStyle w:val="Inhopg1"/>
            <w:rPr>
              <w:rFonts w:asciiTheme="minorHAnsi" w:eastAsiaTheme="minorEastAsia" w:hAnsiTheme="minorHAnsi" w:cstheme="minorBidi"/>
              <w:b w:val="0"/>
              <w:bCs w:val="0"/>
              <w:caps w:val="0"/>
              <w:kern w:val="2"/>
              <w:sz w:val="24"/>
              <w:szCs w:val="24"/>
              <w:lang w:val="nl-BE" w:eastAsia="nl-BE"/>
              <w14:ligatures w14:val="standardContextual"/>
            </w:rPr>
          </w:pPr>
          <w:hyperlink w:anchor="_Toc215739004" w:history="1">
            <w:r w:rsidRPr="00AA38E6">
              <w:rPr>
                <w:rStyle w:val="Hyperlink"/>
              </w:rPr>
              <w:t>TITEL 6. DE TOELAGEN, VERGOEDINGEN EN SOCIALE VOORDELEN</w:t>
            </w:r>
            <w:r>
              <w:rPr>
                <w:webHidden/>
              </w:rPr>
              <w:tab/>
            </w:r>
            <w:r>
              <w:rPr>
                <w:webHidden/>
              </w:rPr>
              <w:fldChar w:fldCharType="begin"/>
            </w:r>
            <w:r>
              <w:rPr>
                <w:webHidden/>
              </w:rPr>
              <w:instrText xml:space="preserve"> PAGEREF _Toc215739004 \h </w:instrText>
            </w:r>
            <w:r>
              <w:rPr>
                <w:webHidden/>
              </w:rPr>
            </w:r>
            <w:r>
              <w:rPr>
                <w:webHidden/>
              </w:rPr>
              <w:fldChar w:fldCharType="separate"/>
            </w:r>
            <w:r>
              <w:rPr>
                <w:webHidden/>
              </w:rPr>
              <w:t>54</w:t>
            </w:r>
            <w:r>
              <w:rPr>
                <w:webHidden/>
              </w:rPr>
              <w:fldChar w:fldCharType="end"/>
            </w:r>
          </w:hyperlink>
        </w:p>
        <w:p w14:paraId="12B28FFE" w14:textId="7121D603"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05" w:history="1">
            <w:r w:rsidRPr="00AA38E6">
              <w:rPr>
                <w:rStyle w:val="Hyperlink"/>
              </w:rPr>
              <w:t>Hoofdstuk i. algemene bepalingen</w:t>
            </w:r>
            <w:r>
              <w:rPr>
                <w:webHidden/>
              </w:rPr>
              <w:tab/>
            </w:r>
            <w:r>
              <w:rPr>
                <w:webHidden/>
              </w:rPr>
              <w:fldChar w:fldCharType="begin"/>
            </w:r>
            <w:r>
              <w:rPr>
                <w:webHidden/>
              </w:rPr>
              <w:instrText xml:space="preserve"> PAGEREF _Toc215739005 \h </w:instrText>
            </w:r>
            <w:r>
              <w:rPr>
                <w:webHidden/>
              </w:rPr>
            </w:r>
            <w:r>
              <w:rPr>
                <w:webHidden/>
              </w:rPr>
              <w:fldChar w:fldCharType="separate"/>
            </w:r>
            <w:r>
              <w:rPr>
                <w:webHidden/>
              </w:rPr>
              <w:t>54</w:t>
            </w:r>
            <w:r>
              <w:rPr>
                <w:webHidden/>
              </w:rPr>
              <w:fldChar w:fldCharType="end"/>
            </w:r>
          </w:hyperlink>
        </w:p>
        <w:p w14:paraId="674AAD28" w14:textId="66767DBF"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06" w:history="1">
            <w:r w:rsidRPr="00AA38E6">
              <w:rPr>
                <w:rStyle w:val="Hyperlink"/>
              </w:rPr>
              <w:t>Hoofdstuk ii. de verplichte toelagen</w:t>
            </w:r>
            <w:r>
              <w:rPr>
                <w:webHidden/>
              </w:rPr>
              <w:tab/>
            </w:r>
            <w:r>
              <w:rPr>
                <w:webHidden/>
              </w:rPr>
              <w:fldChar w:fldCharType="begin"/>
            </w:r>
            <w:r>
              <w:rPr>
                <w:webHidden/>
              </w:rPr>
              <w:instrText xml:space="preserve"> PAGEREF _Toc215739006 \h </w:instrText>
            </w:r>
            <w:r>
              <w:rPr>
                <w:webHidden/>
              </w:rPr>
            </w:r>
            <w:r>
              <w:rPr>
                <w:webHidden/>
              </w:rPr>
              <w:fldChar w:fldCharType="separate"/>
            </w:r>
            <w:r>
              <w:rPr>
                <w:webHidden/>
              </w:rPr>
              <w:t>55</w:t>
            </w:r>
            <w:r>
              <w:rPr>
                <w:webHidden/>
              </w:rPr>
              <w:fldChar w:fldCharType="end"/>
            </w:r>
          </w:hyperlink>
        </w:p>
        <w:p w14:paraId="36E1C5FA" w14:textId="55BA8B36"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07" w:history="1">
            <w:r w:rsidRPr="00AA38E6">
              <w:rPr>
                <w:rStyle w:val="Hyperlink"/>
              </w:rPr>
              <w:t>Afdeling 1. de haard- en standplaatstoelage</w:t>
            </w:r>
            <w:r>
              <w:rPr>
                <w:webHidden/>
              </w:rPr>
              <w:tab/>
            </w:r>
            <w:r>
              <w:rPr>
                <w:webHidden/>
              </w:rPr>
              <w:fldChar w:fldCharType="begin"/>
            </w:r>
            <w:r>
              <w:rPr>
                <w:webHidden/>
              </w:rPr>
              <w:instrText xml:space="preserve"> PAGEREF _Toc215739007 \h </w:instrText>
            </w:r>
            <w:r>
              <w:rPr>
                <w:webHidden/>
              </w:rPr>
            </w:r>
            <w:r>
              <w:rPr>
                <w:webHidden/>
              </w:rPr>
              <w:fldChar w:fldCharType="separate"/>
            </w:r>
            <w:r>
              <w:rPr>
                <w:webHidden/>
              </w:rPr>
              <w:t>55</w:t>
            </w:r>
            <w:r>
              <w:rPr>
                <w:webHidden/>
              </w:rPr>
              <w:fldChar w:fldCharType="end"/>
            </w:r>
          </w:hyperlink>
        </w:p>
        <w:p w14:paraId="0E74D79F" w14:textId="49B2F464"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08" w:history="1">
            <w:r w:rsidRPr="00AA38E6">
              <w:rPr>
                <w:rStyle w:val="Hyperlink"/>
              </w:rPr>
              <w:t>Afdeling 2. vakantiegeld publieke sector</w:t>
            </w:r>
            <w:r>
              <w:rPr>
                <w:webHidden/>
              </w:rPr>
              <w:tab/>
            </w:r>
            <w:r>
              <w:rPr>
                <w:webHidden/>
              </w:rPr>
              <w:fldChar w:fldCharType="begin"/>
            </w:r>
            <w:r>
              <w:rPr>
                <w:webHidden/>
              </w:rPr>
              <w:instrText xml:space="preserve"> PAGEREF _Toc215739008 \h </w:instrText>
            </w:r>
            <w:r>
              <w:rPr>
                <w:webHidden/>
              </w:rPr>
            </w:r>
            <w:r>
              <w:rPr>
                <w:webHidden/>
              </w:rPr>
              <w:fldChar w:fldCharType="separate"/>
            </w:r>
            <w:r>
              <w:rPr>
                <w:webHidden/>
              </w:rPr>
              <w:t>55</w:t>
            </w:r>
            <w:r>
              <w:rPr>
                <w:webHidden/>
              </w:rPr>
              <w:fldChar w:fldCharType="end"/>
            </w:r>
          </w:hyperlink>
        </w:p>
        <w:p w14:paraId="3380B366" w14:textId="2056F5BD"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09" w:history="1">
            <w:r w:rsidRPr="00AA38E6">
              <w:rPr>
                <w:rStyle w:val="Hyperlink"/>
              </w:rPr>
              <w:t>Afdeling 3. de eindejaarstoelage</w:t>
            </w:r>
            <w:r>
              <w:rPr>
                <w:webHidden/>
              </w:rPr>
              <w:tab/>
            </w:r>
            <w:r>
              <w:rPr>
                <w:webHidden/>
              </w:rPr>
              <w:fldChar w:fldCharType="begin"/>
            </w:r>
            <w:r>
              <w:rPr>
                <w:webHidden/>
              </w:rPr>
              <w:instrText xml:space="preserve"> PAGEREF _Toc215739009 \h </w:instrText>
            </w:r>
            <w:r>
              <w:rPr>
                <w:webHidden/>
              </w:rPr>
            </w:r>
            <w:r>
              <w:rPr>
                <w:webHidden/>
              </w:rPr>
              <w:fldChar w:fldCharType="separate"/>
            </w:r>
            <w:r>
              <w:rPr>
                <w:webHidden/>
              </w:rPr>
              <w:t>56</w:t>
            </w:r>
            <w:r>
              <w:rPr>
                <w:webHidden/>
              </w:rPr>
              <w:fldChar w:fldCharType="end"/>
            </w:r>
          </w:hyperlink>
        </w:p>
        <w:p w14:paraId="6B6F1237" w14:textId="768267A7"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10" w:history="1">
            <w:r w:rsidRPr="00AA38E6">
              <w:rPr>
                <w:rStyle w:val="Hyperlink"/>
              </w:rPr>
              <w:t>Afdeling 4. de attractiviteitspremie</w:t>
            </w:r>
            <w:r>
              <w:rPr>
                <w:webHidden/>
              </w:rPr>
              <w:tab/>
            </w:r>
            <w:r>
              <w:rPr>
                <w:webHidden/>
              </w:rPr>
              <w:fldChar w:fldCharType="begin"/>
            </w:r>
            <w:r>
              <w:rPr>
                <w:webHidden/>
              </w:rPr>
              <w:instrText xml:space="preserve"> PAGEREF _Toc215739010 \h </w:instrText>
            </w:r>
            <w:r>
              <w:rPr>
                <w:webHidden/>
              </w:rPr>
            </w:r>
            <w:r>
              <w:rPr>
                <w:webHidden/>
              </w:rPr>
              <w:fldChar w:fldCharType="separate"/>
            </w:r>
            <w:r>
              <w:rPr>
                <w:webHidden/>
              </w:rPr>
              <w:t>58</w:t>
            </w:r>
            <w:r>
              <w:rPr>
                <w:webHidden/>
              </w:rPr>
              <w:fldChar w:fldCharType="end"/>
            </w:r>
          </w:hyperlink>
        </w:p>
        <w:p w14:paraId="1F1AB0BC" w14:textId="486D0877"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11" w:history="1">
            <w:r w:rsidRPr="00AA38E6">
              <w:rPr>
                <w:rStyle w:val="Hyperlink"/>
              </w:rPr>
              <w:t>Hoofdstuk iii. de onregelmatige prestaties</w:t>
            </w:r>
            <w:r>
              <w:rPr>
                <w:webHidden/>
              </w:rPr>
              <w:tab/>
            </w:r>
            <w:r>
              <w:rPr>
                <w:webHidden/>
              </w:rPr>
              <w:fldChar w:fldCharType="begin"/>
            </w:r>
            <w:r>
              <w:rPr>
                <w:webHidden/>
              </w:rPr>
              <w:instrText xml:space="preserve"> PAGEREF _Toc215739011 \h </w:instrText>
            </w:r>
            <w:r>
              <w:rPr>
                <w:webHidden/>
              </w:rPr>
            </w:r>
            <w:r>
              <w:rPr>
                <w:webHidden/>
              </w:rPr>
              <w:fldChar w:fldCharType="separate"/>
            </w:r>
            <w:r>
              <w:rPr>
                <w:webHidden/>
              </w:rPr>
              <w:t>59</w:t>
            </w:r>
            <w:r>
              <w:rPr>
                <w:webHidden/>
              </w:rPr>
              <w:fldChar w:fldCharType="end"/>
            </w:r>
          </w:hyperlink>
        </w:p>
        <w:p w14:paraId="5DFACD60" w14:textId="583F38DF"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12" w:history="1">
            <w:r w:rsidRPr="00AA38E6">
              <w:rPr>
                <w:rStyle w:val="Hyperlink"/>
              </w:rPr>
              <w:t>Afdeling 1. nachtprestaties en prestaties op zaterdagen, zondagen en feestdagen</w:t>
            </w:r>
            <w:r>
              <w:rPr>
                <w:webHidden/>
              </w:rPr>
              <w:tab/>
            </w:r>
            <w:r>
              <w:rPr>
                <w:webHidden/>
              </w:rPr>
              <w:fldChar w:fldCharType="begin"/>
            </w:r>
            <w:r>
              <w:rPr>
                <w:webHidden/>
              </w:rPr>
              <w:instrText xml:space="preserve"> PAGEREF _Toc215739012 \h </w:instrText>
            </w:r>
            <w:r>
              <w:rPr>
                <w:webHidden/>
              </w:rPr>
            </w:r>
            <w:r>
              <w:rPr>
                <w:webHidden/>
              </w:rPr>
              <w:fldChar w:fldCharType="separate"/>
            </w:r>
            <w:r>
              <w:rPr>
                <w:webHidden/>
              </w:rPr>
              <w:t>59</w:t>
            </w:r>
            <w:r>
              <w:rPr>
                <w:webHidden/>
              </w:rPr>
              <w:fldChar w:fldCharType="end"/>
            </w:r>
          </w:hyperlink>
        </w:p>
        <w:p w14:paraId="79A5B4BD" w14:textId="1B3998E4"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13" w:history="1">
            <w:r w:rsidRPr="00AA38E6">
              <w:rPr>
                <w:rStyle w:val="Hyperlink"/>
              </w:rPr>
              <w:t>Afdeling 2. de overuren</w:t>
            </w:r>
            <w:r>
              <w:rPr>
                <w:webHidden/>
              </w:rPr>
              <w:tab/>
            </w:r>
            <w:r>
              <w:rPr>
                <w:webHidden/>
              </w:rPr>
              <w:fldChar w:fldCharType="begin"/>
            </w:r>
            <w:r>
              <w:rPr>
                <w:webHidden/>
              </w:rPr>
              <w:instrText xml:space="preserve"> PAGEREF _Toc215739013 \h </w:instrText>
            </w:r>
            <w:r>
              <w:rPr>
                <w:webHidden/>
              </w:rPr>
            </w:r>
            <w:r>
              <w:rPr>
                <w:webHidden/>
              </w:rPr>
              <w:fldChar w:fldCharType="separate"/>
            </w:r>
            <w:r>
              <w:rPr>
                <w:webHidden/>
              </w:rPr>
              <w:t>60</w:t>
            </w:r>
            <w:r>
              <w:rPr>
                <w:webHidden/>
              </w:rPr>
              <w:fldChar w:fldCharType="end"/>
            </w:r>
          </w:hyperlink>
        </w:p>
        <w:p w14:paraId="6513A0D5" w14:textId="3E49D716"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14" w:history="1">
            <w:r w:rsidRPr="00AA38E6">
              <w:rPr>
                <w:rStyle w:val="Hyperlink"/>
              </w:rPr>
              <w:t>Afdeling 3. de salarisbijslag en de uurtoeslagen voor onregelmatige prestaties voor sommige personeelscategorieën in de federaal gefinancierde gezondheidsinstellingen</w:t>
            </w:r>
            <w:r>
              <w:rPr>
                <w:webHidden/>
              </w:rPr>
              <w:tab/>
            </w:r>
            <w:r>
              <w:rPr>
                <w:webHidden/>
              </w:rPr>
              <w:fldChar w:fldCharType="begin"/>
            </w:r>
            <w:r>
              <w:rPr>
                <w:webHidden/>
              </w:rPr>
              <w:instrText xml:space="preserve"> PAGEREF _Toc215739014 \h </w:instrText>
            </w:r>
            <w:r>
              <w:rPr>
                <w:webHidden/>
              </w:rPr>
            </w:r>
            <w:r>
              <w:rPr>
                <w:webHidden/>
              </w:rPr>
              <w:fldChar w:fldCharType="separate"/>
            </w:r>
            <w:r>
              <w:rPr>
                <w:webHidden/>
              </w:rPr>
              <w:t>60</w:t>
            </w:r>
            <w:r>
              <w:rPr>
                <w:webHidden/>
              </w:rPr>
              <w:fldChar w:fldCharType="end"/>
            </w:r>
          </w:hyperlink>
        </w:p>
        <w:p w14:paraId="3D0DF40E" w14:textId="27CD391E"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15" w:history="1">
            <w:r w:rsidRPr="00AA38E6">
              <w:rPr>
                <w:rStyle w:val="Hyperlink"/>
              </w:rPr>
              <w:t>Afdeling 4. De verstoringstoelage</w:t>
            </w:r>
            <w:r>
              <w:rPr>
                <w:webHidden/>
              </w:rPr>
              <w:tab/>
            </w:r>
            <w:r>
              <w:rPr>
                <w:webHidden/>
              </w:rPr>
              <w:fldChar w:fldCharType="begin"/>
            </w:r>
            <w:r>
              <w:rPr>
                <w:webHidden/>
              </w:rPr>
              <w:instrText xml:space="preserve"> PAGEREF _Toc215739015 \h </w:instrText>
            </w:r>
            <w:r>
              <w:rPr>
                <w:webHidden/>
              </w:rPr>
            </w:r>
            <w:r>
              <w:rPr>
                <w:webHidden/>
              </w:rPr>
              <w:fldChar w:fldCharType="separate"/>
            </w:r>
            <w:r>
              <w:rPr>
                <w:webHidden/>
              </w:rPr>
              <w:t>61</w:t>
            </w:r>
            <w:r>
              <w:rPr>
                <w:webHidden/>
              </w:rPr>
              <w:fldChar w:fldCharType="end"/>
            </w:r>
          </w:hyperlink>
        </w:p>
        <w:p w14:paraId="5B588D68" w14:textId="49B4EBC2"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16" w:history="1">
            <w:r w:rsidRPr="00AA38E6">
              <w:rPr>
                <w:rStyle w:val="Hyperlink"/>
              </w:rPr>
              <w:t>Hoofdstuk iv. de andere toelagen</w:t>
            </w:r>
            <w:r>
              <w:rPr>
                <w:webHidden/>
              </w:rPr>
              <w:tab/>
            </w:r>
            <w:r>
              <w:rPr>
                <w:webHidden/>
              </w:rPr>
              <w:fldChar w:fldCharType="begin"/>
            </w:r>
            <w:r>
              <w:rPr>
                <w:webHidden/>
              </w:rPr>
              <w:instrText xml:space="preserve"> PAGEREF _Toc215739016 \h </w:instrText>
            </w:r>
            <w:r>
              <w:rPr>
                <w:webHidden/>
              </w:rPr>
            </w:r>
            <w:r>
              <w:rPr>
                <w:webHidden/>
              </w:rPr>
              <w:fldChar w:fldCharType="separate"/>
            </w:r>
            <w:r>
              <w:rPr>
                <w:webHidden/>
              </w:rPr>
              <w:t>62</w:t>
            </w:r>
            <w:r>
              <w:rPr>
                <w:webHidden/>
              </w:rPr>
              <w:fldChar w:fldCharType="end"/>
            </w:r>
          </w:hyperlink>
        </w:p>
        <w:p w14:paraId="6F35C431" w14:textId="7B14AF7F"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17" w:history="1">
            <w:r w:rsidRPr="00AA38E6">
              <w:rPr>
                <w:rStyle w:val="Hyperlink"/>
              </w:rPr>
              <w:t>Afdeling 1. de toelage voor het waarnemen van een hogere functie</w:t>
            </w:r>
            <w:r>
              <w:rPr>
                <w:webHidden/>
              </w:rPr>
              <w:tab/>
            </w:r>
            <w:r>
              <w:rPr>
                <w:webHidden/>
              </w:rPr>
              <w:fldChar w:fldCharType="begin"/>
            </w:r>
            <w:r>
              <w:rPr>
                <w:webHidden/>
              </w:rPr>
              <w:instrText xml:space="preserve"> PAGEREF _Toc215739017 \h </w:instrText>
            </w:r>
            <w:r>
              <w:rPr>
                <w:webHidden/>
              </w:rPr>
            </w:r>
            <w:r>
              <w:rPr>
                <w:webHidden/>
              </w:rPr>
              <w:fldChar w:fldCharType="separate"/>
            </w:r>
            <w:r>
              <w:rPr>
                <w:webHidden/>
              </w:rPr>
              <w:t>62</w:t>
            </w:r>
            <w:r>
              <w:rPr>
                <w:webHidden/>
              </w:rPr>
              <w:fldChar w:fldCharType="end"/>
            </w:r>
          </w:hyperlink>
        </w:p>
        <w:p w14:paraId="7CB47DD7" w14:textId="2DFEA591"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18" w:history="1">
            <w:r w:rsidRPr="00AA38E6">
              <w:rPr>
                <w:rStyle w:val="Hyperlink"/>
              </w:rPr>
              <w:t>Afdeling 2. functiecomplement voor bijzondere beroepsbekwaamheden</w:t>
            </w:r>
            <w:r>
              <w:rPr>
                <w:webHidden/>
              </w:rPr>
              <w:tab/>
            </w:r>
            <w:r>
              <w:rPr>
                <w:webHidden/>
              </w:rPr>
              <w:fldChar w:fldCharType="begin"/>
            </w:r>
            <w:r>
              <w:rPr>
                <w:webHidden/>
              </w:rPr>
              <w:instrText xml:space="preserve"> PAGEREF _Toc215739018 \h </w:instrText>
            </w:r>
            <w:r>
              <w:rPr>
                <w:webHidden/>
              </w:rPr>
            </w:r>
            <w:r>
              <w:rPr>
                <w:webHidden/>
              </w:rPr>
              <w:fldChar w:fldCharType="separate"/>
            </w:r>
            <w:r>
              <w:rPr>
                <w:webHidden/>
              </w:rPr>
              <w:t>62</w:t>
            </w:r>
            <w:r>
              <w:rPr>
                <w:webHidden/>
              </w:rPr>
              <w:fldChar w:fldCharType="end"/>
            </w:r>
          </w:hyperlink>
        </w:p>
        <w:p w14:paraId="334C8CA1" w14:textId="4E6C2184"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19" w:history="1">
            <w:r w:rsidRPr="00AA38E6">
              <w:rPr>
                <w:rStyle w:val="Hyperlink"/>
              </w:rPr>
              <w:t>Hoofdstuk v. de vergoeding voor dienstverplaatsingen</w:t>
            </w:r>
            <w:r>
              <w:rPr>
                <w:webHidden/>
              </w:rPr>
              <w:tab/>
            </w:r>
            <w:r>
              <w:rPr>
                <w:webHidden/>
              </w:rPr>
              <w:fldChar w:fldCharType="begin"/>
            </w:r>
            <w:r>
              <w:rPr>
                <w:webHidden/>
              </w:rPr>
              <w:instrText xml:space="preserve"> PAGEREF _Toc215739019 \h </w:instrText>
            </w:r>
            <w:r>
              <w:rPr>
                <w:webHidden/>
              </w:rPr>
            </w:r>
            <w:r>
              <w:rPr>
                <w:webHidden/>
              </w:rPr>
              <w:fldChar w:fldCharType="separate"/>
            </w:r>
            <w:r>
              <w:rPr>
                <w:webHidden/>
              </w:rPr>
              <w:t>62</w:t>
            </w:r>
            <w:r>
              <w:rPr>
                <w:webHidden/>
              </w:rPr>
              <w:fldChar w:fldCharType="end"/>
            </w:r>
          </w:hyperlink>
        </w:p>
        <w:p w14:paraId="1ABBC924" w14:textId="5431834A"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20" w:history="1">
            <w:r w:rsidRPr="00AA38E6">
              <w:rPr>
                <w:rStyle w:val="Hyperlink"/>
              </w:rPr>
              <w:t>Afdeling 1. algemene bepalingen</w:t>
            </w:r>
            <w:r>
              <w:rPr>
                <w:webHidden/>
              </w:rPr>
              <w:tab/>
            </w:r>
            <w:r>
              <w:rPr>
                <w:webHidden/>
              </w:rPr>
              <w:fldChar w:fldCharType="begin"/>
            </w:r>
            <w:r>
              <w:rPr>
                <w:webHidden/>
              </w:rPr>
              <w:instrText xml:space="preserve"> PAGEREF _Toc215739020 \h </w:instrText>
            </w:r>
            <w:r>
              <w:rPr>
                <w:webHidden/>
              </w:rPr>
            </w:r>
            <w:r>
              <w:rPr>
                <w:webHidden/>
              </w:rPr>
              <w:fldChar w:fldCharType="separate"/>
            </w:r>
            <w:r>
              <w:rPr>
                <w:webHidden/>
              </w:rPr>
              <w:t>62</w:t>
            </w:r>
            <w:r>
              <w:rPr>
                <w:webHidden/>
              </w:rPr>
              <w:fldChar w:fldCharType="end"/>
            </w:r>
          </w:hyperlink>
        </w:p>
        <w:p w14:paraId="31203CF3" w14:textId="65623DC4"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21" w:history="1">
            <w:r w:rsidRPr="00AA38E6">
              <w:rPr>
                <w:rStyle w:val="Hyperlink"/>
              </w:rPr>
              <w:t>Afdeling 2. vergoeding voor dienstreizen</w:t>
            </w:r>
            <w:r>
              <w:rPr>
                <w:webHidden/>
              </w:rPr>
              <w:tab/>
            </w:r>
            <w:r>
              <w:rPr>
                <w:webHidden/>
              </w:rPr>
              <w:fldChar w:fldCharType="begin"/>
            </w:r>
            <w:r>
              <w:rPr>
                <w:webHidden/>
              </w:rPr>
              <w:instrText xml:space="preserve"> PAGEREF _Toc215739021 \h </w:instrText>
            </w:r>
            <w:r>
              <w:rPr>
                <w:webHidden/>
              </w:rPr>
            </w:r>
            <w:r>
              <w:rPr>
                <w:webHidden/>
              </w:rPr>
              <w:fldChar w:fldCharType="separate"/>
            </w:r>
            <w:r>
              <w:rPr>
                <w:webHidden/>
              </w:rPr>
              <w:t>63</w:t>
            </w:r>
            <w:r>
              <w:rPr>
                <w:webHidden/>
              </w:rPr>
              <w:fldChar w:fldCharType="end"/>
            </w:r>
          </w:hyperlink>
        </w:p>
        <w:p w14:paraId="3CCF0C12" w14:textId="65224DD8"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22" w:history="1">
            <w:r w:rsidRPr="00AA38E6">
              <w:rPr>
                <w:rStyle w:val="Hyperlink"/>
              </w:rPr>
              <w:t>Hoofdstuk vi. De sociale voordelen</w:t>
            </w:r>
            <w:r>
              <w:rPr>
                <w:webHidden/>
              </w:rPr>
              <w:tab/>
            </w:r>
            <w:r>
              <w:rPr>
                <w:webHidden/>
              </w:rPr>
              <w:fldChar w:fldCharType="begin"/>
            </w:r>
            <w:r>
              <w:rPr>
                <w:webHidden/>
              </w:rPr>
              <w:instrText xml:space="preserve"> PAGEREF _Toc215739022 \h </w:instrText>
            </w:r>
            <w:r>
              <w:rPr>
                <w:webHidden/>
              </w:rPr>
            </w:r>
            <w:r>
              <w:rPr>
                <w:webHidden/>
              </w:rPr>
              <w:fldChar w:fldCharType="separate"/>
            </w:r>
            <w:r>
              <w:rPr>
                <w:webHidden/>
              </w:rPr>
              <w:t>64</w:t>
            </w:r>
            <w:r>
              <w:rPr>
                <w:webHidden/>
              </w:rPr>
              <w:fldChar w:fldCharType="end"/>
            </w:r>
          </w:hyperlink>
        </w:p>
        <w:p w14:paraId="6E0EE78D" w14:textId="5FF385FB"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23" w:history="1">
            <w:r w:rsidRPr="00AA38E6">
              <w:rPr>
                <w:rStyle w:val="Hyperlink"/>
              </w:rPr>
              <w:t>Afdeling 1. de vergoeding van de kosten van het woon-werkverkeer</w:t>
            </w:r>
            <w:r>
              <w:rPr>
                <w:webHidden/>
              </w:rPr>
              <w:tab/>
            </w:r>
            <w:r>
              <w:rPr>
                <w:webHidden/>
              </w:rPr>
              <w:fldChar w:fldCharType="begin"/>
            </w:r>
            <w:r>
              <w:rPr>
                <w:webHidden/>
              </w:rPr>
              <w:instrText xml:space="preserve"> PAGEREF _Toc215739023 \h </w:instrText>
            </w:r>
            <w:r>
              <w:rPr>
                <w:webHidden/>
              </w:rPr>
            </w:r>
            <w:r>
              <w:rPr>
                <w:webHidden/>
              </w:rPr>
              <w:fldChar w:fldCharType="separate"/>
            </w:r>
            <w:r>
              <w:rPr>
                <w:webHidden/>
              </w:rPr>
              <w:t>64</w:t>
            </w:r>
            <w:r>
              <w:rPr>
                <w:webHidden/>
              </w:rPr>
              <w:fldChar w:fldCharType="end"/>
            </w:r>
          </w:hyperlink>
        </w:p>
        <w:p w14:paraId="4CD60455" w14:textId="55A21224"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24" w:history="1">
            <w:r w:rsidRPr="00AA38E6">
              <w:rPr>
                <w:rStyle w:val="Hyperlink"/>
              </w:rPr>
              <w:t>Afdeling 2. de maaltijdcheques</w:t>
            </w:r>
            <w:r>
              <w:rPr>
                <w:webHidden/>
              </w:rPr>
              <w:tab/>
            </w:r>
            <w:r>
              <w:rPr>
                <w:webHidden/>
              </w:rPr>
              <w:fldChar w:fldCharType="begin"/>
            </w:r>
            <w:r>
              <w:rPr>
                <w:webHidden/>
              </w:rPr>
              <w:instrText xml:space="preserve"> PAGEREF _Toc215739024 \h </w:instrText>
            </w:r>
            <w:r>
              <w:rPr>
                <w:webHidden/>
              </w:rPr>
            </w:r>
            <w:r>
              <w:rPr>
                <w:webHidden/>
              </w:rPr>
              <w:fldChar w:fldCharType="separate"/>
            </w:r>
            <w:r>
              <w:rPr>
                <w:webHidden/>
              </w:rPr>
              <w:t>64</w:t>
            </w:r>
            <w:r>
              <w:rPr>
                <w:webHidden/>
              </w:rPr>
              <w:fldChar w:fldCharType="end"/>
            </w:r>
          </w:hyperlink>
        </w:p>
        <w:p w14:paraId="49711150" w14:textId="7B040935"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25" w:history="1">
            <w:r w:rsidRPr="00AA38E6">
              <w:rPr>
                <w:rStyle w:val="Hyperlink"/>
              </w:rPr>
              <w:t>Afdeling 3: eco- en geschenkcheques</w:t>
            </w:r>
            <w:r>
              <w:rPr>
                <w:webHidden/>
              </w:rPr>
              <w:tab/>
            </w:r>
            <w:r>
              <w:rPr>
                <w:webHidden/>
              </w:rPr>
              <w:fldChar w:fldCharType="begin"/>
            </w:r>
            <w:r>
              <w:rPr>
                <w:webHidden/>
              </w:rPr>
              <w:instrText xml:space="preserve"> PAGEREF _Toc215739025 \h </w:instrText>
            </w:r>
            <w:r>
              <w:rPr>
                <w:webHidden/>
              </w:rPr>
            </w:r>
            <w:r>
              <w:rPr>
                <w:webHidden/>
              </w:rPr>
              <w:fldChar w:fldCharType="separate"/>
            </w:r>
            <w:r>
              <w:rPr>
                <w:webHidden/>
              </w:rPr>
              <w:t>64</w:t>
            </w:r>
            <w:r>
              <w:rPr>
                <w:webHidden/>
              </w:rPr>
              <w:fldChar w:fldCharType="end"/>
            </w:r>
          </w:hyperlink>
        </w:p>
        <w:p w14:paraId="11B1FB23" w14:textId="54C03EB7"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26" w:history="1">
            <w:r w:rsidRPr="00AA38E6">
              <w:rPr>
                <w:rStyle w:val="Hyperlink"/>
              </w:rPr>
              <w:t>Afdeling 4. premies en  geschenken</w:t>
            </w:r>
            <w:r>
              <w:rPr>
                <w:webHidden/>
              </w:rPr>
              <w:tab/>
            </w:r>
            <w:r>
              <w:rPr>
                <w:webHidden/>
              </w:rPr>
              <w:fldChar w:fldCharType="begin"/>
            </w:r>
            <w:r>
              <w:rPr>
                <w:webHidden/>
              </w:rPr>
              <w:instrText xml:space="preserve"> PAGEREF _Toc215739026 \h </w:instrText>
            </w:r>
            <w:r>
              <w:rPr>
                <w:webHidden/>
              </w:rPr>
            </w:r>
            <w:r>
              <w:rPr>
                <w:webHidden/>
              </w:rPr>
              <w:fldChar w:fldCharType="separate"/>
            </w:r>
            <w:r>
              <w:rPr>
                <w:webHidden/>
              </w:rPr>
              <w:t>64</w:t>
            </w:r>
            <w:r>
              <w:rPr>
                <w:webHidden/>
              </w:rPr>
              <w:fldChar w:fldCharType="end"/>
            </w:r>
          </w:hyperlink>
        </w:p>
        <w:p w14:paraId="73FC35B8" w14:textId="30F173A4"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27" w:history="1">
            <w:r w:rsidRPr="00AA38E6">
              <w:rPr>
                <w:rStyle w:val="Hyperlink"/>
              </w:rPr>
              <w:t>Afdeling 5. de hospitalisatieverzekering</w:t>
            </w:r>
            <w:r>
              <w:rPr>
                <w:webHidden/>
              </w:rPr>
              <w:tab/>
            </w:r>
            <w:r>
              <w:rPr>
                <w:webHidden/>
              </w:rPr>
              <w:fldChar w:fldCharType="begin"/>
            </w:r>
            <w:r>
              <w:rPr>
                <w:webHidden/>
              </w:rPr>
              <w:instrText xml:space="preserve"> PAGEREF _Toc215739027 \h </w:instrText>
            </w:r>
            <w:r>
              <w:rPr>
                <w:webHidden/>
              </w:rPr>
            </w:r>
            <w:r>
              <w:rPr>
                <w:webHidden/>
              </w:rPr>
              <w:fldChar w:fldCharType="separate"/>
            </w:r>
            <w:r>
              <w:rPr>
                <w:webHidden/>
              </w:rPr>
              <w:t>65</w:t>
            </w:r>
            <w:r>
              <w:rPr>
                <w:webHidden/>
              </w:rPr>
              <w:fldChar w:fldCharType="end"/>
            </w:r>
          </w:hyperlink>
        </w:p>
        <w:p w14:paraId="2DA5C30A" w14:textId="7DF6F13C"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28" w:history="1">
            <w:r w:rsidRPr="00AA38E6">
              <w:rPr>
                <w:rStyle w:val="Hyperlink"/>
              </w:rPr>
              <w:t>Afdeling 6. de begrafenisvergoeding</w:t>
            </w:r>
            <w:r>
              <w:rPr>
                <w:webHidden/>
              </w:rPr>
              <w:tab/>
            </w:r>
            <w:r>
              <w:rPr>
                <w:webHidden/>
              </w:rPr>
              <w:fldChar w:fldCharType="begin"/>
            </w:r>
            <w:r>
              <w:rPr>
                <w:webHidden/>
              </w:rPr>
              <w:instrText xml:space="preserve"> PAGEREF _Toc215739028 \h </w:instrText>
            </w:r>
            <w:r>
              <w:rPr>
                <w:webHidden/>
              </w:rPr>
            </w:r>
            <w:r>
              <w:rPr>
                <w:webHidden/>
              </w:rPr>
              <w:fldChar w:fldCharType="separate"/>
            </w:r>
            <w:r>
              <w:rPr>
                <w:webHidden/>
              </w:rPr>
              <w:t>66</w:t>
            </w:r>
            <w:r>
              <w:rPr>
                <w:webHidden/>
              </w:rPr>
              <w:fldChar w:fldCharType="end"/>
            </w:r>
          </w:hyperlink>
        </w:p>
        <w:p w14:paraId="4B381F63" w14:textId="3C1E0A48"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29" w:history="1">
            <w:r w:rsidRPr="00AA38E6">
              <w:rPr>
                <w:rStyle w:val="Hyperlink"/>
              </w:rPr>
              <w:t>Hoofdstuk viii. aanvullend pensioen voor het contractuele personeelslid</w:t>
            </w:r>
            <w:r>
              <w:rPr>
                <w:webHidden/>
              </w:rPr>
              <w:tab/>
            </w:r>
            <w:r>
              <w:rPr>
                <w:webHidden/>
              </w:rPr>
              <w:fldChar w:fldCharType="begin"/>
            </w:r>
            <w:r>
              <w:rPr>
                <w:webHidden/>
              </w:rPr>
              <w:instrText xml:space="preserve"> PAGEREF _Toc215739029 \h </w:instrText>
            </w:r>
            <w:r>
              <w:rPr>
                <w:webHidden/>
              </w:rPr>
            </w:r>
            <w:r>
              <w:rPr>
                <w:webHidden/>
              </w:rPr>
              <w:fldChar w:fldCharType="separate"/>
            </w:r>
            <w:r>
              <w:rPr>
                <w:webHidden/>
              </w:rPr>
              <w:t>67</w:t>
            </w:r>
            <w:r>
              <w:rPr>
                <w:webHidden/>
              </w:rPr>
              <w:fldChar w:fldCharType="end"/>
            </w:r>
          </w:hyperlink>
        </w:p>
        <w:p w14:paraId="4319011E" w14:textId="4ACB06A1" w:rsidR="002E7875" w:rsidRDefault="002E7875">
          <w:pPr>
            <w:pStyle w:val="Inhopg1"/>
            <w:rPr>
              <w:rFonts w:asciiTheme="minorHAnsi" w:eastAsiaTheme="minorEastAsia" w:hAnsiTheme="minorHAnsi" w:cstheme="minorBidi"/>
              <w:b w:val="0"/>
              <w:bCs w:val="0"/>
              <w:caps w:val="0"/>
              <w:kern w:val="2"/>
              <w:sz w:val="24"/>
              <w:szCs w:val="24"/>
              <w:lang w:val="nl-BE" w:eastAsia="nl-BE"/>
              <w14:ligatures w14:val="standardContextual"/>
            </w:rPr>
          </w:pPr>
          <w:hyperlink w:anchor="_Toc215739030" w:history="1">
            <w:r w:rsidRPr="00AA38E6">
              <w:rPr>
                <w:rStyle w:val="Hyperlink"/>
              </w:rPr>
              <w:t>TITEL 7. VERLOVEN EN AFWEZIGHEDEN</w:t>
            </w:r>
            <w:r>
              <w:rPr>
                <w:webHidden/>
              </w:rPr>
              <w:tab/>
            </w:r>
            <w:r>
              <w:rPr>
                <w:webHidden/>
              </w:rPr>
              <w:fldChar w:fldCharType="begin"/>
            </w:r>
            <w:r>
              <w:rPr>
                <w:webHidden/>
              </w:rPr>
              <w:instrText xml:space="preserve"> PAGEREF _Toc215739030 \h </w:instrText>
            </w:r>
            <w:r>
              <w:rPr>
                <w:webHidden/>
              </w:rPr>
            </w:r>
            <w:r>
              <w:rPr>
                <w:webHidden/>
              </w:rPr>
              <w:fldChar w:fldCharType="separate"/>
            </w:r>
            <w:r>
              <w:rPr>
                <w:webHidden/>
              </w:rPr>
              <w:t>68</w:t>
            </w:r>
            <w:r>
              <w:rPr>
                <w:webHidden/>
              </w:rPr>
              <w:fldChar w:fldCharType="end"/>
            </w:r>
          </w:hyperlink>
        </w:p>
        <w:p w14:paraId="314CA1CF" w14:textId="0BC78CB3"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31" w:history="1">
            <w:r w:rsidRPr="00AA38E6">
              <w:rPr>
                <w:rStyle w:val="Hyperlink"/>
              </w:rPr>
              <w:t>Hoofdstuk i. algemene bepalingen</w:t>
            </w:r>
            <w:r>
              <w:rPr>
                <w:webHidden/>
              </w:rPr>
              <w:tab/>
            </w:r>
            <w:r>
              <w:rPr>
                <w:webHidden/>
              </w:rPr>
              <w:fldChar w:fldCharType="begin"/>
            </w:r>
            <w:r>
              <w:rPr>
                <w:webHidden/>
              </w:rPr>
              <w:instrText xml:space="preserve"> PAGEREF _Toc215739031 \h </w:instrText>
            </w:r>
            <w:r>
              <w:rPr>
                <w:webHidden/>
              </w:rPr>
            </w:r>
            <w:r>
              <w:rPr>
                <w:webHidden/>
              </w:rPr>
              <w:fldChar w:fldCharType="separate"/>
            </w:r>
            <w:r>
              <w:rPr>
                <w:webHidden/>
              </w:rPr>
              <w:t>68</w:t>
            </w:r>
            <w:r>
              <w:rPr>
                <w:webHidden/>
              </w:rPr>
              <w:fldChar w:fldCharType="end"/>
            </w:r>
          </w:hyperlink>
        </w:p>
        <w:p w14:paraId="63E847BB" w14:textId="5CEA1AB7"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32" w:history="1">
            <w:r w:rsidRPr="00AA38E6">
              <w:rPr>
                <w:rStyle w:val="Hyperlink"/>
              </w:rPr>
              <w:t>Hoofdstuk ii. de jaarlijkse vakantiedagen</w:t>
            </w:r>
            <w:r>
              <w:rPr>
                <w:webHidden/>
              </w:rPr>
              <w:tab/>
            </w:r>
            <w:r>
              <w:rPr>
                <w:webHidden/>
              </w:rPr>
              <w:fldChar w:fldCharType="begin"/>
            </w:r>
            <w:r>
              <w:rPr>
                <w:webHidden/>
              </w:rPr>
              <w:instrText xml:space="preserve"> PAGEREF _Toc215739032 \h </w:instrText>
            </w:r>
            <w:r>
              <w:rPr>
                <w:webHidden/>
              </w:rPr>
            </w:r>
            <w:r>
              <w:rPr>
                <w:webHidden/>
              </w:rPr>
              <w:fldChar w:fldCharType="separate"/>
            </w:r>
            <w:r>
              <w:rPr>
                <w:webHidden/>
              </w:rPr>
              <w:t>70</w:t>
            </w:r>
            <w:r>
              <w:rPr>
                <w:webHidden/>
              </w:rPr>
              <w:fldChar w:fldCharType="end"/>
            </w:r>
          </w:hyperlink>
        </w:p>
        <w:p w14:paraId="6114C05A" w14:textId="230214B6"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33" w:history="1">
            <w:r w:rsidRPr="00AA38E6">
              <w:rPr>
                <w:rStyle w:val="Hyperlink"/>
              </w:rPr>
              <w:t>Hoofdstuk iii. de feestdagen</w:t>
            </w:r>
            <w:r>
              <w:rPr>
                <w:webHidden/>
              </w:rPr>
              <w:tab/>
            </w:r>
            <w:r>
              <w:rPr>
                <w:webHidden/>
              </w:rPr>
              <w:fldChar w:fldCharType="begin"/>
            </w:r>
            <w:r>
              <w:rPr>
                <w:webHidden/>
              </w:rPr>
              <w:instrText xml:space="preserve"> PAGEREF _Toc215739033 \h </w:instrText>
            </w:r>
            <w:r>
              <w:rPr>
                <w:webHidden/>
              </w:rPr>
            </w:r>
            <w:r>
              <w:rPr>
                <w:webHidden/>
              </w:rPr>
              <w:fldChar w:fldCharType="separate"/>
            </w:r>
            <w:r>
              <w:rPr>
                <w:webHidden/>
              </w:rPr>
              <w:t>72</w:t>
            </w:r>
            <w:r>
              <w:rPr>
                <w:webHidden/>
              </w:rPr>
              <w:fldChar w:fldCharType="end"/>
            </w:r>
          </w:hyperlink>
        </w:p>
        <w:p w14:paraId="74241A5A" w14:textId="5AB3EE7E"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34" w:history="1">
            <w:r w:rsidRPr="00AA38E6">
              <w:rPr>
                <w:rStyle w:val="Hyperlink"/>
              </w:rPr>
              <w:t>Hoofdstuk iv: zwangerschap en bevallingsverlof</w:t>
            </w:r>
            <w:r>
              <w:rPr>
                <w:webHidden/>
              </w:rPr>
              <w:tab/>
            </w:r>
            <w:r>
              <w:rPr>
                <w:webHidden/>
              </w:rPr>
              <w:fldChar w:fldCharType="begin"/>
            </w:r>
            <w:r>
              <w:rPr>
                <w:webHidden/>
              </w:rPr>
              <w:instrText xml:space="preserve"> PAGEREF _Toc215739034 \h </w:instrText>
            </w:r>
            <w:r>
              <w:rPr>
                <w:webHidden/>
              </w:rPr>
            </w:r>
            <w:r>
              <w:rPr>
                <w:webHidden/>
              </w:rPr>
              <w:fldChar w:fldCharType="separate"/>
            </w:r>
            <w:r>
              <w:rPr>
                <w:webHidden/>
              </w:rPr>
              <w:t>75</w:t>
            </w:r>
            <w:r>
              <w:rPr>
                <w:webHidden/>
              </w:rPr>
              <w:fldChar w:fldCharType="end"/>
            </w:r>
          </w:hyperlink>
        </w:p>
        <w:p w14:paraId="2813F0D9" w14:textId="4AB12DFC"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35" w:history="1">
            <w:r w:rsidRPr="00AA38E6">
              <w:rPr>
                <w:rStyle w:val="Hyperlink"/>
              </w:rPr>
              <w:t>Hoofdstuk v: adoptieverlof, pleegzorgverlof en pleegouderverlof</w:t>
            </w:r>
            <w:r>
              <w:rPr>
                <w:webHidden/>
              </w:rPr>
              <w:tab/>
            </w:r>
            <w:r>
              <w:rPr>
                <w:webHidden/>
              </w:rPr>
              <w:fldChar w:fldCharType="begin"/>
            </w:r>
            <w:r>
              <w:rPr>
                <w:webHidden/>
              </w:rPr>
              <w:instrText xml:space="preserve"> PAGEREF _Toc215739035 \h </w:instrText>
            </w:r>
            <w:r>
              <w:rPr>
                <w:webHidden/>
              </w:rPr>
            </w:r>
            <w:r>
              <w:rPr>
                <w:webHidden/>
              </w:rPr>
              <w:fldChar w:fldCharType="separate"/>
            </w:r>
            <w:r>
              <w:rPr>
                <w:webHidden/>
              </w:rPr>
              <w:t>77</w:t>
            </w:r>
            <w:r>
              <w:rPr>
                <w:webHidden/>
              </w:rPr>
              <w:fldChar w:fldCharType="end"/>
            </w:r>
          </w:hyperlink>
        </w:p>
        <w:p w14:paraId="200B7BF1" w14:textId="0558CEB2"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36" w:history="1">
            <w:r w:rsidRPr="00AA38E6">
              <w:rPr>
                <w:rStyle w:val="Hyperlink"/>
              </w:rPr>
              <w:t>Hoofdstuk vi. AFWEZIGHEID wegens arbeidsongeschiktheid</w:t>
            </w:r>
            <w:r>
              <w:rPr>
                <w:webHidden/>
              </w:rPr>
              <w:tab/>
            </w:r>
            <w:r>
              <w:rPr>
                <w:webHidden/>
              </w:rPr>
              <w:fldChar w:fldCharType="begin"/>
            </w:r>
            <w:r>
              <w:rPr>
                <w:webHidden/>
              </w:rPr>
              <w:instrText xml:space="preserve"> PAGEREF _Toc215739036 \h </w:instrText>
            </w:r>
            <w:r>
              <w:rPr>
                <w:webHidden/>
              </w:rPr>
            </w:r>
            <w:r>
              <w:rPr>
                <w:webHidden/>
              </w:rPr>
              <w:fldChar w:fldCharType="separate"/>
            </w:r>
            <w:r>
              <w:rPr>
                <w:webHidden/>
              </w:rPr>
              <w:t>78</w:t>
            </w:r>
            <w:r>
              <w:rPr>
                <w:webHidden/>
              </w:rPr>
              <w:fldChar w:fldCharType="end"/>
            </w:r>
          </w:hyperlink>
        </w:p>
        <w:p w14:paraId="739E8E7C" w14:textId="429B7557"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37" w:history="1">
            <w:r w:rsidRPr="00AA38E6">
              <w:rPr>
                <w:rStyle w:val="Hyperlink"/>
              </w:rPr>
              <w:t>Afdeling 1. ziektekredietregeling</w:t>
            </w:r>
            <w:r>
              <w:rPr>
                <w:webHidden/>
              </w:rPr>
              <w:tab/>
            </w:r>
            <w:r>
              <w:rPr>
                <w:webHidden/>
              </w:rPr>
              <w:fldChar w:fldCharType="begin"/>
            </w:r>
            <w:r>
              <w:rPr>
                <w:webHidden/>
              </w:rPr>
              <w:instrText xml:space="preserve"> PAGEREF _Toc215739037 \h </w:instrText>
            </w:r>
            <w:r>
              <w:rPr>
                <w:webHidden/>
              </w:rPr>
            </w:r>
            <w:r>
              <w:rPr>
                <w:webHidden/>
              </w:rPr>
              <w:fldChar w:fldCharType="separate"/>
            </w:r>
            <w:r>
              <w:rPr>
                <w:webHidden/>
              </w:rPr>
              <w:t>78</w:t>
            </w:r>
            <w:r>
              <w:rPr>
                <w:webHidden/>
              </w:rPr>
              <w:fldChar w:fldCharType="end"/>
            </w:r>
          </w:hyperlink>
        </w:p>
        <w:p w14:paraId="24CD2542" w14:textId="27FD7735"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38" w:history="1">
            <w:r w:rsidRPr="00AA38E6">
              <w:rPr>
                <w:rStyle w:val="Hyperlink"/>
              </w:rPr>
              <w:t>Afdeling 2. deeltijdse werkhervatting na ziekte</w:t>
            </w:r>
            <w:r>
              <w:rPr>
                <w:webHidden/>
              </w:rPr>
              <w:tab/>
            </w:r>
            <w:r>
              <w:rPr>
                <w:webHidden/>
              </w:rPr>
              <w:fldChar w:fldCharType="begin"/>
            </w:r>
            <w:r>
              <w:rPr>
                <w:webHidden/>
              </w:rPr>
              <w:instrText xml:space="preserve"> PAGEREF _Toc215739038 \h </w:instrText>
            </w:r>
            <w:r>
              <w:rPr>
                <w:webHidden/>
              </w:rPr>
            </w:r>
            <w:r>
              <w:rPr>
                <w:webHidden/>
              </w:rPr>
              <w:fldChar w:fldCharType="separate"/>
            </w:r>
            <w:r>
              <w:rPr>
                <w:webHidden/>
              </w:rPr>
              <w:t>79</w:t>
            </w:r>
            <w:r>
              <w:rPr>
                <w:webHidden/>
              </w:rPr>
              <w:fldChar w:fldCharType="end"/>
            </w:r>
          </w:hyperlink>
        </w:p>
        <w:p w14:paraId="6D1B1257" w14:textId="5644A7E9"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39" w:history="1">
            <w:r w:rsidRPr="00AA38E6">
              <w:rPr>
                <w:rStyle w:val="Hyperlink"/>
              </w:rPr>
              <w:t>Afdeling 3: disponibiliteit</w:t>
            </w:r>
            <w:r>
              <w:rPr>
                <w:webHidden/>
              </w:rPr>
              <w:tab/>
            </w:r>
            <w:r>
              <w:rPr>
                <w:webHidden/>
              </w:rPr>
              <w:fldChar w:fldCharType="begin"/>
            </w:r>
            <w:r>
              <w:rPr>
                <w:webHidden/>
              </w:rPr>
              <w:instrText xml:space="preserve"> PAGEREF _Toc215739039 \h </w:instrText>
            </w:r>
            <w:r>
              <w:rPr>
                <w:webHidden/>
              </w:rPr>
            </w:r>
            <w:r>
              <w:rPr>
                <w:webHidden/>
              </w:rPr>
              <w:fldChar w:fldCharType="separate"/>
            </w:r>
            <w:r>
              <w:rPr>
                <w:webHidden/>
              </w:rPr>
              <w:t>80</w:t>
            </w:r>
            <w:r>
              <w:rPr>
                <w:webHidden/>
              </w:rPr>
              <w:fldChar w:fldCharType="end"/>
            </w:r>
          </w:hyperlink>
        </w:p>
        <w:p w14:paraId="429B8ABE" w14:textId="161181BD"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40" w:history="1">
            <w:r w:rsidRPr="00AA38E6">
              <w:rPr>
                <w:rStyle w:val="Hyperlink"/>
              </w:rPr>
              <w:t>Hoofdstuk viii. het omstandigheidsverlof</w:t>
            </w:r>
            <w:r>
              <w:rPr>
                <w:webHidden/>
              </w:rPr>
              <w:tab/>
            </w:r>
            <w:r>
              <w:rPr>
                <w:webHidden/>
              </w:rPr>
              <w:fldChar w:fldCharType="begin"/>
            </w:r>
            <w:r>
              <w:rPr>
                <w:webHidden/>
              </w:rPr>
              <w:instrText xml:space="preserve"> PAGEREF _Toc215739040 \h </w:instrText>
            </w:r>
            <w:r>
              <w:rPr>
                <w:webHidden/>
              </w:rPr>
            </w:r>
            <w:r>
              <w:rPr>
                <w:webHidden/>
              </w:rPr>
              <w:fldChar w:fldCharType="separate"/>
            </w:r>
            <w:r>
              <w:rPr>
                <w:webHidden/>
              </w:rPr>
              <w:t>81</w:t>
            </w:r>
            <w:r>
              <w:rPr>
                <w:webHidden/>
              </w:rPr>
              <w:fldChar w:fldCharType="end"/>
            </w:r>
          </w:hyperlink>
        </w:p>
        <w:p w14:paraId="64266DAB" w14:textId="1292DC74"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41" w:history="1">
            <w:r w:rsidRPr="00AA38E6">
              <w:rPr>
                <w:rStyle w:val="Hyperlink"/>
              </w:rPr>
              <w:t>Hoofdstuk ix. het onbetaalde verlof</w:t>
            </w:r>
            <w:r>
              <w:rPr>
                <w:webHidden/>
              </w:rPr>
              <w:tab/>
            </w:r>
            <w:r>
              <w:rPr>
                <w:webHidden/>
              </w:rPr>
              <w:fldChar w:fldCharType="begin"/>
            </w:r>
            <w:r>
              <w:rPr>
                <w:webHidden/>
              </w:rPr>
              <w:instrText xml:space="preserve"> PAGEREF _Toc215739041 \h </w:instrText>
            </w:r>
            <w:r>
              <w:rPr>
                <w:webHidden/>
              </w:rPr>
            </w:r>
            <w:r>
              <w:rPr>
                <w:webHidden/>
              </w:rPr>
              <w:fldChar w:fldCharType="separate"/>
            </w:r>
            <w:r>
              <w:rPr>
                <w:webHidden/>
              </w:rPr>
              <w:t>84</w:t>
            </w:r>
            <w:r>
              <w:rPr>
                <w:webHidden/>
              </w:rPr>
              <w:fldChar w:fldCharType="end"/>
            </w:r>
          </w:hyperlink>
        </w:p>
        <w:p w14:paraId="314A2060" w14:textId="13C8069B"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42" w:history="1">
            <w:r w:rsidRPr="00AA38E6">
              <w:rPr>
                <w:rStyle w:val="Hyperlink"/>
              </w:rPr>
              <w:t>hoofdstuk x: flexibele werkregelingen voor zorgdoeleinden</w:t>
            </w:r>
            <w:r>
              <w:rPr>
                <w:webHidden/>
              </w:rPr>
              <w:tab/>
            </w:r>
            <w:r>
              <w:rPr>
                <w:webHidden/>
              </w:rPr>
              <w:fldChar w:fldCharType="begin"/>
            </w:r>
            <w:r>
              <w:rPr>
                <w:webHidden/>
              </w:rPr>
              <w:instrText xml:space="preserve"> PAGEREF _Toc215739042 \h </w:instrText>
            </w:r>
            <w:r>
              <w:rPr>
                <w:webHidden/>
              </w:rPr>
            </w:r>
            <w:r>
              <w:rPr>
                <w:webHidden/>
              </w:rPr>
              <w:fldChar w:fldCharType="separate"/>
            </w:r>
            <w:r>
              <w:rPr>
                <w:webHidden/>
              </w:rPr>
              <w:t>86</w:t>
            </w:r>
            <w:r>
              <w:rPr>
                <w:webHidden/>
              </w:rPr>
              <w:fldChar w:fldCharType="end"/>
            </w:r>
          </w:hyperlink>
        </w:p>
        <w:p w14:paraId="03C8C1E5" w14:textId="7BC6B558"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43" w:history="1">
            <w:r w:rsidRPr="00AA38E6">
              <w:rPr>
                <w:rStyle w:val="Hyperlink"/>
              </w:rPr>
              <w:t>hoofdstuk xi: verlof om dwingende redenen</w:t>
            </w:r>
            <w:r>
              <w:rPr>
                <w:webHidden/>
              </w:rPr>
              <w:tab/>
            </w:r>
            <w:r>
              <w:rPr>
                <w:webHidden/>
              </w:rPr>
              <w:fldChar w:fldCharType="begin"/>
            </w:r>
            <w:r>
              <w:rPr>
                <w:webHidden/>
              </w:rPr>
              <w:instrText xml:space="preserve"> PAGEREF _Toc215739043 \h </w:instrText>
            </w:r>
            <w:r>
              <w:rPr>
                <w:webHidden/>
              </w:rPr>
            </w:r>
            <w:r>
              <w:rPr>
                <w:webHidden/>
              </w:rPr>
              <w:fldChar w:fldCharType="separate"/>
            </w:r>
            <w:r>
              <w:rPr>
                <w:webHidden/>
              </w:rPr>
              <w:t>88</w:t>
            </w:r>
            <w:r>
              <w:rPr>
                <w:webHidden/>
              </w:rPr>
              <w:fldChar w:fldCharType="end"/>
            </w:r>
          </w:hyperlink>
        </w:p>
        <w:p w14:paraId="47C31873" w14:textId="40E69E90"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44" w:history="1">
            <w:r w:rsidRPr="00AA38E6">
              <w:rPr>
                <w:rStyle w:val="Hyperlink"/>
              </w:rPr>
              <w:t>Hoofdstuk xii. loopbaanonderbreking/Vlaams zorgkrediet</w:t>
            </w:r>
            <w:r>
              <w:rPr>
                <w:webHidden/>
              </w:rPr>
              <w:tab/>
            </w:r>
            <w:r>
              <w:rPr>
                <w:webHidden/>
              </w:rPr>
              <w:fldChar w:fldCharType="begin"/>
            </w:r>
            <w:r>
              <w:rPr>
                <w:webHidden/>
              </w:rPr>
              <w:instrText xml:space="preserve"> PAGEREF _Toc215739044 \h </w:instrText>
            </w:r>
            <w:r>
              <w:rPr>
                <w:webHidden/>
              </w:rPr>
            </w:r>
            <w:r>
              <w:rPr>
                <w:webHidden/>
              </w:rPr>
              <w:fldChar w:fldCharType="separate"/>
            </w:r>
            <w:r>
              <w:rPr>
                <w:webHidden/>
              </w:rPr>
              <w:t>90</w:t>
            </w:r>
            <w:r>
              <w:rPr>
                <w:webHidden/>
              </w:rPr>
              <w:fldChar w:fldCharType="end"/>
            </w:r>
          </w:hyperlink>
        </w:p>
        <w:p w14:paraId="228DDEB4" w14:textId="2E193CE6"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45" w:history="1">
            <w:r w:rsidRPr="00AA38E6">
              <w:rPr>
                <w:rStyle w:val="Hyperlink"/>
              </w:rPr>
              <w:t>Hoofdstuk xiv. vakbondsverlof</w:t>
            </w:r>
            <w:r>
              <w:rPr>
                <w:webHidden/>
              </w:rPr>
              <w:tab/>
            </w:r>
            <w:r>
              <w:rPr>
                <w:webHidden/>
              </w:rPr>
              <w:fldChar w:fldCharType="begin"/>
            </w:r>
            <w:r>
              <w:rPr>
                <w:webHidden/>
              </w:rPr>
              <w:instrText xml:space="preserve"> PAGEREF _Toc215739045 \h </w:instrText>
            </w:r>
            <w:r>
              <w:rPr>
                <w:webHidden/>
              </w:rPr>
            </w:r>
            <w:r>
              <w:rPr>
                <w:webHidden/>
              </w:rPr>
              <w:fldChar w:fldCharType="separate"/>
            </w:r>
            <w:r>
              <w:rPr>
                <w:webHidden/>
              </w:rPr>
              <w:t>91</w:t>
            </w:r>
            <w:r>
              <w:rPr>
                <w:webHidden/>
              </w:rPr>
              <w:fldChar w:fldCharType="end"/>
            </w:r>
          </w:hyperlink>
        </w:p>
        <w:p w14:paraId="37A55A96" w14:textId="17F2E2ED"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46" w:history="1">
            <w:r w:rsidRPr="00AA38E6">
              <w:rPr>
                <w:rStyle w:val="Hyperlink"/>
              </w:rPr>
              <w:t>Hoofdstuk xv. de dienstvrijstellingen</w:t>
            </w:r>
            <w:r>
              <w:rPr>
                <w:webHidden/>
              </w:rPr>
              <w:tab/>
            </w:r>
            <w:r>
              <w:rPr>
                <w:webHidden/>
              </w:rPr>
              <w:fldChar w:fldCharType="begin"/>
            </w:r>
            <w:r>
              <w:rPr>
                <w:webHidden/>
              </w:rPr>
              <w:instrText xml:space="preserve"> PAGEREF _Toc215739046 \h </w:instrText>
            </w:r>
            <w:r>
              <w:rPr>
                <w:webHidden/>
              </w:rPr>
            </w:r>
            <w:r>
              <w:rPr>
                <w:webHidden/>
              </w:rPr>
              <w:fldChar w:fldCharType="separate"/>
            </w:r>
            <w:r>
              <w:rPr>
                <w:webHidden/>
              </w:rPr>
              <w:t>92</w:t>
            </w:r>
            <w:r>
              <w:rPr>
                <w:webHidden/>
              </w:rPr>
              <w:fldChar w:fldCharType="end"/>
            </w:r>
          </w:hyperlink>
        </w:p>
        <w:p w14:paraId="5D90F300" w14:textId="63DC3DDA"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47" w:history="1">
            <w:r w:rsidRPr="00AA38E6">
              <w:rPr>
                <w:rStyle w:val="Hyperlink"/>
              </w:rPr>
              <w:t>Hoofdstuk xvi. de vrijstelling van arbeidsprestaties in het kader van de eindeloopbaanproblematiek</w:t>
            </w:r>
            <w:r>
              <w:rPr>
                <w:webHidden/>
              </w:rPr>
              <w:tab/>
            </w:r>
            <w:r>
              <w:rPr>
                <w:webHidden/>
              </w:rPr>
              <w:fldChar w:fldCharType="begin"/>
            </w:r>
            <w:r>
              <w:rPr>
                <w:webHidden/>
              </w:rPr>
              <w:instrText xml:space="preserve"> PAGEREF _Toc215739047 \h </w:instrText>
            </w:r>
            <w:r>
              <w:rPr>
                <w:webHidden/>
              </w:rPr>
            </w:r>
            <w:r>
              <w:rPr>
                <w:webHidden/>
              </w:rPr>
              <w:fldChar w:fldCharType="separate"/>
            </w:r>
            <w:r>
              <w:rPr>
                <w:webHidden/>
              </w:rPr>
              <w:t>93</w:t>
            </w:r>
            <w:r>
              <w:rPr>
                <w:webHidden/>
              </w:rPr>
              <w:fldChar w:fldCharType="end"/>
            </w:r>
          </w:hyperlink>
        </w:p>
        <w:p w14:paraId="1CC71DEB" w14:textId="43A01A88"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48" w:history="1">
            <w:r w:rsidRPr="00AA38E6">
              <w:rPr>
                <w:rStyle w:val="Hyperlink"/>
                <w:bCs/>
              </w:rPr>
              <w:t>Afdeling 1. algemene bepalingen</w:t>
            </w:r>
            <w:r>
              <w:rPr>
                <w:webHidden/>
              </w:rPr>
              <w:tab/>
            </w:r>
            <w:r>
              <w:rPr>
                <w:webHidden/>
              </w:rPr>
              <w:fldChar w:fldCharType="begin"/>
            </w:r>
            <w:r>
              <w:rPr>
                <w:webHidden/>
              </w:rPr>
              <w:instrText xml:space="preserve"> PAGEREF _Toc215739048 \h </w:instrText>
            </w:r>
            <w:r>
              <w:rPr>
                <w:webHidden/>
              </w:rPr>
            </w:r>
            <w:r>
              <w:rPr>
                <w:webHidden/>
              </w:rPr>
              <w:fldChar w:fldCharType="separate"/>
            </w:r>
            <w:r>
              <w:rPr>
                <w:webHidden/>
              </w:rPr>
              <w:t>93</w:t>
            </w:r>
            <w:r>
              <w:rPr>
                <w:webHidden/>
              </w:rPr>
              <w:fldChar w:fldCharType="end"/>
            </w:r>
          </w:hyperlink>
        </w:p>
        <w:p w14:paraId="1DD38ED3" w14:textId="174CB600"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49" w:history="1">
            <w:r w:rsidRPr="00AA38E6">
              <w:rPr>
                <w:rStyle w:val="Hyperlink"/>
                <w:bCs/>
              </w:rPr>
              <w:t>Afdeling 2. Vrijstelling van arbeidsprestaties</w:t>
            </w:r>
            <w:r>
              <w:rPr>
                <w:webHidden/>
              </w:rPr>
              <w:tab/>
            </w:r>
            <w:r>
              <w:rPr>
                <w:webHidden/>
              </w:rPr>
              <w:fldChar w:fldCharType="begin"/>
            </w:r>
            <w:r>
              <w:rPr>
                <w:webHidden/>
              </w:rPr>
              <w:instrText xml:space="preserve"> PAGEREF _Toc215739049 \h </w:instrText>
            </w:r>
            <w:r>
              <w:rPr>
                <w:webHidden/>
              </w:rPr>
            </w:r>
            <w:r>
              <w:rPr>
                <w:webHidden/>
              </w:rPr>
              <w:fldChar w:fldCharType="separate"/>
            </w:r>
            <w:r>
              <w:rPr>
                <w:webHidden/>
              </w:rPr>
              <w:t>93</w:t>
            </w:r>
            <w:r>
              <w:rPr>
                <w:webHidden/>
              </w:rPr>
              <w:fldChar w:fldCharType="end"/>
            </w:r>
          </w:hyperlink>
        </w:p>
        <w:p w14:paraId="581AEEF2" w14:textId="0B092E6C"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50" w:history="1">
            <w:r w:rsidRPr="00AA38E6">
              <w:rPr>
                <w:rStyle w:val="Hyperlink"/>
              </w:rPr>
              <w:t>Afdeling 3. Toepassingsmodaliteiten</w:t>
            </w:r>
            <w:r>
              <w:rPr>
                <w:webHidden/>
              </w:rPr>
              <w:tab/>
            </w:r>
            <w:r>
              <w:rPr>
                <w:webHidden/>
              </w:rPr>
              <w:fldChar w:fldCharType="begin"/>
            </w:r>
            <w:r>
              <w:rPr>
                <w:webHidden/>
              </w:rPr>
              <w:instrText xml:space="preserve"> PAGEREF _Toc215739050 \h </w:instrText>
            </w:r>
            <w:r>
              <w:rPr>
                <w:webHidden/>
              </w:rPr>
            </w:r>
            <w:r>
              <w:rPr>
                <w:webHidden/>
              </w:rPr>
              <w:fldChar w:fldCharType="separate"/>
            </w:r>
            <w:r>
              <w:rPr>
                <w:webHidden/>
              </w:rPr>
              <w:t>97</w:t>
            </w:r>
            <w:r>
              <w:rPr>
                <w:webHidden/>
              </w:rPr>
              <w:fldChar w:fldCharType="end"/>
            </w:r>
          </w:hyperlink>
        </w:p>
        <w:p w14:paraId="1C4D9FE5" w14:textId="04B02983"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51" w:history="1">
            <w:r w:rsidRPr="00AA38E6">
              <w:rPr>
                <w:rStyle w:val="Hyperlink"/>
              </w:rPr>
              <w:t>Afdeling 4. Slotbepalingen</w:t>
            </w:r>
            <w:r>
              <w:rPr>
                <w:webHidden/>
              </w:rPr>
              <w:tab/>
            </w:r>
            <w:r>
              <w:rPr>
                <w:webHidden/>
              </w:rPr>
              <w:fldChar w:fldCharType="begin"/>
            </w:r>
            <w:r>
              <w:rPr>
                <w:webHidden/>
              </w:rPr>
              <w:instrText xml:space="preserve"> PAGEREF _Toc215739051 \h </w:instrText>
            </w:r>
            <w:r>
              <w:rPr>
                <w:webHidden/>
              </w:rPr>
            </w:r>
            <w:r>
              <w:rPr>
                <w:webHidden/>
              </w:rPr>
              <w:fldChar w:fldCharType="separate"/>
            </w:r>
            <w:r>
              <w:rPr>
                <w:webHidden/>
              </w:rPr>
              <w:t>99</w:t>
            </w:r>
            <w:r>
              <w:rPr>
                <w:webHidden/>
              </w:rPr>
              <w:fldChar w:fldCharType="end"/>
            </w:r>
          </w:hyperlink>
        </w:p>
        <w:p w14:paraId="68FBCFD5" w14:textId="1720E2EB" w:rsidR="002E7875" w:rsidRDefault="002E7875">
          <w:pPr>
            <w:pStyle w:val="Inhopg1"/>
            <w:rPr>
              <w:rFonts w:asciiTheme="minorHAnsi" w:eastAsiaTheme="minorEastAsia" w:hAnsiTheme="minorHAnsi" w:cstheme="minorBidi"/>
              <w:b w:val="0"/>
              <w:bCs w:val="0"/>
              <w:caps w:val="0"/>
              <w:kern w:val="2"/>
              <w:sz w:val="24"/>
              <w:szCs w:val="24"/>
              <w:lang w:val="nl-BE" w:eastAsia="nl-BE"/>
              <w14:ligatures w14:val="standardContextual"/>
            </w:rPr>
          </w:pPr>
          <w:hyperlink w:anchor="_Toc215739052" w:history="1">
            <w:r w:rsidRPr="00AA38E6">
              <w:rPr>
                <w:rStyle w:val="Hyperlink"/>
              </w:rPr>
              <w:t>TITEL 8. slotbepalingen</w:t>
            </w:r>
            <w:r>
              <w:rPr>
                <w:webHidden/>
              </w:rPr>
              <w:tab/>
            </w:r>
            <w:r>
              <w:rPr>
                <w:webHidden/>
              </w:rPr>
              <w:fldChar w:fldCharType="begin"/>
            </w:r>
            <w:r>
              <w:rPr>
                <w:webHidden/>
              </w:rPr>
              <w:instrText xml:space="preserve"> PAGEREF _Toc215739052 \h </w:instrText>
            </w:r>
            <w:r>
              <w:rPr>
                <w:webHidden/>
              </w:rPr>
            </w:r>
            <w:r>
              <w:rPr>
                <w:webHidden/>
              </w:rPr>
              <w:fldChar w:fldCharType="separate"/>
            </w:r>
            <w:r>
              <w:rPr>
                <w:webHidden/>
              </w:rPr>
              <w:t>100</w:t>
            </w:r>
            <w:r>
              <w:rPr>
                <w:webHidden/>
              </w:rPr>
              <w:fldChar w:fldCharType="end"/>
            </w:r>
          </w:hyperlink>
        </w:p>
        <w:p w14:paraId="1F610EB3" w14:textId="276CB9F4"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53" w:history="1">
            <w:r w:rsidRPr="00AA38E6">
              <w:rPr>
                <w:rStyle w:val="Hyperlink"/>
              </w:rPr>
              <w:t>Hoofdstuk i. tucht</w:t>
            </w:r>
            <w:r>
              <w:rPr>
                <w:webHidden/>
              </w:rPr>
              <w:tab/>
            </w:r>
            <w:r>
              <w:rPr>
                <w:webHidden/>
              </w:rPr>
              <w:fldChar w:fldCharType="begin"/>
            </w:r>
            <w:r>
              <w:rPr>
                <w:webHidden/>
              </w:rPr>
              <w:instrText xml:space="preserve"> PAGEREF _Toc215739053 \h </w:instrText>
            </w:r>
            <w:r>
              <w:rPr>
                <w:webHidden/>
              </w:rPr>
            </w:r>
            <w:r>
              <w:rPr>
                <w:webHidden/>
              </w:rPr>
              <w:fldChar w:fldCharType="separate"/>
            </w:r>
            <w:r>
              <w:rPr>
                <w:webHidden/>
              </w:rPr>
              <w:t>100</w:t>
            </w:r>
            <w:r>
              <w:rPr>
                <w:webHidden/>
              </w:rPr>
              <w:fldChar w:fldCharType="end"/>
            </w:r>
          </w:hyperlink>
        </w:p>
        <w:p w14:paraId="697DA737" w14:textId="0D5FF5CC"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54" w:history="1">
            <w:r w:rsidRPr="00AA38E6">
              <w:rPr>
                <w:rStyle w:val="Hyperlink"/>
              </w:rPr>
              <w:t>Hoofdstuk ii. deontologie</w:t>
            </w:r>
            <w:r>
              <w:rPr>
                <w:webHidden/>
              </w:rPr>
              <w:tab/>
            </w:r>
            <w:r>
              <w:rPr>
                <w:webHidden/>
              </w:rPr>
              <w:fldChar w:fldCharType="begin"/>
            </w:r>
            <w:r>
              <w:rPr>
                <w:webHidden/>
              </w:rPr>
              <w:instrText xml:space="preserve"> PAGEREF _Toc215739054 \h </w:instrText>
            </w:r>
            <w:r>
              <w:rPr>
                <w:webHidden/>
              </w:rPr>
            </w:r>
            <w:r>
              <w:rPr>
                <w:webHidden/>
              </w:rPr>
              <w:fldChar w:fldCharType="separate"/>
            </w:r>
            <w:r>
              <w:rPr>
                <w:webHidden/>
              </w:rPr>
              <w:t>100</w:t>
            </w:r>
            <w:r>
              <w:rPr>
                <w:webHidden/>
              </w:rPr>
              <w:fldChar w:fldCharType="end"/>
            </w:r>
          </w:hyperlink>
        </w:p>
        <w:p w14:paraId="1484E00B" w14:textId="08A541ED"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55" w:history="1">
            <w:r w:rsidRPr="00AA38E6">
              <w:rPr>
                <w:rStyle w:val="Hyperlink"/>
              </w:rPr>
              <w:t>Hoofdstuk iii. overgangsbepalingen</w:t>
            </w:r>
            <w:r>
              <w:rPr>
                <w:webHidden/>
              </w:rPr>
              <w:tab/>
            </w:r>
            <w:r>
              <w:rPr>
                <w:webHidden/>
              </w:rPr>
              <w:fldChar w:fldCharType="begin"/>
            </w:r>
            <w:r>
              <w:rPr>
                <w:webHidden/>
              </w:rPr>
              <w:instrText xml:space="preserve"> PAGEREF _Toc215739055 \h </w:instrText>
            </w:r>
            <w:r>
              <w:rPr>
                <w:webHidden/>
              </w:rPr>
            </w:r>
            <w:r>
              <w:rPr>
                <w:webHidden/>
              </w:rPr>
              <w:fldChar w:fldCharType="separate"/>
            </w:r>
            <w:r>
              <w:rPr>
                <w:webHidden/>
              </w:rPr>
              <w:t>100</w:t>
            </w:r>
            <w:r>
              <w:rPr>
                <w:webHidden/>
              </w:rPr>
              <w:fldChar w:fldCharType="end"/>
            </w:r>
          </w:hyperlink>
        </w:p>
        <w:p w14:paraId="4893D186" w14:textId="700C005C"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56" w:history="1">
            <w:r w:rsidRPr="00AA38E6">
              <w:rPr>
                <w:rStyle w:val="Hyperlink"/>
                <w:bCs/>
              </w:rPr>
              <w:t>Afdeling 1</w:t>
            </w:r>
            <w:r>
              <w:rPr>
                <w:webHidden/>
              </w:rPr>
              <w:tab/>
            </w:r>
            <w:r>
              <w:rPr>
                <w:webHidden/>
              </w:rPr>
              <w:fldChar w:fldCharType="begin"/>
            </w:r>
            <w:r>
              <w:rPr>
                <w:webHidden/>
              </w:rPr>
              <w:instrText xml:space="preserve"> PAGEREF _Toc215739056 \h </w:instrText>
            </w:r>
            <w:r>
              <w:rPr>
                <w:webHidden/>
              </w:rPr>
            </w:r>
            <w:r>
              <w:rPr>
                <w:webHidden/>
              </w:rPr>
              <w:fldChar w:fldCharType="separate"/>
            </w:r>
            <w:r>
              <w:rPr>
                <w:webHidden/>
              </w:rPr>
              <w:t>100</w:t>
            </w:r>
            <w:r>
              <w:rPr>
                <w:webHidden/>
              </w:rPr>
              <w:fldChar w:fldCharType="end"/>
            </w:r>
          </w:hyperlink>
        </w:p>
        <w:p w14:paraId="69D9DF1D" w14:textId="43F0C78F"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57" w:history="1">
            <w:r w:rsidRPr="00AA38E6">
              <w:rPr>
                <w:rStyle w:val="Hyperlink"/>
                <w:bCs/>
              </w:rPr>
              <w:t>Afdeling 3. overgangsbepalingen over diverse lopende procedures en lopende periodes</w:t>
            </w:r>
            <w:r>
              <w:rPr>
                <w:webHidden/>
              </w:rPr>
              <w:tab/>
            </w:r>
            <w:r>
              <w:rPr>
                <w:webHidden/>
              </w:rPr>
              <w:fldChar w:fldCharType="begin"/>
            </w:r>
            <w:r>
              <w:rPr>
                <w:webHidden/>
              </w:rPr>
              <w:instrText xml:space="preserve"> PAGEREF _Toc215739057 \h </w:instrText>
            </w:r>
            <w:r>
              <w:rPr>
                <w:webHidden/>
              </w:rPr>
            </w:r>
            <w:r>
              <w:rPr>
                <w:webHidden/>
              </w:rPr>
              <w:fldChar w:fldCharType="separate"/>
            </w:r>
            <w:r>
              <w:rPr>
                <w:webHidden/>
              </w:rPr>
              <w:t>101</w:t>
            </w:r>
            <w:r>
              <w:rPr>
                <w:webHidden/>
              </w:rPr>
              <w:fldChar w:fldCharType="end"/>
            </w:r>
          </w:hyperlink>
        </w:p>
        <w:p w14:paraId="665148C7" w14:textId="23A12438"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58" w:history="1">
            <w:r w:rsidRPr="00AA38E6">
              <w:rPr>
                <w:rStyle w:val="Hyperlink"/>
              </w:rPr>
              <w:t>Hoofdstuk iv. inwerkingtredingsbepalingen.</w:t>
            </w:r>
            <w:r>
              <w:rPr>
                <w:webHidden/>
              </w:rPr>
              <w:tab/>
            </w:r>
            <w:r>
              <w:rPr>
                <w:webHidden/>
              </w:rPr>
              <w:fldChar w:fldCharType="begin"/>
            </w:r>
            <w:r>
              <w:rPr>
                <w:webHidden/>
              </w:rPr>
              <w:instrText xml:space="preserve"> PAGEREF _Toc215739058 \h </w:instrText>
            </w:r>
            <w:r>
              <w:rPr>
                <w:webHidden/>
              </w:rPr>
            </w:r>
            <w:r>
              <w:rPr>
                <w:webHidden/>
              </w:rPr>
              <w:fldChar w:fldCharType="separate"/>
            </w:r>
            <w:r>
              <w:rPr>
                <w:webHidden/>
              </w:rPr>
              <w:t>103</w:t>
            </w:r>
            <w:r>
              <w:rPr>
                <w:webHidden/>
              </w:rPr>
              <w:fldChar w:fldCharType="end"/>
            </w:r>
          </w:hyperlink>
        </w:p>
        <w:p w14:paraId="5761F40D" w14:textId="6089C6C3"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59" w:history="1">
            <w:r w:rsidRPr="00AA38E6">
              <w:rPr>
                <w:rStyle w:val="Hyperlink"/>
                <w:bCs/>
              </w:rPr>
              <w:t>Afdeling 1. inwerkingtredingsbepalingen</w:t>
            </w:r>
            <w:r>
              <w:rPr>
                <w:webHidden/>
              </w:rPr>
              <w:tab/>
            </w:r>
            <w:r>
              <w:rPr>
                <w:webHidden/>
              </w:rPr>
              <w:fldChar w:fldCharType="begin"/>
            </w:r>
            <w:r>
              <w:rPr>
                <w:webHidden/>
              </w:rPr>
              <w:instrText xml:space="preserve"> PAGEREF _Toc215739059 \h </w:instrText>
            </w:r>
            <w:r>
              <w:rPr>
                <w:webHidden/>
              </w:rPr>
            </w:r>
            <w:r>
              <w:rPr>
                <w:webHidden/>
              </w:rPr>
              <w:fldChar w:fldCharType="separate"/>
            </w:r>
            <w:r>
              <w:rPr>
                <w:webHidden/>
              </w:rPr>
              <w:t>103</w:t>
            </w:r>
            <w:r>
              <w:rPr>
                <w:webHidden/>
              </w:rPr>
              <w:fldChar w:fldCharType="end"/>
            </w:r>
          </w:hyperlink>
        </w:p>
        <w:p w14:paraId="63DC76EE" w14:textId="76675A04" w:rsidR="002E7875" w:rsidRDefault="002E7875">
          <w:pPr>
            <w:pStyle w:val="Inhopg1"/>
            <w:rPr>
              <w:rFonts w:asciiTheme="minorHAnsi" w:eastAsiaTheme="minorEastAsia" w:hAnsiTheme="minorHAnsi" w:cstheme="minorBidi"/>
              <w:b w:val="0"/>
              <w:bCs w:val="0"/>
              <w:caps w:val="0"/>
              <w:kern w:val="2"/>
              <w:sz w:val="24"/>
              <w:szCs w:val="24"/>
              <w:lang w:val="nl-BE" w:eastAsia="nl-BE"/>
              <w14:ligatures w14:val="standardContextual"/>
            </w:rPr>
          </w:pPr>
          <w:hyperlink w:anchor="_Toc215739060" w:history="1">
            <w:r w:rsidRPr="00AA38E6">
              <w:rPr>
                <w:rStyle w:val="Hyperlink"/>
              </w:rPr>
              <w:t>Bijlagen</w:t>
            </w:r>
            <w:r>
              <w:rPr>
                <w:webHidden/>
              </w:rPr>
              <w:tab/>
            </w:r>
            <w:r>
              <w:rPr>
                <w:webHidden/>
              </w:rPr>
              <w:fldChar w:fldCharType="begin"/>
            </w:r>
            <w:r>
              <w:rPr>
                <w:webHidden/>
              </w:rPr>
              <w:instrText xml:space="preserve"> PAGEREF _Toc215739060 \h </w:instrText>
            </w:r>
            <w:r>
              <w:rPr>
                <w:webHidden/>
              </w:rPr>
            </w:r>
            <w:r>
              <w:rPr>
                <w:webHidden/>
              </w:rPr>
              <w:fldChar w:fldCharType="separate"/>
            </w:r>
            <w:r>
              <w:rPr>
                <w:webHidden/>
              </w:rPr>
              <w:t>104</w:t>
            </w:r>
            <w:r>
              <w:rPr>
                <w:webHidden/>
              </w:rPr>
              <w:fldChar w:fldCharType="end"/>
            </w:r>
          </w:hyperlink>
        </w:p>
        <w:p w14:paraId="1BCB6AFF" w14:textId="5E30801B" w:rsidR="002E7875" w:rsidRDefault="002E7875">
          <w:pPr>
            <w:pStyle w:val="Inhopg1"/>
            <w:rPr>
              <w:rFonts w:asciiTheme="minorHAnsi" w:eastAsiaTheme="minorEastAsia" w:hAnsiTheme="minorHAnsi" w:cstheme="minorBidi"/>
              <w:b w:val="0"/>
              <w:bCs w:val="0"/>
              <w:caps w:val="0"/>
              <w:kern w:val="2"/>
              <w:sz w:val="24"/>
              <w:szCs w:val="24"/>
              <w:lang w:val="nl-BE" w:eastAsia="nl-BE"/>
              <w14:ligatures w14:val="standardContextual"/>
            </w:rPr>
          </w:pPr>
          <w:hyperlink w:anchor="_Toc215739061" w:history="1">
            <w:r w:rsidRPr="00AA38E6">
              <w:rPr>
                <w:rStyle w:val="Hyperlink"/>
              </w:rPr>
              <w:t>Bijlage i. UITGEWERKTE SALARISSCHALEN</w:t>
            </w:r>
            <w:r>
              <w:rPr>
                <w:webHidden/>
              </w:rPr>
              <w:tab/>
            </w:r>
            <w:r>
              <w:rPr>
                <w:webHidden/>
              </w:rPr>
              <w:fldChar w:fldCharType="begin"/>
            </w:r>
            <w:r>
              <w:rPr>
                <w:webHidden/>
              </w:rPr>
              <w:instrText xml:space="preserve"> PAGEREF _Toc215739061 \h </w:instrText>
            </w:r>
            <w:r>
              <w:rPr>
                <w:webHidden/>
              </w:rPr>
            </w:r>
            <w:r>
              <w:rPr>
                <w:webHidden/>
              </w:rPr>
              <w:fldChar w:fldCharType="separate"/>
            </w:r>
            <w:r>
              <w:rPr>
                <w:webHidden/>
              </w:rPr>
              <w:t>105</w:t>
            </w:r>
            <w:r>
              <w:rPr>
                <w:webHidden/>
              </w:rPr>
              <w:fldChar w:fldCharType="end"/>
            </w:r>
          </w:hyperlink>
        </w:p>
        <w:p w14:paraId="65D466A4" w14:textId="35769BFE" w:rsidR="002E7875" w:rsidRDefault="002E7875">
          <w:pPr>
            <w:pStyle w:val="Inhopg1"/>
            <w:rPr>
              <w:rFonts w:asciiTheme="minorHAnsi" w:eastAsiaTheme="minorEastAsia" w:hAnsiTheme="minorHAnsi" w:cstheme="minorBidi"/>
              <w:b w:val="0"/>
              <w:bCs w:val="0"/>
              <w:caps w:val="0"/>
              <w:kern w:val="2"/>
              <w:sz w:val="24"/>
              <w:szCs w:val="24"/>
              <w:lang w:val="nl-BE" w:eastAsia="nl-BE"/>
              <w14:ligatures w14:val="standardContextual"/>
            </w:rPr>
          </w:pPr>
          <w:hyperlink w:anchor="_Toc215739062" w:history="1">
            <w:r w:rsidRPr="00AA38E6">
              <w:rPr>
                <w:rStyle w:val="Hyperlink"/>
                <w:lang w:val="nl-BE"/>
              </w:rPr>
              <w:t>Bijlage ii. overzicht verloven en afwezigheden, de administratieve toestand en de geldelijke en administratieve gevolgen</w:t>
            </w:r>
            <w:r>
              <w:rPr>
                <w:webHidden/>
              </w:rPr>
              <w:tab/>
            </w:r>
            <w:r>
              <w:rPr>
                <w:webHidden/>
              </w:rPr>
              <w:fldChar w:fldCharType="begin"/>
            </w:r>
            <w:r>
              <w:rPr>
                <w:webHidden/>
              </w:rPr>
              <w:instrText xml:space="preserve"> PAGEREF _Toc215739062 \h </w:instrText>
            </w:r>
            <w:r>
              <w:rPr>
                <w:webHidden/>
              </w:rPr>
            </w:r>
            <w:r>
              <w:rPr>
                <w:webHidden/>
              </w:rPr>
              <w:fldChar w:fldCharType="separate"/>
            </w:r>
            <w:r>
              <w:rPr>
                <w:webHidden/>
              </w:rPr>
              <w:t>117</w:t>
            </w:r>
            <w:r>
              <w:rPr>
                <w:webHidden/>
              </w:rPr>
              <w:fldChar w:fldCharType="end"/>
            </w:r>
          </w:hyperlink>
        </w:p>
        <w:p w14:paraId="20728FA6" w14:textId="3BEED2CB" w:rsidR="002E7875" w:rsidRDefault="002E7875">
          <w:pPr>
            <w:pStyle w:val="Inhopg1"/>
            <w:rPr>
              <w:rFonts w:asciiTheme="minorHAnsi" w:eastAsiaTheme="minorEastAsia" w:hAnsiTheme="minorHAnsi" w:cstheme="minorBidi"/>
              <w:b w:val="0"/>
              <w:bCs w:val="0"/>
              <w:caps w:val="0"/>
              <w:kern w:val="2"/>
              <w:sz w:val="24"/>
              <w:szCs w:val="24"/>
              <w:lang w:val="nl-BE" w:eastAsia="nl-BE"/>
              <w14:ligatures w14:val="standardContextual"/>
            </w:rPr>
          </w:pPr>
          <w:hyperlink w:anchor="_Toc215739063" w:history="1">
            <w:r w:rsidRPr="00AA38E6">
              <w:rPr>
                <w:rStyle w:val="Hyperlink"/>
              </w:rPr>
              <w:t>Bijlage III. overzicht functies per Graad en rang</w:t>
            </w:r>
            <w:r>
              <w:rPr>
                <w:webHidden/>
              </w:rPr>
              <w:tab/>
            </w:r>
            <w:r>
              <w:rPr>
                <w:webHidden/>
              </w:rPr>
              <w:fldChar w:fldCharType="begin"/>
            </w:r>
            <w:r>
              <w:rPr>
                <w:webHidden/>
              </w:rPr>
              <w:instrText xml:space="preserve"> PAGEREF _Toc215739063 \h </w:instrText>
            </w:r>
            <w:r>
              <w:rPr>
                <w:webHidden/>
              </w:rPr>
            </w:r>
            <w:r>
              <w:rPr>
                <w:webHidden/>
              </w:rPr>
              <w:fldChar w:fldCharType="separate"/>
            </w:r>
            <w:r>
              <w:rPr>
                <w:webHidden/>
              </w:rPr>
              <w:t>122</w:t>
            </w:r>
            <w:r>
              <w:rPr>
                <w:webHidden/>
              </w:rPr>
              <w:fldChar w:fldCharType="end"/>
            </w:r>
          </w:hyperlink>
        </w:p>
        <w:p w14:paraId="65FDA69F" w14:textId="71C914A1" w:rsidR="002E7875" w:rsidRDefault="002E7875">
          <w:pPr>
            <w:pStyle w:val="Inhopg3"/>
            <w:tabs>
              <w:tab w:val="left" w:pos="1000"/>
            </w:tabs>
            <w:rPr>
              <w:rFonts w:asciiTheme="minorHAnsi" w:eastAsiaTheme="minorEastAsia" w:hAnsiTheme="minorHAnsi" w:cstheme="minorBidi"/>
              <w:i w:val="0"/>
              <w:kern w:val="2"/>
              <w:sz w:val="24"/>
              <w:szCs w:val="24"/>
              <w:lang w:val="nl-BE" w:eastAsia="nl-BE"/>
              <w14:ligatures w14:val="standardContextual"/>
            </w:rPr>
          </w:pPr>
          <w:hyperlink w:anchor="_Toc215739064" w:history="1">
            <w:r w:rsidRPr="00AA38E6">
              <w:rPr>
                <w:rStyle w:val="Hyperlink"/>
              </w:rPr>
              <w:t>1.</w:t>
            </w:r>
            <w:r>
              <w:rPr>
                <w:rFonts w:asciiTheme="minorHAnsi" w:eastAsiaTheme="minorEastAsia" w:hAnsiTheme="minorHAnsi" w:cstheme="minorBidi"/>
                <w:i w:val="0"/>
                <w:kern w:val="2"/>
                <w:sz w:val="24"/>
                <w:szCs w:val="24"/>
                <w:lang w:val="nl-BE" w:eastAsia="nl-BE"/>
                <w14:ligatures w14:val="standardContextual"/>
              </w:rPr>
              <w:tab/>
            </w:r>
            <w:r w:rsidRPr="00AA38E6">
              <w:rPr>
                <w:rStyle w:val="Hyperlink"/>
              </w:rPr>
              <w:t>Volgens ocmw-personeelcategorie</w:t>
            </w:r>
            <w:r>
              <w:rPr>
                <w:webHidden/>
              </w:rPr>
              <w:tab/>
            </w:r>
            <w:r>
              <w:rPr>
                <w:webHidden/>
              </w:rPr>
              <w:fldChar w:fldCharType="begin"/>
            </w:r>
            <w:r>
              <w:rPr>
                <w:webHidden/>
              </w:rPr>
              <w:instrText xml:space="preserve"> PAGEREF _Toc215739064 \h </w:instrText>
            </w:r>
            <w:r>
              <w:rPr>
                <w:webHidden/>
              </w:rPr>
            </w:r>
            <w:r>
              <w:rPr>
                <w:webHidden/>
              </w:rPr>
              <w:fldChar w:fldCharType="separate"/>
            </w:r>
            <w:r>
              <w:rPr>
                <w:webHidden/>
              </w:rPr>
              <w:t>122</w:t>
            </w:r>
            <w:r>
              <w:rPr>
                <w:webHidden/>
              </w:rPr>
              <w:fldChar w:fldCharType="end"/>
            </w:r>
          </w:hyperlink>
        </w:p>
        <w:p w14:paraId="4EEE215D" w14:textId="300037F2" w:rsidR="002E7875" w:rsidRDefault="002E7875">
          <w:pPr>
            <w:pStyle w:val="Inhopg3"/>
            <w:tabs>
              <w:tab w:val="left" w:pos="1000"/>
            </w:tabs>
            <w:rPr>
              <w:rFonts w:asciiTheme="minorHAnsi" w:eastAsiaTheme="minorEastAsia" w:hAnsiTheme="minorHAnsi" w:cstheme="minorBidi"/>
              <w:i w:val="0"/>
              <w:kern w:val="2"/>
              <w:sz w:val="24"/>
              <w:szCs w:val="24"/>
              <w:lang w:val="nl-BE" w:eastAsia="nl-BE"/>
              <w14:ligatures w14:val="standardContextual"/>
            </w:rPr>
          </w:pPr>
          <w:hyperlink w:anchor="_Toc215739065" w:history="1">
            <w:r w:rsidRPr="00AA38E6">
              <w:rPr>
                <w:rStyle w:val="Hyperlink"/>
                <w:rFonts w:cs="Arial"/>
                <w:bCs/>
                <w:lang w:val="nl-BE" w:eastAsia="nl-BE"/>
              </w:rPr>
              <w:t>1.</w:t>
            </w:r>
            <w:r>
              <w:rPr>
                <w:rFonts w:asciiTheme="minorHAnsi" w:eastAsiaTheme="minorEastAsia" w:hAnsiTheme="minorHAnsi" w:cstheme="minorBidi"/>
                <w:i w:val="0"/>
                <w:kern w:val="2"/>
                <w:sz w:val="24"/>
                <w:szCs w:val="24"/>
                <w:lang w:val="nl-BE" w:eastAsia="nl-BE"/>
                <w14:ligatures w14:val="standardContextual"/>
              </w:rPr>
              <w:tab/>
            </w:r>
            <w:r w:rsidRPr="00AA38E6">
              <w:rPr>
                <w:rStyle w:val="Hyperlink"/>
              </w:rPr>
              <w:t>Gemeentepersoneel</w:t>
            </w:r>
            <w:r>
              <w:rPr>
                <w:webHidden/>
              </w:rPr>
              <w:tab/>
            </w:r>
            <w:r>
              <w:rPr>
                <w:webHidden/>
              </w:rPr>
              <w:fldChar w:fldCharType="begin"/>
            </w:r>
            <w:r>
              <w:rPr>
                <w:webHidden/>
              </w:rPr>
              <w:instrText xml:space="preserve"> PAGEREF _Toc215739065 \h </w:instrText>
            </w:r>
            <w:r>
              <w:rPr>
                <w:webHidden/>
              </w:rPr>
            </w:r>
            <w:r>
              <w:rPr>
                <w:webHidden/>
              </w:rPr>
              <w:fldChar w:fldCharType="separate"/>
            </w:r>
            <w:r>
              <w:rPr>
                <w:webHidden/>
              </w:rPr>
              <w:t>123</w:t>
            </w:r>
            <w:r>
              <w:rPr>
                <w:webHidden/>
              </w:rPr>
              <w:fldChar w:fldCharType="end"/>
            </w:r>
          </w:hyperlink>
        </w:p>
        <w:p w14:paraId="2082D370" w14:textId="2863124C" w:rsidR="002E7875" w:rsidRDefault="002E7875">
          <w:pPr>
            <w:pStyle w:val="Inhopg1"/>
            <w:rPr>
              <w:rFonts w:asciiTheme="minorHAnsi" w:eastAsiaTheme="minorEastAsia" w:hAnsiTheme="minorHAnsi" w:cstheme="minorBidi"/>
              <w:b w:val="0"/>
              <w:bCs w:val="0"/>
              <w:caps w:val="0"/>
              <w:kern w:val="2"/>
              <w:sz w:val="24"/>
              <w:szCs w:val="24"/>
              <w:lang w:val="nl-BE" w:eastAsia="nl-BE"/>
              <w14:ligatures w14:val="standardContextual"/>
            </w:rPr>
          </w:pPr>
          <w:hyperlink w:anchor="_Toc215739066" w:history="1">
            <w:r w:rsidRPr="00AA38E6">
              <w:rPr>
                <w:rStyle w:val="Hyperlink"/>
              </w:rPr>
              <w:t>BIJLAGE IV: VORMINGSREGLEMENT</w:t>
            </w:r>
            <w:r>
              <w:rPr>
                <w:webHidden/>
              </w:rPr>
              <w:tab/>
            </w:r>
            <w:r>
              <w:rPr>
                <w:webHidden/>
              </w:rPr>
              <w:fldChar w:fldCharType="begin"/>
            </w:r>
            <w:r>
              <w:rPr>
                <w:webHidden/>
              </w:rPr>
              <w:instrText xml:space="preserve"> PAGEREF _Toc215739066 \h </w:instrText>
            </w:r>
            <w:r>
              <w:rPr>
                <w:webHidden/>
              </w:rPr>
            </w:r>
            <w:r>
              <w:rPr>
                <w:webHidden/>
              </w:rPr>
              <w:fldChar w:fldCharType="separate"/>
            </w:r>
            <w:r>
              <w:rPr>
                <w:webHidden/>
              </w:rPr>
              <w:t>128</w:t>
            </w:r>
            <w:r>
              <w:rPr>
                <w:webHidden/>
              </w:rPr>
              <w:fldChar w:fldCharType="end"/>
            </w:r>
          </w:hyperlink>
        </w:p>
        <w:p w14:paraId="55F643AE" w14:textId="4ECEF4D8"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67" w:history="1">
            <w:r w:rsidRPr="00AA38E6">
              <w:rPr>
                <w:rStyle w:val="Hyperlink"/>
              </w:rPr>
              <w:t>Afdeling 1. Strategische uitgangspunten</w:t>
            </w:r>
            <w:r>
              <w:rPr>
                <w:webHidden/>
              </w:rPr>
              <w:tab/>
            </w:r>
            <w:r>
              <w:rPr>
                <w:webHidden/>
              </w:rPr>
              <w:fldChar w:fldCharType="begin"/>
            </w:r>
            <w:r>
              <w:rPr>
                <w:webHidden/>
              </w:rPr>
              <w:instrText xml:space="preserve"> PAGEREF _Toc215739067 \h </w:instrText>
            </w:r>
            <w:r>
              <w:rPr>
                <w:webHidden/>
              </w:rPr>
            </w:r>
            <w:r>
              <w:rPr>
                <w:webHidden/>
              </w:rPr>
              <w:fldChar w:fldCharType="separate"/>
            </w:r>
            <w:r>
              <w:rPr>
                <w:webHidden/>
              </w:rPr>
              <w:t>128</w:t>
            </w:r>
            <w:r>
              <w:rPr>
                <w:webHidden/>
              </w:rPr>
              <w:fldChar w:fldCharType="end"/>
            </w:r>
          </w:hyperlink>
        </w:p>
        <w:p w14:paraId="638F5BCD" w14:textId="685D8A06"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68" w:history="1">
            <w:r w:rsidRPr="00AA38E6">
              <w:rPr>
                <w:rStyle w:val="Hyperlink"/>
              </w:rPr>
              <w:t>Afdeling 2.</w:t>
            </w:r>
            <w:r w:rsidRPr="00AA38E6">
              <w:rPr>
                <w:rStyle w:val="Hyperlink"/>
                <w:rFonts w:ascii="StandardSymL" w:hAnsi="StandardSymL" w:cs="StandardSymL"/>
              </w:rPr>
              <w:t xml:space="preserve"> </w:t>
            </w:r>
            <w:r w:rsidRPr="00AA38E6">
              <w:rPr>
                <w:rStyle w:val="Hyperlink"/>
              </w:rPr>
              <w:t>Vormingsrechten en -plichten</w:t>
            </w:r>
            <w:r>
              <w:rPr>
                <w:webHidden/>
              </w:rPr>
              <w:tab/>
            </w:r>
            <w:r>
              <w:rPr>
                <w:webHidden/>
              </w:rPr>
              <w:fldChar w:fldCharType="begin"/>
            </w:r>
            <w:r>
              <w:rPr>
                <w:webHidden/>
              </w:rPr>
              <w:instrText xml:space="preserve"> PAGEREF _Toc215739068 \h </w:instrText>
            </w:r>
            <w:r>
              <w:rPr>
                <w:webHidden/>
              </w:rPr>
            </w:r>
            <w:r>
              <w:rPr>
                <w:webHidden/>
              </w:rPr>
              <w:fldChar w:fldCharType="separate"/>
            </w:r>
            <w:r>
              <w:rPr>
                <w:webHidden/>
              </w:rPr>
              <w:t>128</w:t>
            </w:r>
            <w:r>
              <w:rPr>
                <w:webHidden/>
              </w:rPr>
              <w:fldChar w:fldCharType="end"/>
            </w:r>
          </w:hyperlink>
        </w:p>
        <w:p w14:paraId="0DC1AF67" w14:textId="722A111A"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69" w:history="1">
            <w:r w:rsidRPr="00AA38E6">
              <w:rPr>
                <w:rStyle w:val="Hyperlink"/>
              </w:rPr>
              <w:t>Afdeling 3. Actoren en bevoegdheden</w:t>
            </w:r>
            <w:r>
              <w:rPr>
                <w:webHidden/>
              </w:rPr>
              <w:tab/>
            </w:r>
            <w:r>
              <w:rPr>
                <w:webHidden/>
              </w:rPr>
              <w:fldChar w:fldCharType="begin"/>
            </w:r>
            <w:r>
              <w:rPr>
                <w:webHidden/>
              </w:rPr>
              <w:instrText xml:space="preserve"> PAGEREF _Toc215739069 \h </w:instrText>
            </w:r>
            <w:r>
              <w:rPr>
                <w:webHidden/>
              </w:rPr>
            </w:r>
            <w:r>
              <w:rPr>
                <w:webHidden/>
              </w:rPr>
              <w:fldChar w:fldCharType="separate"/>
            </w:r>
            <w:r>
              <w:rPr>
                <w:webHidden/>
              </w:rPr>
              <w:t>128</w:t>
            </w:r>
            <w:r>
              <w:rPr>
                <w:webHidden/>
              </w:rPr>
              <w:fldChar w:fldCharType="end"/>
            </w:r>
          </w:hyperlink>
        </w:p>
        <w:p w14:paraId="5A72B36B" w14:textId="53487723"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70" w:history="1">
            <w:r w:rsidRPr="00AA38E6">
              <w:rPr>
                <w:rStyle w:val="Hyperlink"/>
              </w:rPr>
              <w:t>Afdeling 4.</w:t>
            </w:r>
            <w:r w:rsidRPr="00AA38E6">
              <w:rPr>
                <w:rStyle w:val="Hyperlink"/>
                <w:rFonts w:ascii="StandardSymL" w:hAnsi="StandardSymL" w:cs="StandardSymL"/>
              </w:rPr>
              <w:t xml:space="preserve"> </w:t>
            </w:r>
            <w:r w:rsidRPr="00AA38E6">
              <w:rPr>
                <w:rStyle w:val="Hyperlink"/>
              </w:rPr>
              <w:t>Procedure</w:t>
            </w:r>
            <w:r>
              <w:rPr>
                <w:webHidden/>
              </w:rPr>
              <w:tab/>
            </w:r>
            <w:r>
              <w:rPr>
                <w:webHidden/>
              </w:rPr>
              <w:fldChar w:fldCharType="begin"/>
            </w:r>
            <w:r>
              <w:rPr>
                <w:webHidden/>
              </w:rPr>
              <w:instrText xml:space="preserve"> PAGEREF _Toc215739070 \h </w:instrText>
            </w:r>
            <w:r>
              <w:rPr>
                <w:webHidden/>
              </w:rPr>
            </w:r>
            <w:r>
              <w:rPr>
                <w:webHidden/>
              </w:rPr>
              <w:fldChar w:fldCharType="separate"/>
            </w:r>
            <w:r>
              <w:rPr>
                <w:webHidden/>
              </w:rPr>
              <w:t>129</w:t>
            </w:r>
            <w:r>
              <w:rPr>
                <w:webHidden/>
              </w:rPr>
              <w:fldChar w:fldCharType="end"/>
            </w:r>
          </w:hyperlink>
        </w:p>
        <w:p w14:paraId="7D5A0821" w14:textId="4D869A70"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71" w:history="1">
            <w:r w:rsidRPr="00AA38E6">
              <w:rPr>
                <w:rStyle w:val="Hyperlink"/>
              </w:rPr>
              <w:t>Afdeling 5. Vormingsbeslissing</w:t>
            </w:r>
            <w:r>
              <w:rPr>
                <w:webHidden/>
              </w:rPr>
              <w:tab/>
            </w:r>
            <w:r>
              <w:rPr>
                <w:webHidden/>
              </w:rPr>
              <w:fldChar w:fldCharType="begin"/>
            </w:r>
            <w:r>
              <w:rPr>
                <w:webHidden/>
              </w:rPr>
              <w:instrText xml:space="preserve"> PAGEREF _Toc215739071 \h </w:instrText>
            </w:r>
            <w:r>
              <w:rPr>
                <w:webHidden/>
              </w:rPr>
            </w:r>
            <w:r>
              <w:rPr>
                <w:webHidden/>
              </w:rPr>
              <w:fldChar w:fldCharType="separate"/>
            </w:r>
            <w:r>
              <w:rPr>
                <w:webHidden/>
              </w:rPr>
              <w:t>130</w:t>
            </w:r>
            <w:r>
              <w:rPr>
                <w:webHidden/>
              </w:rPr>
              <w:fldChar w:fldCharType="end"/>
            </w:r>
          </w:hyperlink>
        </w:p>
        <w:p w14:paraId="01F6C849" w14:textId="0034E681"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72" w:history="1">
            <w:r w:rsidRPr="00AA38E6">
              <w:rPr>
                <w:rStyle w:val="Hyperlink"/>
              </w:rPr>
              <w:t>Afdeling 6. Arbeidstijd en kosten</w:t>
            </w:r>
            <w:r>
              <w:rPr>
                <w:webHidden/>
              </w:rPr>
              <w:tab/>
            </w:r>
            <w:r>
              <w:rPr>
                <w:webHidden/>
              </w:rPr>
              <w:fldChar w:fldCharType="begin"/>
            </w:r>
            <w:r>
              <w:rPr>
                <w:webHidden/>
              </w:rPr>
              <w:instrText xml:space="preserve"> PAGEREF _Toc215739072 \h </w:instrText>
            </w:r>
            <w:r>
              <w:rPr>
                <w:webHidden/>
              </w:rPr>
            </w:r>
            <w:r>
              <w:rPr>
                <w:webHidden/>
              </w:rPr>
              <w:fldChar w:fldCharType="separate"/>
            </w:r>
            <w:r>
              <w:rPr>
                <w:webHidden/>
              </w:rPr>
              <w:t>130</w:t>
            </w:r>
            <w:r>
              <w:rPr>
                <w:webHidden/>
              </w:rPr>
              <w:fldChar w:fldCharType="end"/>
            </w:r>
          </w:hyperlink>
        </w:p>
        <w:p w14:paraId="736E5A61" w14:textId="05665A43"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73" w:history="1">
            <w:r w:rsidRPr="00AA38E6">
              <w:rPr>
                <w:rStyle w:val="Hyperlink"/>
                <w:rFonts w:cs="Arial"/>
              </w:rPr>
              <w:t>Afdeling 7. Verplichtingen bij deelname aan een vormingsactiviteit</w:t>
            </w:r>
            <w:r>
              <w:rPr>
                <w:webHidden/>
              </w:rPr>
              <w:tab/>
            </w:r>
            <w:r>
              <w:rPr>
                <w:webHidden/>
              </w:rPr>
              <w:fldChar w:fldCharType="begin"/>
            </w:r>
            <w:r>
              <w:rPr>
                <w:webHidden/>
              </w:rPr>
              <w:instrText xml:space="preserve"> PAGEREF _Toc215739073 \h </w:instrText>
            </w:r>
            <w:r>
              <w:rPr>
                <w:webHidden/>
              </w:rPr>
            </w:r>
            <w:r>
              <w:rPr>
                <w:webHidden/>
              </w:rPr>
              <w:fldChar w:fldCharType="separate"/>
            </w:r>
            <w:r>
              <w:rPr>
                <w:webHidden/>
              </w:rPr>
              <w:t>132</w:t>
            </w:r>
            <w:r>
              <w:rPr>
                <w:webHidden/>
              </w:rPr>
              <w:fldChar w:fldCharType="end"/>
            </w:r>
          </w:hyperlink>
        </w:p>
        <w:p w14:paraId="6B8E2E7A" w14:textId="44E3CAC8"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74" w:history="1">
            <w:r w:rsidRPr="00AA38E6">
              <w:rPr>
                <w:rStyle w:val="Hyperlink"/>
                <w:rFonts w:cs="Arial"/>
              </w:rPr>
              <w:t>Afdeling 8. Slotbepalingen</w:t>
            </w:r>
            <w:r>
              <w:rPr>
                <w:webHidden/>
              </w:rPr>
              <w:tab/>
            </w:r>
            <w:r>
              <w:rPr>
                <w:webHidden/>
              </w:rPr>
              <w:fldChar w:fldCharType="begin"/>
            </w:r>
            <w:r>
              <w:rPr>
                <w:webHidden/>
              </w:rPr>
              <w:instrText xml:space="preserve"> PAGEREF _Toc215739074 \h </w:instrText>
            </w:r>
            <w:r>
              <w:rPr>
                <w:webHidden/>
              </w:rPr>
            </w:r>
            <w:r>
              <w:rPr>
                <w:webHidden/>
              </w:rPr>
              <w:fldChar w:fldCharType="separate"/>
            </w:r>
            <w:r>
              <w:rPr>
                <w:webHidden/>
              </w:rPr>
              <w:t>132</w:t>
            </w:r>
            <w:r>
              <w:rPr>
                <w:webHidden/>
              </w:rPr>
              <w:fldChar w:fldCharType="end"/>
            </w:r>
          </w:hyperlink>
        </w:p>
        <w:p w14:paraId="0292C503" w14:textId="4899FD2C" w:rsidR="001A4067" w:rsidRDefault="001A4067">
          <w:r>
            <w:rPr>
              <w:b/>
              <w:bCs/>
            </w:rPr>
            <w:fldChar w:fldCharType="end"/>
          </w:r>
        </w:p>
      </w:sdtContent>
    </w:sdt>
    <w:p w14:paraId="34820A1C" w14:textId="77777777" w:rsidR="003A11FB" w:rsidRPr="00685FDD" w:rsidRDefault="003A11FB" w:rsidP="003A11FB">
      <w:pPr>
        <w:ind w:left="0"/>
        <w:sectPr w:rsidR="003A11FB" w:rsidRPr="00685FDD">
          <w:headerReference w:type="first" r:id="rId12"/>
          <w:pgSz w:w="11907" w:h="16840" w:code="9"/>
          <w:pgMar w:top="1701" w:right="1440" w:bottom="1134" w:left="1440" w:header="794" w:footer="794" w:gutter="0"/>
          <w:cols w:space="708"/>
          <w:noEndnote/>
          <w:titlePg/>
        </w:sectPr>
      </w:pPr>
    </w:p>
    <w:p w14:paraId="7BCA99C7" w14:textId="7E20B0A3" w:rsidR="003A11FB" w:rsidRPr="00FF05EC" w:rsidRDefault="003A11FB" w:rsidP="00C73BEA">
      <w:pPr>
        <w:pStyle w:val="Kop1"/>
        <w:jc w:val="left"/>
        <w:rPr>
          <w:rFonts w:cs="Arial"/>
          <w:sz w:val="20"/>
          <w:szCs w:val="20"/>
        </w:rPr>
      </w:pPr>
      <w:bookmarkStart w:id="2" w:name="_Toc184720159"/>
      <w:bookmarkStart w:id="3" w:name="_Toc110948111"/>
      <w:bookmarkStart w:id="4" w:name="_Toc215738934"/>
      <w:r>
        <w:lastRenderedPageBreak/>
        <w:t xml:space="preserve">TITEL 1. </w:t>
      </w:r>
      <w:bookmarkEnd w:id="2"/>
      <w:r w:rsidRPr="00C73BEA">
        <w:t>TOEPASSINGSGEBIED</w:t>
      </w:r>
      <w:r>
        <w:t xml:space="preserve"> EN ALGEMENE BEPALINGEN</w:t>
      </w:r>
      <w:bookmarkEnd w:id="3"/>
      <w:bookmarkEnd w:id="4"/>
    </w:p>
    <w:p w14:paraId="49F3E724" w14:textId="01364858" w:rsidR="008F4135" w:rsidRPr="008F4135" w:rsidRDefault="008F4135" w:rsidP="00B44CF7">
      <w:pPr>
        <w:pStyle w:val="Kop2"/>
      </w:pPr>
      <w:bookmarkStart w:id="5" w:name="_Toc215738935"/>
      <w:bookmarkStart w:id="6" w:name="_Hlk143173744"/>
      <w:bookmarkStart w:id="7" w:name="_Hlk152835133"/>
      <w:bookmarkStart w:id="8" w:name="_Toc296619273"/>
      <w:bookmarkStart w:id="9" w:name="_Toc296619427"/>
      <w:bookmarkStart w:id="10" w:name="_Toc296675546"/>
      <w:bookmarkStart w:id="11" w:name="_Toc296676647"/>
      <w:bookmarkStart w:id="12" w:name="_Toc296677223"/>
      <w:bookmarkStart w:id="13" w:name="_Toc296677522"/>
      <w:bookmarkStart w:id="14" w:name="_Toc296685704"/>
      <w:bookmarkStart w:id="15" w:name="_Toc296698856"/>
      <w:bookmarkStart w:id="16" w:name="_Toc296698990"/>
      <w:bookmarkStart w:id="17" w:name="_Toc296700170"/>
      <w:bookmarkStart w:id="18" w:name="_Toc296700452"/>
      <w:bookmarkStart w:id="19" w:name="_Toc296700630"/>
      <w:bookmarkStart w:id="20" w:name="_Toc296700763"/>
      <w:bookmarkStart w:id="21" w:name="_Toc296701102"/>
      <w:bookmarkStart w:id="22" w:name="_Toc296701323"/>
      <w:bookmarkStart w:id="23" w:name="_Toc296701618"/>
      <w:bookmarkStart w:id="24" w:name="_Toc296733328"/>
      <w:bookmarkStart w:id="25" w:name="_Toc296786536"/>
      <w:bookmarkStart w:id="26" w:name="_Toc296787243"/>
      <w:bookmarkStart w:id="27" w:name="_Toc296790575"/>
      <w:bookmarkStart w:id="28" w:name="_Toc296790841"/>
      <w:bookmarkStart w:id="29" w:name="_Toc296792669"/>
      <w:bookmarkStart w:id="30" w:name="_Toc296793421"/>
      <w:bookmarkStart w:id="31" w:name="_Toc314288518"/>
      <w:bookmarkStart w:id="32" w:name="_Toc327313148"/>
      <w:bookmarkStart w:id="33" w:name="_Toc329999951"/>
      <w:bookmarkStart w:id="34" w:name="_Toc337611130"/>
      <w:bookmarkStart w:id="35" w:name="_Toc338670215"/>
      <w:bookmarkStart w:id="36" w:name="_Toc338670888"/>
      <w:bookmarkStart w:id="37" w:name="_Toc110948112"/>
      <w:bookmarkStart w:id="38" w:name="_Hlk143173784"/>
      <w:r w:rsidRPr="008F4135">
        <w:t xml:space="preserve">Hoofdstuk </w:t>
      </w:r>
      <w:r w:rsidR="00B66F99">
        <w:t>I</w:t>
      </w:r>
      <w:r w:rsidRPr="008F4135">
        <w:t>. Inleidende bepalingen</w:t>
      </w:r>
      <w:bookmarkEnd w:id="5"/>
      <w:r w:rsidRPr="008F4135">
        <w:t xml:space="preserve"> </w:t>
      </w:r>
      <w:bookmarkEnd w:id="6"/>
    </w:p>
    <w:bookmarkEnd w:id="7"/>
    <w:p w14:paraId="6F8B4795" w14:textId="776DF842" w:rsidR="00FF05EC" w:rsidRPr="00FF05EC" w:rsidRDefault="00FF05EC" w:rsidP="00FF05EC">
      <w:pPr>
        <w:spacing w:before="0" w:after="160" w:line="259" w:lineRule="auto"/>
        <w:ind w:left="0"/>
        <w:jc w:val="left"/>
        <w:rPr>
          <w:rFonts w:eastAsia="Calibri" w:cs="Arial"/>
          <w:b/>
          <w:bCs/>
          <w:kern w:val="2"/>
          <w:lang w:val="nl-BE" w:eastAsia="en-US"/>
          <w14:ligatures w14:val="standardContextual"/>
        </w:rPr>
      </w:pPr>
      <w:r w:rsidRPr="00FF05EC">
        <w:rPr>
          <w:rFonts w:eastAsia="Calibri" w:cs="Arial"/>
          <w:b/>
          <w:bCs/>
          <w:kern w:val="2"/>
          <w:lang w:val="nl-BE" w:eastAsia="en-US"/>
          <w14:ligatures w14:val="standardContextual"/>
        </w:rPr>
        <w:t xml:space="preserve">Artikel 1 </w:t>
      </w:r>
    </w:p>
    <w:p w14:paraId="4D4617B0" w14:textId="77777777" w:rsidR="00FF05EC" w:rsidRPr="00FF05EC" w:rsidRDefault="00FF05EC" w:rsidP="00FF05EC">
      <w:pPr>
        <w:spacing w:before="0" w:after="160" w:line="259" w:lineRule="auto"/>
        <w:ind w:left="0"/>
        <w:jc w:val="left"/>
        <w:rPr>
          <w:rFonts w:eastAsia="Calibri" w:cs="Arial"/>
          <w:kern w:val="2"/>
          <w:lang w:val="nl-BE" w:eastAsia="en-US"/>
          <w14:ligatures w14:val="standardContextual"/>
        </w:rPr>
      </w:pPr>
      <w:r w:rsidRPr="00FF05EC">
        <w:rPr>
          <w:rFonts w:eastAsia="Calibri" w:cs="Arial"/>
          <w:kern w:val="2"/>
          <w:lang w:val="nl-BE" w:eastAsia="en-US"/>
          <w14:ligatures w14:val="standardContextual"/>
        </w:rPr>
        <w:t xml:space="preserve">In deze rechtspositieregeling wordt verstaan onder: </w:t>
      </w:r>
    </w:p>
    <w:p w14:paraId="15079ED2" w14:textId="77777777" w:rsidR="00FF05EC" w:rsidRPr="00FF05EC" w:rsidRDefault="00FF05EC" w:rsidP="009D4C40">
      <w:pPr>
        <w:numPr>
          <w:ilvl w:val="0"/>
          <w:numId w:val="47"/>
        </w:numPr>
        <w:spacing w:before="0" w:after="160" w:line="259" w:lineRule="auto"/>
        <w:contextualSpacing/>
        <w:jc w:val="left"/>
        <w:rPr>
          <w:rFonts w:eastAsia="Calibri" w:cs="Arial"/>
          <w:kern w:val="2"/>
          <w:lang w:val="nl-BE" w:eastAsia="en-US"/>
          <w14:ligatures w14:val="standardContextual"/>
        </w:rPr>
      </w:pPr>
      <w:r w:rsidRPr="00FF05EC">
        <w:rPr>
          <w:rFonts w:eastAsia="Calibri" w:cs="Arial"/>
          <w:kern w:val="2"/>
          <w:u w:val="single"/>
          <w:lang w:val="nl-BE" w:eastAsia="en-US"/>
          <w14:ligatures w14:val="standardContextual"/>
        </w:rPr>
        <w:t>Decreet van 22 december 2017</w:t>
      </w:r>
      <w:r w:rsidRPr="00FF05EC">
        <w:rPr>
          <w:rFonts w:eastAsia="Calibri" w:cs="Arial"/>
          <w:kern w:val="2"/>
          <w:lang w:val="nl-BE" w:eastAsia="en-US"/>
          <w14:ligatures w14:val="standardContextual"/>
        </w:rPr>
        <w:t xml:space="preserve">: het decreet van 22 december 2017 over het lokaal bestuur; </w:t>
      </w:r>
    </w:p>
    <w:p w14:paraId="606496A2" w14:textId="77777777" w:rsidR="00FF05EC" w:rsidRPr="00FF05EC" w:rsidRDefault="00FF05EC" w:rsidP="00FF05EC">
      <w:pPr>
        <w:spacing w:before="0" w:after="160" w:line="259" w:lineRule="auto"/>
        <w:ind w:left="360"/>
        <w:contextualSpacing/>
        <w:jc w:val="left"/>
        <w:rPr>
          <w:rFonts w:eastAsia="Calibri" w:cs="Arial"/>
          <w:kern w:val="2"/>
          <w:lang w:val="nl-BE" w:eastAsia="en-US"/>
          <w14:ligatures w14:val="standardContextual"/>
        </w:rPr>
      </w:pPr>
    </w:p>
    <w:p w14:paraId="0DF3B579" w14:textId="77777777" w:rsidR="00FF05EC" w:rsidRPr="00FF05EC" w:rsidRDefault="00FF05EC" w:rsidP="009D4C40">
      <w:pPr>
        <w:numPr>
          <w:ilvl w:val="0"/>
          <w:numId w:val="47"/>
        </w:numPr>
        <w:spacing w:before="0" w:after="160" w:line="259" w:lineRule="auto"/>
        <w:contextualSpacing/>
        <w:jc w:val="left"/>
        <w:rPr>
          <w:rFonts w:eastAsia="Calibri" w:cs="Arial"/>
          <w:kern w:val="2"/>
          <w:lang w:val="nl-BE" w:eastAsia="en-US"/>
          <w14:ligatures w14:val="standardContextual"/>
        </w:rPr>
      </w:pPr>
      <w:r w:rsidRPr="00FF05EC">
        <w:rPr>
          <w:rFonts w:eastAsia="Calibri" w:cs="Arial"/>
          <w:kern w:val="2"/>
          <w:u w:val="single"/>
          <w:lang w:val="nl-BE" w:eastAsia="en-US"/>
          <w14:ligatures w14:val="standardContextual"/>
        </w:rPr>
        <w:t>Diensten van de Vlaamse overheid</w:t>
      </w:r>
      <w:r w:rsidRPr="00FF05EC">
        <w:rPr>
          <w:rFonts w:eastAsia="Calibri" w:cs="Arial"/>
          <w:kern w:val="2"/>
          <w:lang w:val="nl-BE" w:eastAsia="en-US"/>
          <w14:ligatures w14:val="standardContextual"/>
        </w:rPr>
        <w:t xml:space="preserve">: de diensten die onder het toepassingsgebied vallen van het Vlaams Personeelsstatuut van 13 januari 2006: </w:t>
      </w:r>
    </w:p>
    <w:p w14:paraId="598596A8" w14:textId="77777777" w:rsidR="00FF05EC" w:rsidRPr="00FF05EC" w:rsidRDefault="00FF05EC" w:rsidP="00FF05EC">
      <w:pPr>
        <w:spacing w:before="0" w:after="160" w:line="259" w:lineRule="auto"/>
        <w:ind w:left="360"/>
        <w:contextualSpacing/>
        <w:jc w:val="left"/>
        <w:rPr>
          <w:rFonts w:eastAsia="Calibri" w:cs="Arial"/>
          <w:kern w:val="2"/>
          <w:lang w:val="nl-BE" w:eastAsia="en-US"/>
          <w14:ligatures w14:val="standardContextual"/>
        </w:rPr>
      </w:pPr>
    </w:p>
    <w:p w14:paraId="74F1919B" w14:textId="7CCDE753" w:rsidR="00FF05EC" w:rsidRPr="00FF05EC" w:rsidRDefault="005941FC" w:rsidP="009D4C40">
      <w:pPr>
        <w:numPr>
          <w:ilvl w:val="0"/>
          <w:numId w:val="47"/>
        </w:numPr>
        <w:spacing w:before="0" w:after="160" w:line="259" w:lineRule="auto"/>
        <w:contextualSpacing/>
        <w:jc w:val="left"/>
        <w:rPr>
          <w:rFonts w:eastAsia="Calibri" w:cs="Arial"/>
          <w:kern w:val="2"/>
          <w:lang w:val="nl-BE" w:eastAsia="en-US"/>
          <w14:ligatures w14:val="standardContextual"/>
        </w:rPr>
      </w:pPr>
      <w:r>
        <w:rPr>
          <w:rFonts w:eastAsia="Calibri" w:cs="Arial"/>
          <w:kern w:val="2"/>
          <w:u w:val="single"/>
          <w:lang w:val="nl-BE" w:eastAsia="en-US"/>
          <w14:ligatures w14:val="standardContextual"/>
        </w:rPr>
        <w:t>(Lokaal) b</w:t>
      </w:r>
      <w:r w:rsidR="00FF05EC" w:rsidRPr="00FF05EC">
        <w:rPr>
          <w:rFonts w:eastAsia="Calibri" w:cs="Arial"/>
          <w:kern w:val="2"/>
          <w:u w:val="single"/>
          <w:lang w:val="nl-BE" w:eastAsia="en-US"/>
          <w14:ligatures w14:val="standardContextual"/>
        </w:rPr>
        <w:t>estuur</w:t>
      </w:r>
      <w:r w:rsidR="00FF05EC" w:rsidRPr="00FF05EC">
        <w:rPr>
          <w:rFonts w:eastAsia="Calibri" w:cs="Arial"/>
          <w:kern w:val="2"/>
          <w:lang w:val="nl-BE" w:eastAsia="en-US"/>
          <w14:ligatures w14:val="standardContextual"/>
        </w:rPr>
        <w:t xml:space="preserve">: </w:t>
      </w:r>
    </w:p>
    <w:p w14:paraId="726BDAB2" w14:textId="77777777" w:rsidR="00FF05EC" w:rsidRPr="00FF05EC" w:rsidRDefault="00FF05EC" w:rsidP="009D4C40">
      <w:pPr>
        <w:numPr>
          <w:ilvl w:val="0"/>
          <w:numId w:val="46"/>
        </w:numPr>
        <w:spacing w:before="0" w:after="160" w:line="259" w:lineRule="auto"/>
        <w:contextualSpacing/>
        <w:jc w:val="left"/>
        <w:rPr>
          <w:rFonts w:eastAsia="Calibri" w:cs="Arial"/>
          <w:kern w:val="2"/>
          <w:lang w:val="nl-BE" w:eastAsia="en-US"/>
          <w14:ligatures w14:val="standardContextual"/>
        </w:rPr>
      </w:pPr>
      <w:r w:rsidRPr="00FF05EC">
        <w:rPr>
          <w:rFonts w:eastAsia="Calibri" w:cs="Arial"/>
          <w:kern w:val="2"/>
          <w:lang w:val="nl-BE" w:eastAsia="en-US"/>
          <w14:ligatures w14:val="standardContextual"/>
        </w:rPr>
        <w:t xml:space="preserve">Het gemeentebestuur; </w:t>
      </w:r>
    </w:p>
    <w:p w14:paraId="2EB1D461" w14:textId="77777777" w:rsidR="00FF05EC" w:rsidRPr="00FF05EC" w:rsidRDefault="00FF05EC" w:rsidP="009D4C40">
      <w:pPr>
        <w:numPr>
          <w:ilvl w:val="0"/>
          <w:numId w:val="46"/>
        </w:numPr>
        <w:spacing w:before="0" w:after="160" w:line="259" w:lineRule="auto"/>
        <w:contextualSpacing/>
        <w:jc w:val="left"/>
        <w:rPr>
          <w:rFonts w:eastAsia="Calibri" w:cs="Arial"/>
          <w:kern w:val="2"/>
          <w:lang w:val="nl-BE" w:eastAsia="en-US"/>
          <w14:ligatures w14:val="standardContextual"/>
        </w:rPr>
      </w:pPr>
      <w:r w:rsidRPr="00FF05EC">
        <w:rPr>
          <w:rFonts w:eastAsia="Calibri" w:cs="Arial"/>
          <w:kern w:val="2"/>
          <w:lang w:val="nl-BE" w:eastAsia="en-US"/>
          <w14:ligatures w14:val="standardContextual"/>
        </w:rPr>
        <w:t xml:space="preserve">Het bestuur van het openbaar centrum voor maatschappelijk welzijn; </w:t>
      </w:r>
    </w:p>
    <w:p w14:paraId="772D4E7F" w14:textId="77777777" w:rsidR="00FF05EC" w:rsidRPr="00FF05EC" w:rsidRDefault="00FF05EC" w:rsidP="009D4C40">
      <w:pPr>
        <w:numPr>
          <w:ilvl w:val="0"/>
          <w:numId w:val="46"/>
        </w:numPr>
        <w:spacing w:before="0" w:after="160" w:line="259" w:lineRule="auto"/>
        <w:contextualSpacing/>
        <w:jc w:val="left"/>
        <w:rPr>
          <w:rFonts w:eastAsia="Calibri" w:cs="Arial"/>
          <w:kern w:val="2"/>
          <w:lang w:val="nl-BE" w:eastAsia="en-US"/>
          <w14:ligatures w14:val="standardContextual"/>
        </w:rPr>
      </w:pPr>
      <w:r w:rsidRPr="00FF05EC">
        <w:rPr>
          <w:rFonts w:eastAsia="Calibri" w:cs="Arial"/>
          <w:kern w:val="2"/>
          <w:lang w:val="nl-BE" w:eastAsia="en-US"/>
          <w14:ligatures w14:val="standardContextual"/>
        </w:rPr>
        <w:t xml:space="preserve">Het autonoom gemeentebedrijf; </w:t>
      </w:r>
    </w:p>
    <w:p w14:paraId="2029665C" w14:textId="77777777" w:rsidR="00FF05EC" w:rsidRPr="00FF05EC"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6F489396" w14:textId="77777777" w:rsidR="00FF05EC" w:rsidRPr="00FF05EC" w:rsidRDefault="00FF05EC" w:rsidP="009D4C40">
      <w:pPr>
        <w:numPr>
          <w:ilvl w:val="0"/>
          <w:numId w:val="47"/>
        </w:numPr>
        <w:spacing w:before="0" w:after="160" w:line="259" w:lineRule="auto"/>
        <w:contextualSpacing/>
        <w:jc w:val="left"/>
        <w:rPr>
          <w:rFonts w:eastAsia="Calibri" w:cs="Arial"/>
          <w:kern w:val="2"/>
          <w:lang w:val="nl-BE" w:eastAsia="en-US"/>
          <w14:ligatures w14:val="standardContextual"/>
        </w:rPr>
      </w:pPr>
      <w:r w:rsidRPr="00FF05EC">
        <w:rPr>
          <w:rFonts w:eastAsia="Calibri" w:cs="Arial"/>
          <w:kern w:val="2"/>
          <w:u w:val="single"/>
          <w:lang w:val="nl-BE" w:eastAsia="en-US"/>
          <w14:ligatures w14:val="standardContextual"/>
        </w:rPr>
        <w:t>Andere lokale overheden</w:t>
      </w:r>
      <w:r w:rsidRPr="00FF05EC">
        <w:rPr>
          <w:rFonts w:eastAsia="Calibri" w:cs="Arial"/>
          <w:kern w:val="2"/>
          <w:lang w:val="nl-BE" w:eastAsia="en-US"/>
          <w14:ligatures w14:val="standardContextual"/>
        </w:rPr>
        <w:t xml:space="preserve">: </w:t>
      </w:r>
    </w:p>
    <w:p w14:paraId="4E52DC39" w14:textId="77777777" w:rsidR="00FF05EC" w:rsidRPr="00FF05EC" w:rsidRDefault="00FF05EC" w:rsidP="009D4C40">
      <w:pPr>
        <w:numPr>
          <w:ilvl w:val="0"/>
          <w:numId w:val="45"/>
        </w:numPr>
        <w:spacing w:before="0" w:after="160" w:line="259" w:lineRule="auto"/>
        <w:contextualSpacing/>
        <w:jc w:val="left"/>
        <w:rPr>
          <w:rFonts w:eastAsia="Calibri" w:cs="Arial"/>
          <w:kern w:val="2"/>
          <w:lang w:val="nl-BE" w:eastAsia="en-US"/>
          <w14:ligatures w14:val="standardContextual"/>
        </w:rPr>
      </w:pPr>
      <w:r w:rsidRPr="00FF05EC">
        <w:rPr>
          <w:rFonts w:eastAsia="Calibri" w:cs="Arial"/>
          <w:kern w:val="2"/>
          <w:lang w:val="nl-BE" w:eastAsia="en-US"/>
          <w14:ligatures w14:val="standardContextual"/>
        </w:rPr>
        <w:t xml:space="preserve">De gemeente; </w:t>
      </w:r>
    </w:p>
    <w:p w14:paraId="5BD764ED" w14:textId="77777777" w:rsidR="00FF05EC" w:rsidRPr="00FF05EC" w:rsidRDefault="00FF05EC" w:rsidP="009D4C40">
      <w:pPr>
        <w:numPr>
          <w:ilvl w:val="0"/>
          <w:numId w:val="45"/>
        </w:numPr>
        <w:spacing w:before="0" w:after="160" w:line="259" w:lineRule="auto"/>
        <w:contextualSpacing/>
        <w:jc w:val="left"/>
        <w:rPr>
          <w:rFonts w:eastAsia="Calibri" w:cs="Arial"/>
          <w:kern w:val="2"/>
          <w:lang w:val="nl-BE" w:eastAsia="en-US"/>
          <w14:ligatures w14:val="standardContextual"/>
        </w:rPr>
      </w:pPr>
      <w:r w:rsidRPr="00FF05EC">
        <w:rPr>
          <w:rFonts w:eastAsia="Calibri" w:cs="Arial"/>
          <w:kern w:val="2"/>
          <w:lang w:val="nl-BE" w:eastAsia="en-US"/>
          <w14:ligatures w14:val="standardContextual"/>
        </w:rPr>
        <w:t xml:space="preserve">Het openbaar centrum voor maatschappelijk welzijn; </w:t>
      </w:r>
    </w:p>
    <w:p w14:paraId="7147B95A" w14:textId="77777777" w:rsidR="00FF05EC" w:rsidRPr="00FF05EC" w:rsidRDefault="00FF05EC" w:rsidP="009D4C40">
      <w:pPr>
        <w:numPr>
          <w:ilvl w:val="0"/>
          <w:numId w:val="45"/>
        </w:numPr>
        <w:spacing w:before="0" w:after="160" w:line="259" w:lineRule="auto"/>
        <w:contextualSpacing/>
        <w:jc w:val="left"/>
        <w:rPr>
          <w:rFonts w:eastAsia="Calibri" w:cs="Arial"/>
          <w:kern w:val="2"/>
          <w:u w:val="single"/>
          <w:lang w:val="nl-BE" w:eastAsia="en-US"/>
          <w14:ligatures w14:val="standardContextual"/>
        </w:rPr>
      </w:pPr>
      <w:r w:rsidRPr="00FF05EC">
        <w:rPr>
          <w:rFonts w:eastAsia="Calibri" w:cs="Arial"/>
          <w:kern w:val="2"/>
          <w:lang w:val="nl-BE" w:eastAsia="en-US"/>
          <w14:ligatures w14:val="standardContextual"/>
        </w:rPr>
        <w:t xml:space="preserve">Het autonome gemeentebedrijf; </w:t>
      </w:r>
    </w:p>
    <w:p w14:paraId="679EA90E" w14:textId="77777777" w:rsidR="00FF05EC" w:rsidRPr="00FF05EC"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4CC86590" w14:textId="77777777" w:rsidR="00FF05EC" w:rsidRPr="00037A46" w:rsidRDefault="00FF05EC" w:rsidP="009D4C40">
      <w:pPr>
        <w:numPr>
          <w:ilvl w:val="0"/>
          <w:numId w:val="47"/>
        </w:numPr>
        <w:spacing w:before="0" w:after="160" w:line="259" w:lineRule="auto"/>
        <w:contextualSpacing/>
        <w:jc w:val="left"/>
        <w:rPr>
          <w:rFonts w:eastAsia="Calibri" w:cs="Arial"/>
          <w:kern w:val="2"/>
          <w:lang w:val="nl-BE" w:eastAsia="en-US"/>
          <w14:ligatures w14:val="standardContextual"/>
        </w:rPr>
      </w:pPr>
      <w:r w:rsidRPr="00FF05EC">
        <w:rPr>
          <w:rFonts w:eastAsia="Calibri" w:cs="Arial"/>
          <w:kern w:val="2"/>
          <w:u w:val="single"/>
          <w:lang w:val="nl-BE" w:eastAsia="en-US"/>
          <w14:ligatures w14:val="standardContextual"/>
        </w:rPr>
        <w:t>Raad</w:t>
      </w:r>
      <w:r w:rsidRPr="00FF05EC">
        <w:rPr>
          <w:rFonts w:eastAsia="Calibri" w:cs="Arial"/>
          <w:kern w:val="2"/>
          <w:lang w:val="nl-BE" w:eastAsia="en-US"/>
          <w14:ligatures w14:val="standardContextual"/>
        </w:rPr>
        <w:t xml:space="preserve">: de gemeenteraad voor de gemeente, de raad voor maatschappelijk welzijn voor het </w:t>
      </w:r>
      <w:r w:rsidRPr="00037A46">
        <w:rPr>
          <w:rFonts w:eastAsia="Calibri" w:cs="Arial"/>
          <w:kern w:val="2"/>
          <w:lang w:val="nl-BE" w:eastAsia="en-US"/>
          <w14:ligatures w14:val="standardContextual"/>
        </w:rPr>
        <w:t>openbaar centrum voor maatschappelijk welzijn</w:t>
      </w:r>
    </w:p>
    <w:p w14:paraId="3EED193C" w14:textId="77777777" w:rsidR="00FF05EC" w:rsidRPr="00037A46" w:rsidRDefault="00FF05EC" w:rsidP="00FF05EC">
      <w:pPr>
        <w:spacing w:before="0" w:after="160" w:line="259" w:lineRule="auto"/>
        <w:ind w:left="360"/>
        <w:contextualSpacing/>
        <w:jc w:val="left"/>
        <w:rPr>
          <w:rFonts w:eastAsia="Calibri" w:cs="Arial"/>
          <w:kern w:val="2"/>
          <w:lang w:val="nl-BE" w:eastAsia="en-US"/>
          <w14:ligatures w14:val="standardContextual"/>
        </w:rPr>
      </w:pPr>
    </w:p>
    <w:p w14:paraId="28EDD70F" w14:textId="150F5386" w:rsidR="00FF05EC" w:rsidRPr="00037A46" w:rsidRDefault="00FF05EC" w:rsidP="009D4C40">
      <w:pPr>
        <w:numPr>
          <w:ilvl w:val="0"/>
          <w:numId w:val="47"/>
        </w:numPr>
        <w:tabs>
          <w:tab w:val="num" w:pos="1211"/>
        </w:tabs>
        <w:spacing w:before="0" w:after="160" w:line="259" w:lineRule="auto"/>
        <w:jc w:val="left"/>
        <w:rPr>
          <w:rFonts w:cs="Arial"/>
        </w:rPr>
      </w:pPr>
      <w:r w:rsidRPr="00037A46">
        <w:rPr>
          <w:rFonts w:cs="Arial"/>
          <w:u w:val="single"/>
        </w:rPr>
        <w:t>Uitvoerend orgaan van het bestuur</w:t>
      </w:r>
      <w:r w:rsidRPr="00037A46">
        <w:rPr>
          <w:rFonts w:cs="Arial"/>
        </w:rPr>
        <w:t>: het college van burgemeester en schepenen</w:t>
      </w:r>
      <w:r w:rsidR="003D390F">
        <w:rPr>
          <w:rFonts w:cs="Arial"/>
        </w:rPr>
        <w:t xml:space="preserve"> voor de gemeente en het </w:t>
      </w:r>
      <w:r w:rsidRPr="00037A46">
        <w:rPr>
          <w:rFonts w:cs="Arial"/>
        </w:rPr>
        <w:t>Vast bureau</w:t>
      </w:r>
      <w:r w:rsidR="003D390F">
        <w:rPr>
          <w:rFonts w:cs="Arial"/>
        </w:rPr>
        <w:t xml:space="preserve"> voor het OCMW.</w:t>
      </w:r>
    </w:p>
    <w:p w14:paraId="47602022" w14:textId="77777777" w:rsidR="00FF05EC" w:rsidRPr="00037A46" w:rsidRDefault="00FF05EC" w:rsidP="00FF05EC">
      <w:pPr>
        <w:spacing w:before="0" w:after="160" w:line="259" w:lineRule="auto"/>
        <w:ind w:left="360"/>
        <w:contextualSpacing/>
        <w:jc w:val="left"/>
        <w:rPr>
          <w:rFonts w:eastAsia="Calibri" w:cs="Arial"/>
          <w:kern w:val="2"/>
          <w:lang w:val="nl-BE" w:eastAsia="en-US"/>
          <w14:ligatures w14:val="standardContextual"/>
        </w:rPr>
      </w:pPr>
    </w:p>
    <w:p w14:paraId="4DBD8F58" w14:textId="77777777" w:rsidR="00FF05EC" w:rsidRPr="00037A46" w:rsidRDefault="00FF05EC" w:rsidP="009D4C40">
      <w:pPr>
        <w:numPr>
          <w:ilvl w:val="0"/>
          <w:numId w:val="47"/>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Aanstellende overheid</w:t>
      </w:r>
      <w:r w:rsidRPr="00037A46">
        <w:rPr>
          <w:rFonts w:eastAsia="Calibri" w:cs="Arial"/>
          <w:kern w:val="2"/>
          <w:lang w:val="nl-BE" w:eastAsia="en-US"/>
          <w14:ligatures w14:val="standardContextual"/>
        </w:rPr>
        <w:t xml:space="preserve">: het orgaan of het personeelslid dat bevoegd is voor de aanstelling, de tucht of disciplinaire sancties en het ontslag van het personeelslid; </w:t>
      </w:r>
    </w:p>
    <w:p w14:paraId="7C30F862" w14:textId="77777777" w:rsidR="00FF05EC" w:rsidRDefault="00FF05EC" w:rsidP="009D4C40">
      <w:pPr>
        <w:numPr>
          <w:ilvl w:val="0"/>
          <w:numId w:val="44"/>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raad, voor de algemeen directeur, de financieel directeur en hun adjunct;</w:t>
      </w:r>
    </w:p>
    <w:p w14:paraId="3F59848E" w14:textId="3AED7E9A" w:rsidR="00B64AAE" w:rsidRPr="00FC3C9E" w:rsidRDefault="00B64AAE" w:rsidP="009D4C40">
      <w:pPr>
        <w:numPr>
          <w:ilvl w:val="0"/>
          <w:numId w:val="44"/>
        </w:numPr>
        <w:spacing w:before="0" w:after="160" w:line="259" w:lineRule="auto"/>
        <w:contextualSpacing/>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Het college van burgemeester en schepenen en vast bureau, voor alle personeelsleden waarbij de Algemeen Directeur eerste evaluator is</w:t>
      </w:r>
    </w:p>
    <w:p w14:paraId="7DB5CA7F" w14:textId="25688D02" w:rsidR="00FF05EC" w:rsidRPr="00037A46" w:rsidRDefault="00FF05EC" w:rsidP="009D4C40">
      <w:pPr>
        <w:numPr>
          <w:ilvl w:val="0"/>
          <w:numId w:val="44"/>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algemeen directeur, voor alle </w:t>
      </w:r>
      <w:r w:rsidR="003D390F">
        <w:rPr>
          <w:rFonts w:eastAsia="Calibri" w:cs="Arial"/>
          <w:kern w:val="2"/>
          <w:lang w:val="nl-BE" w:eastAsia="en-US"/>
          <w14:ligatures w14:val="standardContextual"/>
        </w:rPr>
        <w:t xml:space="preserve">overige </w:t>
      </w:r>
      <w:r w:rsidRPr="00037A46">
        <w:rPr>
          <w:rFonts w:eastAsia="Calibri" w:cs="Arial"/>
          <w:kern w:val="2"/>
          <w:lang w:val="nl-BE" w:eastAsia="en-US"/>
          <w14:ligatures w14:val="standardContextual"/>
        </w:rPr>
        <w:t>personeelsleden</w:t>
      </w:r>
    </w:p>
    <w:p w14:paraId="422676ED" w14:textId="77777777" w:rsidR="00FF05EC" w:rsidRPr="00037A46"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58AD47A0" w14:textId="1DC05386" w:rsidR="00FF05EC" w:rsidRPr="00037A46"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Hoofd van het personeel</w:t>
      </w:r>
      <w:r w:rsidRPr="00037A46">
        <w:rPr>
          <w:rFonts w:eastAsia="Calibri" w:cs="Arial"/>
          <w:kern w:val="2"/>
          <w:lang w:val="nl-BE" w:eastAsia="en-US"/>
          <w14:ligatures w14:val="standardContextual"/>
        </w:rPr>
        <w:t>: De algemeen directeur voor het gemeentepersoneel en het personeel van het openbaar centrum voor maatschappelijk welzijn dat de gemeente bedient</w:t>
      </w:r>
      <w:r w:rsidR="003D390F">
        <w:rPr>
          <w:rFonts w:eastAsia="Calibri" w:cs="Arial"/>
          <w:kern w:val="2"/>
          <w:lang w:val="nl-BE" w:eastAsia="en-US"/>
          <w14:ligatures w14:val="standardContextual"/>
        </w:rPr>
        <w:t xml:space="preserve">, zoals beslist in de gemeenteraad van </w:t>
      </w:r>
      <w:r w:rsidR="00714158">
        <w:rPr>
          <w:rFonts w:eastAsia="Calibri" w:cs="Arial"/>
          <w:kern w:val="2"/>
          <w:lang w:val="nl-BE" w:eastAsia="en-US"/>
          <w14:ligatures w14:val="standardContextual"/>
        </w:rPr>
        <w:t>23 januari 2025</w:t>
      </w:r>
      <w:r w:rsidR="003D390F">
        <w:rPr>
          <w:rFonts w:eastAsia="Calibri" w:cs="Arial"/>
          <w:kern w:val="2"/>
          <w:lang w:val="nl-BE" w:eastAsia="en-US"/>
          <w14:ligatures w14:val="standardContextual"/>
        </w:rPr>
        <w:t xml:space="preserve"> en de </w:t>
      </w:r>
      <w:r w:rsidR="000B17AD">
        <w:rPr>
          <w:rFonts w:eastAsia="Calibri" w:cs="Arial"/>
          <w:kern w:val="2"/>
          <w:lang w:val="nl-BE" w:eastAsia="en-US"/>
          <w14:ligatures w14:val="standardContextual"/>
        </w:rPr>
        <w:t>OCMW-raad</w:t>
      </w:r>
      <w:r w:rsidR="003D390F">
        <w:rPr>
          <w:rFonts w:eastAsia="Calibri" w:cs="Arial"/>
          <w:kern w:val="2"/>
          <w:lang w:val="nl-BE" w:eastAsia="en-US"/>
          <w14:ligatures w14:val="standardContextual"/>
        </w:rPr>
        <w:t xml:space="preserve"> van </w:t>
      </w:r>
      <w:r w:rsidR="00714158">
        <w:rPr>
          <w:rFonts w:eastAsia="Calibri" w:cs="Arial"/>
          <w:kern w:val="2"/>
          <w:lang w:val="nl-BE" w:eastAsia="en-US"/>
          <w14:ligatures w14:val="standardContextual"/>
        </w:rPr>
        <w:t>23 januari 2025</w:t>
      </w:r>
      <w:r w:rsidRPr="00037A46">
        <w:rPr>
          <w:rFonts w:eastAsia="Calibri" w:cs="Arial"/>
          <w:kern w:val="2"/>
          <w:lang w:val="nl-BE" w:eastAsia="en-US"/>
          <w14:ligatures w14:val="standardContextual"/>
        </w:rPr>
        <w:t>;</w:t>
      </w:r>
    </w:p>
    <w:p w14:paraId="0AA1A3B0" w14:textId="77777777" w:rsidR="00FF05EC" w:rsidRPr="00037A46"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76115340" w14:textId="77777777" w:rsidR="00FF05EC" w:rsidRPr="00037A46"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Personeelslid</w:t>
      </w:r>
      <w:r w:rsidRPr="00037A46">
        <w:rPr>
          <w:rFonts w:eastAsia="Calibri" w:cs="Arial"/>
          <w:kern w:val="2"/>
          <w:lang w:val="nl-BE" w:eastAsia="en-US"/>
          <w14:ligatures w14:val="standardContextual"/>
        </w:rPr>
        <w:t xml:space="preserve">: het statutaire personeelslid en het contractuele personeelslid; </w:t>
      </w:r>
    </w:p>
    <w:p w14:paraId="11B3C6EC" w14:textId="77777777" w:rsidR="00FF05EC" w:rsidRPr="00037A46"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79317798" w14:textId="594D6FB0" w:rsidR="00FF05EC" w:rsidRPr="005941FC"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3D390F">
        <w:rPr>
          <w:rFonts w:eastAsia="Calibri" w:cs="Arial"/>
          <w:kern w:val="2"/>
          <w:u w:val="single"/>
          <w:lang w:val="nl-BE" w:eastAsia="en-US"/>
          <w14:ligatures w14:val="standardContextual"/>
        </w:rPr>
        <w:t>Statutair personeelslid</w:t>
      </w:r>
      <w:r w:rsidRPr="003D390F">
        <w:rPr>
          <w:rFonts w:eastAsia="Calibri" w:cs="Arial"/>
          <w:kern w:val="2"/>
          <w:lang w:val="nl-BE" w:eastAsia="en-US"/>
          <w14:ligatures w14:val="standardContextual"/>
        </w:rPr>
        <w:t xml:space="preserve">: </w:t>
      </w:r>
      <w:r w:rsidR="005941FC">
        <w:rPr>
          <w:rFonts w:eastAsia="Calibri" w:cs="Arial"/>
          <w:kern w:val="2"/>
          <w:lang w:val="nl-BE" w:eastAsia="en-US"/>
          <w14:ligatures w14:val="standardContextual"/>
        </w:rPr>
        <w:t>e</w:t>
      </w:r>
      <w:r w:rsidRPr="005941FC">
        <w:rPr>
          <w:rFonts w:eastAsia="Calibri" w:cs="Arial"/>
          <w:kern w:val="2"/>
          <w:lang w:val="nl-BE" w:eastAsia="en-US"/>
          <w14:ligatures w14:val="standardContextual"/>
        </w:rPr>
        <w:t xml:space="preserve">lk personeelslid dat bij eenzijdige beslissing van de aanstellende overheid vast aangesteld is in statutair dienstverband; </w:t>
      </w:r>
    </w:p>
    <w:p w14:paraId="3B32882C" w14:textId="77777777" w:rsidR="00FF05EC" w:rsidRPr="00037A46"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1C9EDEC5" w14:textId="77777777" w:rsidR="00FF05EC" w:rsidRPr="00037A46"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Contractueel personeelslid</w:t>
      </w:r>
      <w:r w:rsidRPr="00037A46">
        <w:rPr>
          <w:rFonts w:eastAsia="Calibri" w:cs="Arial"/>
          <w:kern w:val="2"/>
          <w:lang w:val="nl-BE" w:eastAsia="en-US"/>
          <w14:ligatures w14:val="standardContextual"/>
        </w:rPr>
        <w:t xml:space="preserve">: elk personeelslid dat in dienst is genomen met een arbeidsovereenkomst als vermeld in artikel 2 en 3 van de wet van 3 juli 1978 betreffende de arbeidsovereenkomsten; </w:t>
      </w:r>
    </w:p>
    <w:p w14:paraId="15D4FCCB" w14:textId="77777777" w:rsidR="00FF05EC" w:rsidRPr="00037A46"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26F2A754" w14:textId="77777777" w:rsidR="00FF05EC" w:rsidRPr="00037A46"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Voltijds</w:t>
      </w:r>
      <w:r w:rsidRPr="00037A46">
        <w:rPr>
          <w:rFonts w:eastAsia="Calibri" w:cs="Arial"/>
          <w:kern w:val="2"/>
          <w:lang w:val="nl-BE" w:eastAsia="en-US"/>
          <w14:ligatures w14:val="standardContextual"/>
        </w:rPr>
        <w:t xml:space="preserve">: prestaties gedurende achtendertig uur per week; </w:t>
      </w:r>
    </w:p>
    <w:p w14:paraId="460A021B" w14:textId="77777777" w:rsidR="00FF05EC" w:rsidRPr="00037A46"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08FF8F51" w14:textId="756B2F9C" w:rsidR="00FF05EC" w:rsidRPr="00037A46"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Werkdag</w:t>
      </w:r>
      <w:r w:rsidRPr="00037A46">
        <w:rPr>
          <w:rFonts w:eastAsia="Calibri" w:cs="Arial"/>
          <w:kern w:val="2"/>
          <w:lang w:val="nl-BE" w:eastAsia="en-US"/>
          <w14:ligatures w14:val="standardContextual"/>
        </w:rPr>
        <w:t>: elke dag waarop het personeelslid mogelijk werkt volgens het vastgestelde uurrooster</w:t>
      </w:r>
      <w:r w:rsidR="004F135C">
        <w:rPr>
          <w:rFonts w:eastAsia="Calibri" w:cs="Arial"/>
          <w:kern w:val="2"/>
          <w:lang w:val="nl-BE" w:eastAsia="en-US"/>
          <w14:ligatures w14:val="standardContextual"/>
        </w:rPr>
        <w:t>;</w:t>
      </w:r>
    </w:p>
    <w:p w14:paraId="4F29D12B" w14:textId="77777777" w:rsidR="00FF05EC" w:rsidRPr="00037A46"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124A480C" w14:textId="77777777" w:rsidR="00FF05EC" w:rsidRPr="00037A46"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Bevordering</w:t>
      </w:r>
      <w:r w:rsidRPr="00037A46">
        <w:rPr>
          <w:rFonts w:eastAsia="Calibri" w:cs="Arial"/>
          <w:kern w:val="2"/>
          <w:lang w:val="nl-BE" w:eastAsia="en-US"/>
          <w14:ligatures w14:val="standardContextual"/>
        </w:rPr>
        <w:t xml:space="preserve">: de aanstelling van een personeelslid in een functie van een graad die hoger gerangschikt is conform de indeling en rangschikking van de graden, vermeld in </w:t>
      </w:r>
      <w:r w:rsidRPr="00C71DB2">
        <w:rPr>
          <w:rFonts w:eastAsia="Calibri" w:cs="Arial"/>
          <w:kern w:val="2"/>
          <w:lang w:val="nl-BE" w:eastAsia="en-US"/>
          <w14:ligatures w14:val="standardContextual"/>
        </w:rPr>
        <w:t>artikel 4</w:t>
      </w:r>
      <w:r w:rsidRPr="00037A46">
        <w:rPr>
          <w:rFonts w:eastAsia="Calibri" w:cs="Arial"/>
          <w:kern w:val="2"/>
          <w:lang w:val="nl-BE" w:eastAsia="en-US"/>
          <w14:ligatures w14:val="standardContextual"/>
        </w:rPr>
        <w:t xml:space="preserve">; </w:t>
      </w:r>
    </w:p>
    <w:p w14:paraId="46BABDA4" w14:textId="77777777" w:rsidR="00FF05EC" w:rsidRPr="00037A46" w:rsidRDefault="00FF05EC" w:rsidP="00FF05EC">
      <w:pPr>
        <w:spacing w:before="0" w:after="160" w:line="259" w:lineRule="auto"/>
        <w:ind w:left="360"/>
        <w:contextualSpacing/>
        <w:jc w:val="left"/>
        <w:rPr>
          <w:rFonts w:eastAsia="Calibri" w:cs="Arial"/>
          <w:kern w:val="2"/>
          <w:lang w:val="nl-BE" w:eastAsia="en-US"/>
          <w14:ligatures w14:val="standardContextual"/>
        </w:rPr>
      </w:pPr>
    </w:p>
    <w:p w14:paraId="050A08C9" w14:textId="77777777" w:rsidR="00FF05EC" w:rsidRPr="00037A46"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Functiebeschrijving</w:t>
      </w:r>
      <w:r w:rsidRPr="00037A46">
        <w:rPr>
          <w:rFonts w:eastAsia="Calibri" w:cs="Arial"/>
          <w:kern w:val="2"/>
          <w:lang w:val="nl-BE" w:eastAsia="en-US"/>
          <w14:ligatures w14:val="standardContextual"/>
        </w:rPr>
        <w:t xml:space="preserve">: de weergave van de functie-inhoud en van het functieprofiel, waaronder de competenties; </w:t>
      </w:r>
    </w:p>
    <w:p w14:paraId="6CFFB014" w14:textId="77777777" w:rsidR="00FF05EC" w:rsidRPr="00037A46"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26018D47" w14:textId="4BE964DD" w:rsidR="005941FC"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Graad</w:t>
      </w:r>
      <w:r w:rsidRPr="00037A46">
        <w:rPr>
          <w:rFonts w:eastAsia="Calibri" w:cs="Arial"/>
          <w:kern w:val="2"/>
          <w:lang w:val="nl-BE" w:eastAsia="en-US"/>
          <w14:ligatures w14:val="standardContextual"/>
        </w:rPr>
        <w:t xml:space="preserve">: de benaming voor een groep van gelijkwaardige functies of de benaming voor een specifieke functie; </w:t>
      </w:r>
    </w:p>
    <w:p w14:paraId="76D33EDC" w14:textId="77777777" w:rsidR="00FF05EC" w:rsidRPr="00037A46" w:rsidRDefault="00FF05EC" w:rsidP="005766B8">
      <w:pPr>
        <w:spacing w:before="0" w:after="160" w:line="259" w:lineRule="auto"/>
        <w:ind w:left="0"/>
        <w:contextualSpacing/>
        <w:jc w:val="left"/>
        <w:rPr>
          <w:rFonts w:eastAsia="Calibri" w:cs="Arial"/>
          <w:kern w:val="2"/>
          <w:lang w:val="nl-BE" w:eastAsia="en-US"/>
          <w14:ligatures w14:val="standardContextual"/>
        </w:rPr>
      </w:pPr>
    </w:p>
    <w:p w14:paraId="211F6BC5" w14:textId="77777777" w:rsidR="00FF05EC" w:rsidRPr="00037A46"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Salaris</w:t>
      </w:r>
      <w:r w:rsidRPr="00037A46">
        <w:rPr>
          <w:rFonts w:eastAsia="Calibri" w:cs="Arial"/>
          <w:kern w:val="2"/>
          <w:lang w:val="nl-BE" w:eastAsia="en-US"/>
          <w14:ligatures w14:val="standardContextual"/>
        </w:rPr>
        <w:t xml:space="preserve">: het brutosalaris, uitgedrukt in euro, op jaarbasis tegen 100% en gekoppeld aan het spilindexcijfer 138,01; </w:t>
      </w:r>
    </w:p>
    <w:p w14:paraId="4D762322" w14:textId="77777777" w:rsidR="00FF05EC" w:rsidRPr="00037A46"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482E9C87" w14:textId="77777777" w:rsidR="00FF05EC" w:rsidRPr="00037A46"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Afgevlakte gezondheidsindex</w:t>
      </w:r>
      <w:r w:rsidRPr="00037A46">
        <w:rPr>
          <w:rFonts w:eastAsia="Calibri" w:cs="Arial"/>
          <w:kern w:val="2"/>
          <w:lang w:val="nl-BE" w:eastAsia="en-US"/>
          <w14:ligatures w14:val="standardContextual"/>
        </w:rPr>
        <w:t xml:space="preserve">: het prijsindexcijfer, vermeld in artikel 2, §2, van het koninklijk besluit van 24 december 1993 ter uitvoering van de wet van 6 januari 1989 tot vrijwaring van `s lands concurrentievermogen, dat wordt berekend en toegepast conform artikel 2 tot en met 2quater van het voormelde besluit; </w:t>
      </w:r>
    </w:p>
    <w:p w14:paraId="3F37C454" w14:textId="77777777" w:rsidR="00FF05EC" w:rsidRPr="00037A46"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5973A9D3" w14:textId="77777777" w:rsidR="00FF05EC" w:rsidRPr="00037A46"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Toelage</w:t>
      </w:r>
      <w:r w:rsidRPr="00037A46">
        <w:rPr>
          <w:rFonts w:eastAsia="Calibri" w:cs="Arial"/>
          <w:kern w:val="2"/>
          <w:lang w:val="nl-BE" w:eastAsia="en-US"/>
          <w14:ligatures w14:val="standardContextual"/>
        </w:rPr>
        <w:t xml:space="preserve">: een geldelijk voordeel dat personeelsleden ontvangen voor prestaties die ze hebben geleverd; </w:t>
      </w:r>
    </w:p>
    <w:p w14:paraId="4546DF4A" w14:textId="77777777" w:rsidR="00FF05EC" w:rsidRPr="00037A46" w:rsidRDefault="00FF05EC" w:rsidP="00FF05EC">
      <w:pPr>
        <w:spacing w:before="0" w:after="160" w:line="259" w:lineRule="auto"/>
        <w:ind w:left="360"/>
        <w:contextualSpacing/>
        <w:jc w:val="left"/>
        <w:rPr>
          <w:rFonts w:eastAsia="Calibri" w:cs="Arial"/>
          <w:kern w:val="2"/>
          <w:lang w:val="nl-BE" w:eastAsia="en-US"/>
          <w14:ligatures w14:val="standardContextual"/>
        </w:rPr>
      </w:pPr>
    </w:p>
    <w:p w14:paraId="4AF0F957" w14:textId="77777777" w:rsidR="00FF05EC" w:rsidRPr="00037A46"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Vergoeding</w:t>
      </w:r>
      <w:r w:rsidRPr="00037A46">
        <w:rPr>
          <w:rFonts w:eastAsia="Calibri" w:cs="Arial"/>
          <w:kern w:val="2"/>
          <w:lang w:val="nl-BE" w:eastAsia="en-US"/>
          <w14:ligatures w14:val="standardContextual"/>
        </w:rPr>
        <w:t xml:space="preserve">: een geldelijke tegemoetkoming om de kosten te compenseren die het personeelslid werkelijk maakt; </w:t>
      </w:r>
    </w:p>
    <w:p w14:paraId="199A682F" w14:textId="77777777" w:rsidR="00FF05EC" w:rsidRPr="00037A46"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539B83ED" w14:textId="77777777" w:rsidR="00FF05EC" w:rsidRPr="00037A46"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Sociale voordelen</w:t>
      </w:r>
      <w:r w:rsidRPr="00037A46">
        <w:rPr>
          <w:rFonts w:eastAsia="Calibri" w:cs="Arial"/>
          <w:kern w:val="2"/>
          <w:lang w:val="nl-BE" w:eastAsia="en-US"/>
          <w14:ligatures w14:val="standardContextual"/>
        </w:rPr>
        <w:t xml:space="preserve">: alle voordelen in natura of in geld die de besturen aan de personeelsleden toekennen, binnen de grenzen van de geldende fiscale wetgeving en sociale-zekerheidsregels die daarop van toepassing zijn; </w:t>
      </w:r>
    </w:p>
    <w:p w14:paraId="1021056D" w14:textId="77777777" w:rsidR="00FF05EC" w:rsidRPr="00037A46"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5DD9D068" w14:textId="77777777" w:rsidR="00FF05EC" w:rsidRPr="00037A46"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Fiets</w:t>
      </w:r>
      <w:r w:rsidRPr="00037A46">
        <w:rPr>
          <w:rFonts w:eastAsia="Calibri" w:cs="Arial"/>
          <w:kern w:val="2"/>
          <w:lang w:val="nl-BE" w:eastAsia="en-US"/>
          <w14:ligatures w14:val="standardContextual"/>
        </w:rPr>
        <w:t xml:space="preserve">: rijwielen of speed </w:t>
      </w:r>
      <w:proofErr w:type="spellStart"/>
      <w:r w:rsidRPr="00037A46">
        <w:rPr>
          <w:rFonts w:eastAsia="Calibri" w:cs="Arial"/>
          <w:kern w:val="2"/>
          <w:lang w:val="nl-BE" w:eastAsia="en-US"/>
          <w14:ligatures w14:val="standardContextual"/>
        </w:rPr>
        <w:t>pedelecs</w:t>
      </w:r>
      <w:proofErr w:type="spellEnd"/>
      <w:r w:rsidRPr="00037A46">
        <w:rPr>
          <w:rFonts w:eastAsia="Calibri" w:cs="Arial"/>
          <w:kern w:val="2"/>
          <w:lang w:val="nl-BE" w:eastAsia="en-US"/>
          <w14:ligatures w14:val="standardContextual"/>
        </w:rPr>
        <w:t xml:space="preserve"> als vermeld in artikel 2.15.1 en 2.17, 3), van het koninklijk besluit van 1 december 1975 houdende algemeen reglement op de politie van het wegverkeer en van het gebruik van de openbare weg; </w:t>
      </w:r>
    </w:p>
    <w:p w14:paraId="081D0D43" w14:textId="77777777" w:rsidR="00FF05EC" w:rsidRPr="00037A46"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5D9270E5" w14:textId="77777777" w:rsidR="00FF05EC" w:rsidRPr="00037A46"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Schriftelijk</w:t>
      </w:r>
      <w:r w:rsidRPr="00037A46">
        <w:rPr>
          <w:rFonts w:eastAsia="Calibri" w:cs="Arial"/>
          <w:kern w:val="2"/>
          <w:lang w:val="nl-BE" w:eastAsia="en-US"/>
          <w14:ligatures w14:val="standardContextual"/>
        </w:rPr>
        <w:t xml:space="preserve">: </w:t>
      </w:r>
    </w:p>
    <w:p w14:paraId="5601EBD0" w14:textId="77777777" w:rsidR="00FF05EC" w:rsidRPr="00037A46" w:rsidRDefault="00FF05EC" w:rsidP="009D4C40">
      <w:pPr>
        <w:numPr>
          <w:ilvl w:val="1"/>
          <w:numId w:val="49"/>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Een aangetekende brief; </w:t>
      </w:r>
    </w:p>
    <w:p w14:paraId="22C0769C" w14:textId="77777777" w:rsidR="00FF05EC" w:rsidRPr="00037A46" w:rsidRDefault="00FF05EC" w:rsidP="009D4C40">
      <w:pPr>
        <w:numPr>
          <w:ilvl w:val="1"/>
          <w:numId w:val="49"/>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Een brief die afgegeven wordt tegen ontvangstbewijs; </w:t>
      </w:r>
    </w:p>
    <w:p w14:paraId="4C9315AA" w14:textId="479CFA57" w:rsidR="00FF05EC" w:rsidRDefault="00FF05EC" w:rsidP="009D4C40">
      <w:pPr>
        <w:numPr>
          <w:ilvl w:val="1"/>
          <w:numId w:val="49"/>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Een elektronische melding van gegevens die voldoet aan de voorwaarden, vermeld </w:t>
      </w:r>
      <w:r w:rsidRPr="003D390F">
        <w:rPr>
          <w:rFonts w:eastAsia="Calibri" w:cs="Arial"/>
          <w:kern w:val="2"/>
          <w:lang w:val="nl-BE" w:eastAsia="en-US"/>
          <w14:ligatures w14:val="standardContextual"/>
        </w:rPr>
        <w:t xml:space="preserve">in artikel </w:t>
      </w:r>
      <w:r w:rsidR="003D390F" w:rsidRPr="003D390F">
        <w:rPr>
          <w:rFonts w:eastAsia="Calibri" w:cs="Arial"/>
          <w:kern w:val="2"/>
          <w:lang w:val="nl-BE" w:eastAsia="en-US"/>
          <w14:ligatures w14:val="standardContextual"/>
        </w:rPr>
        <w:t>1.5</w:t>
      </w:r>
      <w:r w:rsidRPr="003D390F">
        <w:rPr>
          <w:rFonts w:eastAsia="Calibri" w:cs="Arial"/>
          <w:kern w:val="2"/>
          <w:lang w:val="nl-BE" w:eastAsia="en-US"/>
          <w14:ligatures w14:val="standardContextual"/>
        </w:rPr>
        <w:t xml:space="preserve"> van het Burgerlijk Wetboek, en die een bewijs oplevert van die melding, van het tijdstip waarop ze is verricht en van de authenticiteit en de integriteit van de verwerkte gegevens;</w:t>
      </w:r>
      <w:r w:rsidRPr="00037A46">
        <w:rPr>
          <w:rFonts w:eastAsia="Calibri" w:cs="Arial"/>
          <w:kern w:val="2"/>
          <w:lang w:val="nl-BE" w:eastAsia="en-US"/>
          <w14:ligatures w14:val="standardContextual"/>
        </w:rPr>
        <w:t xml:space="preserve"> </w:t>
      </w:r>
    </w:p>
    <w:p w14:paraId="7004393D" w14:textId="43126D27" w:rsidR="00DC1810" w:rsidRPr="00DC1810" w:rsidRDefault="00DC1810" w:rsidP="009D4C40">
      <w:pPr>
        <w:pStyle w:val="Lijstalinea"/>
        <w:numPr>
          <w:ilvl w:val="0"/>
          <w:numId w:val="48"/>
        </w:numPr>
        <w:spacing w:before="0" w:after="160" w:line="259" w:lineRule="auto"/>
        <w:jc w:val="left"/>
        <w:rPr>
          <w:rFonts w:eastAsia="Calibri" w:cs="Arial"/>
          <w:kern w:val="2"/>
          <w:u w:val="single"/>
          <w:lang w:val="nl-BE" w:eastAsia="en-US"/>
          <w14:ligatures w14:val="standardContextual"/>
        </w:rPr>
      </w:pPr>
      <w:r w:rsidRPr="00DC1810">
        <w:rPr>
          <w:rFonts w:eastAsia="Calibri" w:cs="Arial"/>
          <w:kern w:val="2"/>
          <w:u w:val="single"/>
          <w:lang w:val="nl-BE" w:eastAsia="en-US"/>
          <w14:ligatures w14:val="standardContextual"/>
        </w:rPr>
        <w:t>Ononderbroken period</w:t>
      </w:r>
      <w:r w:rsidRPr="00DC1810">
        <w:rPr>
          <w:rFonts w:eastAsia="Calibri" w:cs="Arial"/>
          <w:kern w:val="2"/>
          <w:lang w:val="nl-BE" w:eastAsia="en-US"/>
          <w14:ligatures w14:val="standardContextual"/>
        </w:rPr>
        <w:t>e:</w:t>
      </w:r>
      <w:r w:rsidR="00E7160E">
        <w:rPr>
          <w:rFonts w:eastAsia="Calibri" w:cs="Arial"/>
          <w:kern w:val="2"/>
          <w:lang w:val="nl-BE" w:eastAsia="en-US"/>
          <w14:ligatures w14:val="standardContextual"/>
        </w:rPr>
        <w:t xml:space="preserve"> periode met een maximale werkhervatting van 14 kalenderd</w:t>
      </w:r>
      <w:r w:rsidR="00E7160E" w:rsidRPr="003E04C6">
        <w:rPr>
          <w:rFonts w:eastAsia="Calibri" w:cs="Arial"/>
          <w:kern w:val="2"/>
          <w:lang w:val="nl-BE" w:eastAsia="en-US"/>
          <w14:ligatures w14:val="standardContextual"/>
        </w:rPr>
        <w:t>ag</w:t>
      </w:r>
      <w:r w:rsidR="00AC21C3" w:rsidRPr="003E04C6">
        <w:rPr>
          <w:rFonts w:eastAsia="Calibri" w:cs="Arial"/>
          <w:kern w:val="2"/>
          <w:lang w:val="nl-BE" w:eastAsia="en-US"/>
          <w14:ligatures w14:val="standardContextual"/>
        </w:rPr>
        <w:t>en</w:t>
      </w:r>
      <w:r w:rsidR="00E7160E">
        <w:rPr>
          <w:rFonts w:eastAsia="Calibri" w:cs="Arial"/>
          <w:kern w:val="2"/>
          <w:lang w:val="nl-BE" w:eastAsia="en-US"/>
          <w14:ligatures w14:val="standardContextual"/>
        </w:rPr>
        <w:t>.</w:t>
      </w:r>
    </w:p>
    <w:p w14:paraId="41B2F02D" w14:textId="7A724FB6" w:rsidR="00FF05EC" w:rsidRPr="00037A46" w:rsidRDefault="00FF05EC" w:rsidP="00FF05EC">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Artikel 2</w:t>
      </w:r>
    </w:p>
    <w:p w14:paraId="08B4CAE3" w14:textId="77777777" w:rsidR="00FF05EC" w:rsidRPr="00037A46" w:rsidRDefault="00FF05EC" w:rsidP="00FF05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§1. Deze rechtspositieregeling is van toepassing op: </w:t>
      </w:r>
    </w:p>
    <w:p w14:paraId="1AD82675" w14:textId="1047FB64" w:rsidR="00FF05EC" w:rsidRPr="00FC3C9E" w:rsidRDefault="00FF05EC" w:rsidP="009D4C40">
      <w:pPr>
        <w:numPr>
          <w:ilvl w:val="0"/>
          <w:numId w:val="5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Het personeel in statutair en contractueel dienstverband van de gemeente vermeld in artikel 182 van het decreet van 22 december </w:t>
      </w:r>
      <w:r w:rsidRPr="00FC3C9E">
        <w:rPr>
          <w:rFonts w:eastAsia="Calibri" w:cs="Arial"/>
          <w:kern w:val="2"/>
          <w:lang w:val="nl-BE" w:eastAsia="en-US"/>
          <w14:ligatures w14:val="standardContextual"/>
        </w:rPr>
        <w:t>2017 (DLB)</w:t>
      </w:r>
      <w:r w:rsidR="00B94BA0" w:rsidRPr="00FC3C9E">
        <w:rPr>
          <w:rFonts w:eastAsia="Calibri" w:cs="Arial"/>
          <w:kern w:val="2"/>
          <w:lang w:val="nl-BE" w:eastAsia="en-US"/>
          <w14:ligatures w14:val="standardContextual"/>
        </w:rPr>
        <w:t>.</w:t>
      </w:r>
    </w:p>
    <w:p w14:paraId="71480E9F" w14:textId="77777777" w:rsidR="00FF05EC" w:rsidRPr="00037A46" w:rsidRDefault="00FF05EC" w:rsidP="00FF05EC">
      <w:pPr>
        <w:spacing w:before="0" w:after="160" w:line="259" w:lineRule="auto"/>
        <w:ind w:left="360"/>
        <w:contextualSpacing/>
        <w:jc w:val="left"/>
        <w:rPr>
          <w:rFonts w:eastAsia="Calibri" w:cs="Arial"/>
          <w:kern w:val="2"/>
          <w:lang w:val="nl-BE" w:eastAsia="en-US"/>
          <w14:ligatures w14:val="standardContextual"/>
        </w:rPr>
      </w:pPr>
    </w:p>
    <w:p w14:paraId="7465EBD6" w14:textId="77777777" w:rsidR="00FF05EC" w:rsidRPr="00037A46" w:rsidRDefault="00FF05EC" w:rsidP="009D4C40">
      <w:pPr>
        <w:numPr>
          <w:ilvl w:val="0"/>
          <w:numId w:val="5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lastRenderedPageBreak/>
        <w:t>De algemeen directeur en de financieel directeur van de gemeente/OCMW, vermeld in artikel 162, §1 DLB tenzij anders bepaald.</w:t>
      </w:r>
    </w:p>
    <w:p w14:paraId="0515572C" w14:textId="77777777" w:rsidR="00FF05EC" w:rsidRPr="00037A46"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1EBDF227" w14:textId="77777777" w:rsidR="00FF05EC" w:rsidRPr="00037A46" w:rsidRDefault="00FF05EC" w:rsidP="009D4C40">
      <w:pPr>
        <w:numPr>
          <w:ilvl w:val="0"/>
          <w:numId w:val="5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Het personeel in statutair en contractueel dienstverband van het OCMW in een betrekking die ook bestaat bij de gemeente die door het OCMW wordt bediend, vermeld in artikel 182 DLB (personeelcategorie 1)</w:t>
      </w:r>
    </w:p>
    <w:p w14:paraId="77FF7A5C" w14:textId="77777777" w:rsidR="00FF05EC" w:rsidRPr="00037A46" w:rsidRDefault="00FF05EC" w:rsidP="00FF05EC">
      <w:pPr>
        <w:spacing w:before="0" w:after="160" w:line="259" w:lineRule="auto"/>
        <w:ind w:left="360"/>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Concreet gaat het over de ondersteunende diensten (personeel, staf, secretariaat, financiën, informatica, logistiek en kwaliteit).</w:t>
      </w:r>
    </w:p>
    <w:p w14:paraId="1F062478" w14:textId="77777777" w:rsidR="00FF05EC" w:rsidRPr="00037A46" w:rsidRDefault="00FF05EC" w:rsidP="00FF05EC">
      <w:pPr>
        <w:spacing w:before="0" w:after="160" w:line="259" w:lineRule="auto"/>
        <w:ind w:left="360"/>
        <w:contextualSpacing/>
        <w:jc w:val="left"/>
        <w:rPr>
          <w:rFonts w:eastAsia="Calibri" w:cs="Arial"/>
          <w:kern w:val="2"/>
          <w:lang w:val="nl-BE" w:eastAsia="en-US"/>
          <w14:ligatures w14:val="standardContextual"/>
        </w:rPr>
      </w:pPr>
    </w:p>
    <w:p w14:paraId="49B1CB9C" w14:textId="77777777" w:rsidR="00FF05EC" w:rsidRPr="00037A46" w:rsidRDefault="00FF05EC" w:rsidP="009D4C40">
      <w:pPr>
        <w:numPr>
          <w:ilvl w:val="0"/>
          <w:numId w:val="5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Het personeel in statutair en contractueel dienstverband van het OCMW in een specifieke betrekking, vermeld in artikel 183 DLB (personeelcategorie 2);</w:t>
      </w:r>
    </w:p>
    <w:p w14:paraId="44DD0C78" w14:textId="77777777" w:rsidR="00FF05EC" w:rsidRPr="00037A46" w:rsidRDefault="00FF05EC" w:rsidP="00FF05EC">
      <w:pPr>
        <w:spacing w:before="0" w:after="160" w:line="259" w:lineRule="auto"/>
        <w:ind w:left="360"/>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Concreet gaat het over de welzijnsdiensten (eerstelijns, schuldbemiddeling, activering en wonen). </w:t>
      </w:r>
    </w:p>
    <w:p w14:paraId="6F34278A" w14:textId="77777777" w:rsidR="00FF05EC" w:rsidRPr="00037A46" w:rsidRDefault="00FF05EC" w:rsidP="00FF05EC">
      <w:pPr>
        <w:spacing w:before="0" w:after="160" w:line="259" w:lineRule="auto"/>
        <w:ind w:left="360"/>
        <w:contextualSpacing/>
        <w:jc w:val="left"/>
        <w:rPr>
          <w:rFonts w:eastAsia="Calibri" w:cs="Arial"/>
          <w:kern w:val="2"/>
          <w:lang w:val="nl-BE" w:eastAsia="en-US"/>
          <w14:ligatures w14:val="standardContextual"/>
        </w:rPr>
      </w:pPr>
    </w:p>
    <w:p w14:paraId="3EDDD211" w14:textId="77777777" w:rsidR="00FF05EC" w:rsidRPr="00037A46" w:rsidRDefault="00FF05EC" w:rsidP="00FF05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§2. Deze rechtspositieregeling is van toepassing op: </w:t>
      </w:r>
    </w:p>
    <w:p w14:paraId="5ED0B69B" w14:textId="718B742E" w:rsidR="00FF05EC" w:rsidRPr="00037A46" w:rsidRDefault="00FF05EC" w:rsidP="009D4C40">
      <w:pPr>
        <w:numPr>
          <w:ilvl w:val="0"/>
          <w:numId w:val="55"/>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Het personeel in statutair en contractueel dienstverband van de verzorgende, verplegende en dienstverlenende instellingen en diensten van het OCMW, waarvan de werking gebaseerd is op federale of gewestelijke financiering met bijhorende werkings- en erkenningsregels en voor het voltallig personeel dat ingezet wordt voor activiteiten die hoofdzakelijk verricht worden in mededinging met andere marktdeelnemers, vermeld in artikel 186§2 punt 3  DLB (personeel categorie 3) in zoverre de regelingen verenigbaar zijn met de erkennings- en subsidiëringsnormen van die hogere overheid, onder voorbehoud van de afwijkingen, vastgesteld in de desbetreffende artikelen</w:t>
      </w:r>
      <w:r w:rsidR="009841BF">
        <w:rPr>
          <w:rFonts w:eastAsia="Calibri" w:cs="Arial"/>
          <w:kern w:val="2"/>
          <w:lang w:val="nl-BE" w:eastAsia="en-US"/>
          <w14:ligatures w14:val="standardContextual"/>
        </w:rPr>
        <w:t>.</w:t>
      </w:r>
    </w:p>
    <w:p w14:paraId="07FA4FBF" w14:textId="77777777" w:rsidR="00FF05EC" w:rsidRPr="00037A46" w:rsidRDefault="00FF05EC" w:rsidP="00FF05EC">
      <w:pPr>
        <w:spacing w:before="0" w:after="160" w:line="259" w:lineRule="auto"/>
        <w:ind w:left="360"/>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Concreet gaat het over het woonzorgcentrum, thuiszorg en DVO.</w:t>
      </w:r>
    </w:p>
    <w:p w14:paraId="28D21A65" w14:textId="77777777" w:rsidR="00FF05EC" w:rsidRPr="00037A46" w:rsidRDefault="00FF05EC" w:rsidP="00FF05EC">
      <w:pPr>
        <w:spacing w:before="0" w:after="160" w:line="259" w:lineRule="auto"/>
        <w:ind w:left="360"/>
        <w:contextualSpacing/>
        <w:jc w:val="left"/>
        <w:rPr>
          <w:rFonts w:eastAsia="Calibri" w:cs="Arial"/>
          <w:kern w:val="2"/>
          <w:lang w:val="nl-BE" w:eastAsia="en-US"/>
          <w14:ligatures w14:val="standardContextual"/>
        </w:rPr>
      </w:pPr>
    </w:p>
    <w:p w14:paraId="1F4B5D86" w14:textId="77777777" w:rsidR="00FF05EC" w:rsidRPr="00FC3C9E" w:rsidRDefault="00FF05EC" w:rsidP="009D4C40">
      <w:pPr>
        <w:numPr>
          <w:ilvl w:val="0"/>
          <w:numId w:val="55"/>
        </w:numPr>
        <w:spacing w:before="0" w:after="160" w:line="259" w:lineRule="auto"/>
        <w:contextualSpacing/>
        <w:jc w:val="left"/>
        <w:rPr>
          <w:rFonts w:eastAsia="Calibri" w:cs="Arial"/>
          <w:kern w:val="2"/>
          <w:lang w:val="nl-BE" w:eastAsia="en-US"/>
          <w14:ligatures w14:val="standardContextual"/>
        </w:rPr>
      </w:pPr>
      <w:r w:rsidRPr="008A061D">
        <w:rPr>
          <w:rFonts w:eastAsia="Calibri" w:cs="Arial"/>
          <w:kern w:val="2"/>
          <w:lang w:val="nl-BE" w:eastAsia="en-US"/>
          <w14:ligatures w14:val="standardContextual"/>
        </w:rPr>
        <w:t xml:space="preserve">De personen aangesteld met een studentenovereenkomst als vermeld in artikel 121 van de wet van 3 juli 1978 betreffende de arbeidsovereenkomsten, monitoren speelplein aangesteld met vrijwilligerscontract of arbeidsovereenkomst voor verenigingswerk </w:t>
      </w:r>
      <w:proofErr w:type="spellStart"/>
      <w:r w:rsidRPr="008A061D">
        <w:rPr>
          <w:rFonts w:eastAsia="Calibri" w:cs="Arial"/>
          <w:kern w:val="2"/>
          <w:lang w:val="nl-BE" w:eastAsia="en-US"/>
          <w14:ligatures w14:val="standardContextual"/>
        </w:rPr>
        <w:t>cfr</w:t>
      </w:r>
      <w:proofErr w:type="spellEnd"/>
      <w:r w:rsidRPr="008A061D">
        <w:rPr>
          <w:rFonts w:eastAsia="Calibri" w:cs="Arial"/>
          <w:kern w:val="2"/>
          <w:lang w:val="nl-BE" w:eastAsia="en-US"/>
          <w14:ligatures w14:val="standardContextual"/>
        </w:rPr>
        <w:t xml:space="preserve">. Artikel 17 RSZ-besluit </w:t>
      </w:r>
      <w:r w:rsidRPr="00FC3C9E">
        <w:rPr>
          <w:rFonts w:eastAsia="Calibri" w:cs="Arial"/>
          <w:kern w:val="2"/>
          <w:lang w:val="nl-BE" w:eastAsia="en-US"/>
          <w14:ligatures w14:val="standardContextual"/>
        </w:rPr>
        <w:t>onder voorbehoud van de afwijkingen, vastgesteld in de desbetreffende artikelen:</w:t>
      </w:r>
    </w:p>
    <w:p w14:paraId="294FA670" w14:textId="5B4787DC" w:rsidR="00FF05EC" w:rsidRPr="00FC3C9E" w:rsidRDefault="00FF05EC" w:rsidP="009D4C40">
      <w:pPr>
        <w:numPr>
          <w:ilvl w:val="2"/>
          <w:numId w:val="51"/>
        </w:numPr>
        <w:spacing w:before="0" w:after="160" w:line="259" w:lineRule="auto"/>
        <w:contextualSpacing/>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 xml:space="preserve">Artikel </w:t>
      </w:r>
      <w:r w:rsidR="00A807EB" w:rsidRPr="00FC3C9E">
        <w:rPr>
          <w:rFonts w:eastAsia="Calibri" w:cs="Arial"/>
          <w:kern w:val="2"/>
          <w:lang w:val="nl-BE" w:eastAsia="en-US"/>
          <w14:ligatures w14:val="standardContextual"/>
        </w:rPr>
        <w:t>95</w:t>
      </w:r>
      <w:r w:rsidRPr="00FC3C9E">
        <w:rPr>
          <w:rFonts w:eastAsia="Calibri" w:cs="Arial"/>
          <w:kern w:val="2"/>
          <w:lang w:val="nl-BE" w:eastAsia="en-US"/>
          <w14:ligatures w14:val="standardContextual"/>
        </w:rPr>
        <w:t xml:space="preserve"> e.v. betreffende salaris en salarisschalen</w:t>
      </w:r>
    </w:p>
    <w:p w14:paraId="6FB0D879" w14:textId="030FC3A5" w:rsidR="00FF05EC" w:rsidRPr="008A061D" w:rsidRDefault="00FF05EC" w:rsidP="009D4C40">
      <w:pPr>
        <w:numPr>
          <w:ilvl w:val="2"/>
          <w:numId w:val="51"/>
        </w:numPr>
        <w:spacing w:before="0" w:after="160" w:line="259" w:lineRule="auto"/>
        <w:contextualSpacing/>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Artikel</w:t>
      </w:r>
      <w:r w:rsidR="00C62D1A" w:rsidRPr="00FC3C9E">
        <w:rPr>
          <w:rFonts w:eastAsia="Calibri" w:cs="Arial"/>
          <w:kern w:val="2"/>
          <w:lang w:val="nl-BE" w:eastAsia="en-US"/>
          <w14:ligatures w14:val="standardContextual"/>
        </w:rPr>
        <w:t>s</w:t>
      </w:r>
      <w:r w:rsidR="00C22369" w:rsidRPr="00FC3C9E">
        <w:rPr>
          <w:rFonts w:eastAsia="Calibri" w:cs="Arial"/>
          <w:kern w:val="2"/>
          <w:lang w:val="nl-BE" w:eastAsia="en-US"/>
          <w14:ligatures w14:val="standardContextual"/>
        </w:rPr>
        <w:t xml:space="preserve"> </w:t>
      </w:r>
      <w:r w:rsidR="00A807EB" w:rsidRPr="00FC3C9E">
        <w:rPr>
          <w:rFonts w:eastAsia="Calibri" w:cs="Arial"/>
          <w:kern w:val="2"/>
          <w:lang w:val="nl-BE" w:eastAsia="en-US"/>
          <w14:ligatures w14:val="standardContextual"/>
        </w:rPr>
        <w:t>122</w:t>
      </w:r>
      <w:r w:rsidR="00C22369" w:rsidRPr="00FC3C9E">
        <w:rPr>
          <w:rFonts w:eastAsia="Calibri" w:cs="Arial"/>
          <w:kern w:val="2"/>
          <w:lang w:val="nl-BE" w:eastAsia="en-US"/>
          <w14:ligatures w14:val="standardContextual"/>
        </w:rPr>
        <w:t>,</w:t>
      </w:r>
      <w:r w:rsidRPr="00FC3C9E">
        <w:rPr>
          <w:rFonts w:eastAsia="Calibri" w:cs="Arial"/>
          <w:kern w:val="2"/>
          <w:lang w:val="nl-BE" w:eastAsia="en-US"/>
          <w14:ligatures w14:val="standardContextual"/>
        </w:rPr>
        <w:t xml:space="preserve"> </w:t>
      </w:r>
      <w:r w:rsidR="00A807EB" w:rsidRPr="00FC3C9E">
        <w:rPr>
          <w:rFonts w:eastAsia="Calibri" w:cs="Arial"/>
          <w:kern w:val="2"/>
          <w:lang w:val="nl-BE" w:eastAsia="en-US"/>
          <w14:ligatures w14:val="standardContextual"/>
        </w:rPr>
        <w:t>123</w:t>
      </w:r>
      <w:r w:rsidR="00C62D1A" w:rsidRPr="00FC3C9E">
        <w:rPr>
          <w:rFonts w:eastAsia="Calibri" w:cs="Arial"/>
          <w:kern w:val="2"/>
          <w:lang w:val="nl-BE" w:eastAsia="en-US"/>
          <w14:ligatures w14:val="standardContextual"/>
        </w:rPr>
        <w:t xml:space="preserve">, </w:t>
      </w:r>
      <w:r w:rsidR="00A807EB" w:rsidRPr="00FC3C9E">
        <w:rPr>
          <w:rFonts w:eastAsia="Calibri" w:cs="Arial"/>
          <w:kern w:val="2"/>
          <w:lang w:val="nl-BE" w:eastAsia="en-US"/>
          <w14:ligatures w14:val="standardContextual"/>
        </w:rPr>
        <w:t>128</w:t>
      </w:r>
      <w:r w:rsidRPr="00FC3C9E">
        <w:rPr>
          <w:rFonts w:eastAsia="Calibri" w:cs="Arial"/>
          <w:kern w:val="2"/>
          <w:lang w:val="nl-BE" w:eastAsia="en-US"/>
          <w14:ligatures w14:val="standardContextual"/>
        </w:rPr>
        <w:t xml:space="preserve"> betreffende</w:t>
      </w:r>
      <w:r w:rsidRPr="008A061D">
        <w:rPr>
          <w:rFonts w:eastAsia="Calibri" w:cs="Arial"/>
          <w:kern w:val="2"/>
          <w:lang w:val="nl-BE" w:eastAsia="en-US"/>
          <w14:ligatures w14:val="standardContextual"/>
        </w:rPr>
        <w:t xml:space="preserve"> </w:t>
      </w:r>
      <w:proofErr w:type="spellStart"/>
      <w:r w:rsidRPr="008A061D">
        <w:rPr>
          <w:rFonts w:eastAsia="Calibri" w:cs="Arial"/>
          <w:kern w:val="2"/>
          <w:lang w:val="nl-BE" w:eastAsia="en-US"/>
          <w14:ligatures w14:val="standardContextual"/>
        </w:rPr>
        <w:t>eindejaar</w:t>
      </w:r>
      <w:r w:rsidR="00D4369A">
        <w:rPr>
          <w:rFonts w:eastAsia="Calibri" w:cs="Arial"/>
          <w:kern w:val="2"/>
          <w:lang w:val="nl-BE" w:eastAsia="en-US"/>
          <w14:ligatures w14:val="standardContextual"/>
        </w:rPr>
        <w:t>s</w:t>
      </w:r>
      <w:r w:rsidRPr="008A061D">
        <w:rPr>
          <w:rFonts w:eastAsia="Calibri" w:cs="Arial"/>
          <w:kern w:val="2"/>
          <w:lang w:val="nl-BE" w:eastAsia="en-US"/>
          <w14:ligatures w14:val="standardContextual"/>
        </w:rPr>
        <w:t>toelage</w:t>
      </w:r>
      <w:proofErr w:type="spellEnd"/>
      <w:r w:rsidRPr="008A061D">
        <w:rPr>
          <w:rFonts w:eastAsia="Calibri" w:cs="Arial"/>
          <w:kern w:val="2"/>
          <w:lang w:val="nl-BE" w:eastAsia="en-US"/>
          <w14:ligatures w14:val="standardContextual"/>
        </w:rPr>
        <w:t>, vakantiegeld, haard- en standplaatstoelage</w:t>
      </w:r>
    </w:p>
    <w:p w14:paraId="6E6D863A" w14:textId="1A717554" w:rsidR="00FF05EC" w:rsidRPr="008A061D" w:rsidRDefault="00FF05EC" w:rsidP="009D4C40">
      <w:pPr>
        <w:numPr>
          <w:ilvl w:val="2"/>
          <w:numId w:val="51"/>
        </w:numPr>
        <w:spacing w:before="0" w:after="160" w:line="259" w:lineRule="auto"/>
        <w:contextualSpacing/>
        <w:jc w:val="left"/>
        <w:rPr>
          <w:rFonts w:eastAsia="Calibri" w:cs="Arial"/>
          <w:kern w:val="2"/>
          <w:lang w:val="nl-BE" w:eastAsia="en-US"/>
          <w14:ligatures w14:val="standardContextual"/>
        </w:rPr>
      </w:pPr>
      <w:r w:rsidRPr="008A061D">
        <w:rPr>
          <w:rFonts w:eastAsia="Calibri" w:cs="Arial"/>
          <w:kern w:val="2"/>
          <w:lang w:val="nl-BE" w:eastAsia="en-US"/>
          <w14:ligatures w14:val="standardContextual"/>
        </w:rPr>
        <w:t>Artikel</w:t>
      </w:r>
      <w:r w:rsidR="006A3788" w:rsidRPr="008A061D">
        <w:rPr>
          <w:rFonts w:eastAsia="Calibri" w:cs="Arial"/>
          <w:kern w:val="2"/>
          <w:lang w:val="nl-BE" w:eastAsia="en-US"/>
          <w14:ligatures w14:val="standardContextual"/>
        </w:rPr>
        <w:t>s</w:t>
      </w:r>
      <w:r w:rsidRPr="008A061D">
        <w:rPr>
          <w:rFonts w:eastAsia="Calibri" w:cs="Arial"/>
          <w:kern w:val="2"/>
          <w:lang w:val="nl-BE" w:eastAsia="en-US"/>
          <w14:ligatures w14:val="standardContextual"/>
        </w:rPr>
        <w:t xml:space="preserve"> </w:t>
      </w:r>
      <w:r w:rsidR="00EC5432">
        <w:rPr>
          <w:rFonts w:eastAsia="Calibri" w:cs="Arial"/>
          <w:kern w:val="2"/>
          <w:lang w:val="nl-BE" w:eastAsia="en-US"/>
          <w14:ligatures w14:val="standardContextual"/>
        </w:rPr>
        <w:t>149</w:t>
      </w:r>
      <w:r w:rsidR="006A3788" w:rsidRPr="008A061D">
        <w:rPr>
          <w:rFonts w:eastAsia="Calibri" w:cs="Arial"/>
          <w:kern w:val="2"/>
          <w:lang w:val="nl-BE" w:eastAsia="en-US"/>
          <w14:ligatures w14:val="standardContextual"/>
        </w:rPr>
        <w:t xml:space="preserve">, </w:t>
      </w:r>
      <w:r w:rsidR="00EC5432">
        <w:rPr>
          <w:rFonts w:eastAsia="Calibri" w:cs="Arial"/>
          <w:kern w:val="2"/>
          <w:lang w:val="nl-BE" w:eastAsia="en-US"/>
          <w14:ligatures w14:val="standardContextual"/>
        </w:rPr>
        <w:t>150</w:t>
      </w:r>
      <w:r w:rsidR="006A3788" w:rsidRPr="008A061D">
        <w:rPr>
          <w:rFonts w:eastAsia="Calibri" w:cs="Arial"/>
          <w:kern w:val="2"/>
          <w:lang w:val="nl-BE" w:eastAsia="en-US"/>
          <w14:ligatures w14:val="standardContextual"/>
        </w:rPr>
        <w:t xml:space="preserve">, </w:t>
      </w:r>
      <w:r w:rsidR="00EC5432">
        <w:rPr>
          <w:rFonts w:eastAsia="Calibri" w:cs="Arial"/>
          <w:kern w:val="2"/>
          <w:lang w:val="nl-BE" w:eastAsia="en-US"/>
          <w14:ligatures w14:val="standardContextual"/>
        </w:rPr>
        <w:t>151</w:t>
      </w:r>
      <w:r w:rsidRPr="008A061D">
        <w:rPr>
          <w:rFonts w:eastAsia="Calibri" w:cs="Arial"/>
          <w:kern w:val="2"/>
          <w:lang w:val="nl-BE" w:eastAsia="en-US"/>
          <w14:ligatures w14:val="standardContextual"/>
        </w:rPr>
        <w:t xml:space="preserve">, </w:t>
      </w:r>
      <w:r w:rsidR="00EC5432">
        <w:rPr>
          <w:rFonts w:eastAsia="Calibri" w:cs="Arial"/>
          <w:kern w:val="2"/>
          <w:lang w:val="nl-BE" w:eastAsia="en-US"/>
          <w14:ligatures w14:val="standardContextual"/>
        </w:rPr>
        <w:t>152</w:t>
      </w:r>
      <w:r w:rsidR="006A3788" w:rsidRPr="008A061D">
        <w:rPr>
          <w:rFonts w:eastAsia="Calibri" w:cs="Arial"/>
          <w:kern w:val="2"/>
          <w:lang w:val="nl-BE" w:eastAsia="en-US"/>
          <w14:ligatures w14:val="standardContextual"/>
        </w:rPr>
        <w:t>,</w:t>
      </w:r>
      <w:r w:rsidR="00C22369" w:rsidRPr="008A061D">
        <w:rPr>
          <w:rFonts w:eastAsia="Calibri" w:cs="Arial"/>
          <w:kern w:val="2"/>
          <w:lang w:val="nl-BE" w:eastAsia="en-US"/>
          <w14:ligatures w14:val="standardContextual"/>
        </w:rPr>
        <w:t xml:space="preserve"> </w:t>
      </w:r>
      <w:r w:rsidR="00EC5432">
        <w:rPr>
          <w:rFonts w:eastAsia="Calibri" w:cs="Arial"/>
          <w:kern w:val="2"/>
          <w:lang w:val="nl-BE" w:eastAsia="en-US"/>
          <w14:ligatures w14:val="standardContextual"/>
        </w:rPr>
        <w:t>153</w:t>
      </w:r>
      <w:r w:rsidR="006A3788" w:rsidRPr="008A061D">
        <w:rPr>
          <w:rFonts w:eastAsia="Calibri" w:cs="Arial"/>
          <w:kern w:val="2"/>
          <w:lang w:val="nl-BE" w:eastAsia="en-US"/>
          <w14:ligatures w14:val="standardContextual"/>
        </w:rPr>
        <w:t xml:space="preserve"> </w:t>
      </w:r>
      <w:r w:rsidRPr="008A061D">
        <w:rPr>
          <w:rFonts w:eastAsia="Calibri" w:cs="Arial"/>
          <w:kern w:val="2"/>
          <w:lang w:val="nl-BE" w:eastAsia="en-US"/>
          <w14:ligatures w14:val="standardContextual"/>
        </w:rPr>
        <w:t xml:space="preserve">betreffende maaltijdcheques, hospitalisatieverzekering, 2de pensioenpijler, </w:t>
      </w:r>
      <w:proofErr w:type="spellStart"/>
      <w:r w:rsidRPr="008A061D">
        <w:rPr>
          <w:rFonts w:eastAsia="Calibri" w:cs="Arial"/>
          <w:kern w:val="2"/>
          <w:lang w:val="nl-BE" w:eastAsia="en-US"/>
          <w14:ligatures w14:val="standardContextual"/>
        </w:rPr>
        <w:t>eco</w:t>
      </w:r>
      <w:proofErr w:type="spellEnd"/>
      <w:r w:rsidRPr="008A061D">
        <w:rPr>
          <w:rFonts w:eastAsia="Calibri" w:cs="Arial"/>
          <w:kern w:val="2"/>
          <w:lang w:val="nl-BE" w:eastAsia="en-US"/>
          <w14:ligatures w14:val="standardContextual"/>
        </w:rPr>
        <w:t>-cheque</w:t>
      </w:r>
      <w:r w:rsidR="00D4369A">
        <w:rPr>
          <w:rFonts w:eastAsia="Calibri" w:cs="Arial"/>
          <w:kern w:val="2"/>
          <w:lang w:val="nl-BE" w:eastAsia="en-US"/>
          <w14:ligatures w14:val="standardContextual"/>
        </w:rPr>
        <w:t>s</w:t>
      </w:r>
    </w:p>
    <w:p w14:paraId="7AC34B0A" w14:textId="77777777" w:rsidR="00FF05EC" w:rsidRPr="00037A46" w:rsidRDefault="00FF05EC" w:rsidP="00FF05EC">
      <w:pPr>
        <w:ind w:left="360"/>
        <w:contextualSpacing/>
        <w:rPr>
          <w:rFonts w:eastAsia="Calibri" w:cs="Arial"/>
          <w:kern w:val="2"/>
          <w:lang w:val="nl-BE" w:eastAsia="en-US"/>
          <w14:ligatures w14:val="standardContextual"/>
        </w:rPr>
      </w:pPr>
    </w:p>
    <w:p w14:paraId="1B8A3A4E" w14:textId="77777777" w:rsidR="00FF05EC" w:rsidRPr="00037A46" w:rsidRDefault="00FF05EC" w:rsidP="00FF05EC">
      <w:pPr>
        <w:ind w:left="360"/>
        <w:contextualSpacing/>
        <w:rPr>
          <w:rFonts w:eastAsia="Calibri" w:cs="Arial"/>
          <w:kern w:val="2"/>
          <w:lang w:val="nl-BE" w:eastAsia="en-US"/>
          <w14:ligatures w14:val="standardContextual"/>
        </w:rPr>
      </w:pPr>
    </w:p>
    <w:p w14:paraId="20EB7AFC" w14:textId="77777777" w:rsidR="00FF05EC" w:rsidRPr="00037A46" w:rsidRDefault="00FF05EC" w:rsidP="00FF05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§3. Deze rechtspositieregeling is niet van toepassing op de volgende personeelscategorie: </w:t>
      </w:r>
    </w:p>
    <w:p w14:paraId="04D9D551" w14:textId="77777777" w:rsidR="00FF05EC" w:rsidRDefault="00FF05EC" w:rsidP="009D4C40">
      <w:pPr>
        <w:numPr>
          <w:ilvl w:val="0"/>
          <w:numId w:val="52"/>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cliënten van het openbaar centrum voor maatschappelijk welzijn die tijdelijk in een functie werken bij het openbaar centrum voor maatschappelijk welzijn of ter beschikking gesteld worden van een derde met toepassing van artikel 60, §7, van de organieke wet van 8 juli 1976 betreffende de openbare centra voor maatschappelijk welzijn;</w:t>
      </w:r>
    </w:p>
    <w:p w14:paraId="276974CA" w14:textId="77777777" w:rsidR="00E96DEC" w:rsidRDefault="00E96DEC" w:rsidP="00FF05EC">
      <w:pPr>
        <w:spacing w:before="0" w:after="160" w:line="259" w:lineRule="auto"/>
        <w:ind w:left="0"/>
        <w:jc w:val="left"/>
        <w:rPr>
          <w:rFonts w:eastAsia="Calibri" w:cs="Arial"/>
          <w:b/>
          <w:bCs/>
          <w:kern w:val="2"/>
          <w:lang w:val="nl-BE" w:eastAsia="en-US"/>
          <w14:ligatures w14:val="standardContextual"/>
        </w:rPr>
      </w:pPr>
    </w:p>
    <w:p w14:paraId="2CD2A6A8" w14:textId="0E69040A" w:rsidR="00FF05EC" w:rsidRPr="00037A46" w:rsidRDefault="00FF05EC" w:rsidP="00FF05EC">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Artikel 3</w:t>
      </w:r>
    </w:p>
    <w:p w14:paraId="28CCCF1D" w14:textId="56FFA6C2" w:rsidR="00FF05EC" w:rsidRPr="00037A46" w:rsidRDefault="00FF05EC" w:rsidP="00FF05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§1. De kandidaten met een arbeidshandicap zijn onderworpen aan de algemeen geldende aanwervings- en selectieprocedures bepaald </w:t>
      </w:r>
      <w:r w:rsidRPr="00655A81">
        <w:rPr>
          <w:rFonts w:eastAsia="Calibri" w:cs="Arial"/>
          <w:kern w:val="2"/>
          <w:lang w:val="nl-BE" w:eastAsia="en-US"/>
          <w14:ligatures w14:val="standardContextual"/>
        </w:rPr>
        <w:t>in artikel 1</w:t>
      </w:r>
      <w:r w:rsidR="00E94A9E" w:rsidRPr="00655A81">
        <w:rPr>
          <w:rFonts w:eastAsia="Calibri" w:cs="Arial"/>
          <w:kern w:val="2"/>
          <w:lang w:val="nl-BE" w:eastAsia="en-US"/>
          <w14:ligatures w14:val="standardContextual"/>
        </w:rPr>
        <w:t>1</w:t>
      </w:r>
      <w:r w:rsidRPr="00655A81">
        <w:rPr>
          <w:rFonts w:eastAsia="Calibri" w:cs="Arial"/>
          <w:kern w:val="2"/>
          <w:lang w:val="nl-BE" w:eastAsia="en-US"/>
          <w14:ligatures w14:val="standardContextual"/>
        </w:rPr>
        <w:t>. In afwijking</w:t>
      </w:r>
      <w:r w:rsidRPr="00037A46">
        <w:rPr>
          <w:rFonts w:eastAsia="Calibri" w:cs="Arial"/>
          <w:kern w:val="2"/>
          <w:lang w:val="nl-BE" w:eastAsia="en-US"/>
          <w14:ligatures w14:val="standardContextual"/>
        </w:rPr>
        <w:t xml:space="preserve"> hiervan kan de algemeen directeur voor de personen met een handicap die solliciteren een aangepaste, functiegerichte selectieprocedure organiseren.</w:t>
      </w:r>
    </w:p>
    <w:p w14:paraId="54325437" w14:textId="77777777" w:rsidR="00FF05EC" w:rsidRPr="00037A46" w:rsidRDefault="00FF05EC" w:rsidP="00FF05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Bij de toepassing van de selectieproeven worden de hinderpalen die verbonden zijn met de handicap, door redelijke aanpassingen verholpen. Met ‘redelijke aanpassingen’ wordt bedoeld: aanbieden van </w:t>
      </w:r>
      <w:r w:rsidRPr="00037A46">
        <w:rPr>
          <w:rFonts w:eastAsia="Calibri" w:cs="Arial"/>
          <w:kern w:val="2"/>
          <w:lang w:val="nl-BE" w:eastAsia="en-US"/>
          <w14:ligatures w14:val="standardContextual"/>
        </w:rPr>
        <w:lastRenderedPageBreak/>
        <w:t>technische ondersteuning of hulpmiddelen, aanbieden van individuele hulp, aanpassen van op te leveren resultaten en resultaatsgebieden.</w:t>
      </w:r>
    </w:p>
    <w:p w14:paraId="29D5A32A" w14:textId="383A02CC" w:rsidR="00FF05EC" w:rsidRPr="00037A46" w:rsidRDefault="00FF05EC" w:rsidP="00FF05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Door de algemeen directeur die bevoegd is voor de individuele toepassing van de rechtspositieregeling kan, mits motivering, verder redelijke aanpassingen met betrekking tot arbeidstijd, werkmiddelen, of andere ondersteunende aanpassingen voor het personeelslid met een handicap worden toegestaan. De algemeen directeur kan hiervoor het advies van de arbeidsarts vragen.</w:t>
      </w:r>
    </w:p>
    <w:p w14:paraId="03E14C4A" w14:textId="77777777" w:rsidR="00FF05EC" w:rsidRPr="00037A46" w:rsidRDefault="00FF05EC" w:rsidP="00FF05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§2. Ten minste 2% van het totale aantal personeelsleden binnen het bestuur, uitgedrukt in voltijdse equivalenten, bestaat uit personen met een arbeidshandicap die aan een van de volgende voorwaarden voldoen:</w:t>
      </w:r>
    </w:p>
    <w:p w14:paraId="7538780A" w14:textId="77777777" w:rsidR="00FF05EC" w:rsidRPr="00037A46" w:rsidRDefault="00FF05EC" w:rsidP="009D4C40">
      <w:pPr>
        <w:numPr>
          <w:ilvl w:val="0"/>
          <w:numId w:val="53"/>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Ze zijn ingeschreven bij het Vlaams Agentschap voor Personen met een Handicap;</w:t>
      </w:r>
    </w:p>
    <w:p w14:paraId="12620A93" w14:textId="77777777" w:rsidR="00FF05EC" w:rsidRPr="00037A46" w:rsidRDefault="00FF05EC" w:rsidP="009D4C40">
      <w:pPr>
        <w:numPr>
          <w:ilvl w:val="0"/>
          <w:numId w:val="53"/>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Ze zijn erkend door de Vlaamse Dienst voor Arbeidsbemiddeling en Beroepsopleiding;</w:t>
      </w:r>
    </w:p>
    <w:p w14:paraId="563C7574" w14:textId="77777777" w:rsidR="00FF05EC" w:rsidRPr="00037A46" w:rsidRDefault="00FF05EC" w:rsidP="009D4C40">
      <w:pPr>
        <w:numPr>
          <w:ilvl w:val="0"/>
          <w:numId w:val="53"/>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Ze komen in aanmerking voor een inkomen vervangende tegemoetkoming of voor een integratietegemoetkoming die verstrekt wordt aan personen met een handicap op basis van de wet van 27 februari 1987 betreffende de tegemoetkomingen aan personen met een handicap;</w:t>
      </w:r>
    </w:p>
    <w:p w14:paraId="6872CAFD" w14:textId="77777777" w:rsidR="00FF05EC" w:rsidRPr="00037A46" w:rsidRDefault="00FF05EC" w:rsidP="009D4C40">
      <w:pPr>
        <w:numPr>
          <w:ilvl w:val="0"/>
          <w:numId w:val="53"/>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Ze zijn in het bezit van een attest dat uitgereikt is door de algemene directie Personen met een Handicap van de Federale Overheidsdienst Sociale Zekerheid voor het verstrekken van sociale en fiscale voordelen;</w:t>
      </w:r>
    </w:p>
    <w:p w14:paraId="16E242AD" w14:textId="77777777" w:rsidR="00FF05EC" w:rsidRPr="00037A46" w:rsidRDefault="00FF05EC" w:rsidP="009D4C40">
      <w:pPr>
        <w:numPr>
          <w:ilvl w:val="0"/>
          <w:numId w:val="53"/>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Ze zijn het slachtoffer van een arbeidsongeval of van een beroepsziekte en ze kunnen een bewijs voorleggen van een blijvende arbeidsongeschiktheid van ten minste 66%, uitgereikt door het Federaal agentschap voor beroepsrisico’s of door het Bestuur medische expertise (Administratieve Gezondheidsdienst of </w:t>
      </w:r>
      <w:proofErr w:type="spellStart"/>
      <w:r w:rsidRPr="00037A46">
        <w:rPr>
          <w:rFonts w:eastAsia="Calibri" w:cs="Arial"/>
          <w:kern w:val="2"/>
          <w:lang w:val="nl-BE" w:eastAsia="en-US"/>
          <w14:ligatures w14:val="standardContextual"/>
        </w:rPr>
        <w:t>Medex</w:t>
      </w:r>
      <w:proofErr w:type="spellEnd"/>
      <w:r w:rsidRPr="00037A46">
        <w:rPr>
          <w:rFonts w:eastAsia="Calibri" w:cs="Arial"/>
          <w:kern w:val="2"/>
          <w:lang w:val="nl-BE" w:eastAsia="en-US"/>
          <w14:ligatures w14:val="standardContextual"/>
        </w:rPr>
        <w:t>) in het kader van de toepassing van de wet van 3 juli 1967 betreffende de preventie van of de schadevergoeding voor arbeidsongevallen, voor ongevallen op de weg naar en van het werk en voor beroepsziekten in de overheidssector;</w:t>
      </w:r>
    </w:p>
    <w:p w14:paraId="01249682" w14:textId="77777777" w:rsidR="00FF05EC" w:rsidRPr="00037A46" w:rsidRDefault="00FF05EC" w:rsidP="009D4C40">
      <w:pPr>
        <w:numPr>
          <w:ilvl w:val="0"/>
          <w:numId w:val="53"/>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Ze hebben hun hoogste getuigschrift of diploma behaald in het buitengewoon secundair onderwijs.</w:t>
      </w:r>
    </w:p>
    <w:p w14:paraId="73AE9A6B" w14:textId="77777777" w:rsidR="00FF05EC" w:rsidRPr="00037A46" w:rsidRDefault="00FF05EC" w:rsidP="00FF05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In het eerste lid wordt verstaan onder:</w:t>
      </w:r>
    </w:p>
    <w:p w14:paraId="0C66E69F" w14:textId="77777777" w:rsidR="00FF05EC" w:rsidRPr="00037A46" w:rsidRDefault="00FF05EC" w:rsidP="009D4C40">
      <w:pPr>
        <w:numPr>
          <w:ilvl w:val="0"/>
          <w:numId w:val="54"/>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Vlaams Agentschap voor Personen met een Handicap: het Vlaams Agentschap voor Personen met een Handicap, opgericht bij decreet van 7 mei 2004 tot oprichting van het intern verzelfstandigd agentschap met rechtspersoonlijkheid Vlaams Agentschap voor Personen met een Handicap;</w:t>
      </w:r>
    </w:p>
    <w:p w14:paraId="62AA286B" w14:textId="77777777" w:rsidR="00FF05EC" w:rsidRPr="00037A46" w:rsidRDefault="00FF05EC" w:rsidP="009D4C40">
      <w:pPr>
        <w:numPr>
          <w:ilvl w:val="0"/>
          <w:numId w:val="54"/>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Vlaamse Dienst voor Arbeidsbemiddeling en Beroepsopleiding: de Vlaamse Dienst voor Arbeidsbemiddeling en Beroepsopleiding, opgericht bij het decreet van 7 mei 2004 tot oprichting van het publiekrechtelijk vormgegeven extern verzelfstandigd agentschap “Vlaamse Dienst voor Arbeidsbemiddeling en Beroepsopleiding”.</w:t>
      </w:r>
    </w:p>
    <w:p w14:paraId="34DD75BA" w14:textId="77777777" w:rsidR="00FF05EC" w:rsidRPr="00037A46" w:rsidRDefault="00FF05EC" w:rsidP="00FF05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Bij de berekening van het percentage van 2% worden bij het openbaar centrum voor maatschappelijk welzijn de functies van het verplegend en verzorgend personeel niet meegerekend. </w:t>
      </w:r>
    </w:p>
    <w:p w14:paraId="6EEB9A13" w14:textId="0E73FB89" w:rsidR="003A11FB" w:rsidRPr="00037A46" w:rsidRDefault="003A11FB" w:rsidP="00C73BEA">
      <w:pPr>
        <w:pStyle w:val="Kop1"/>
        <w:jc w:val="left"/>
        <w:rPr>
          <w:bCs/>
        </w:rPr>
      </w:pPr>
      <w:bookmarkStart w:id="39" w:name="_Toc184720164"/>
      <w:bookmarkStart w:id="40" w:name="_Toc110948114"/>
      <w:bookmarkStart w:id="41" w:name="_Toc21573893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037A46">
        <w:rPr>
          <w:bCs/>
        </w:rPr>
        <w:lastRenderedPageBreak/>
        <w:t>TITEL 2. DE LOOPBAAN</w:t>
      </w:r>
      <w:bookmarkEnd w:id="39"/>
      <w:bookmarkEnd w:id="40"/>
      <w:bookmarkEnd w:id="41"/>
      <w:r w:rsidRPr="00037A46">
        <w:rPr>
          <w:bCs/>
        </w:rPr>
        <w:t xml:space="preserve"> </w:t>
      </w:r>
    </w:p>
    <w:p w14:paraId="3EA10770" w14:textId="082F1AEA" w:rsidR="00FF263D" w:rsidRPr="00037A46" w:rsidRDefault="00FF263D" w:rsidP="00B44CF7">
      <w:pPr>
        <w:pStyle w:val="Kop2"/>
      </w:pPr>
      <w:bookmarkStart w:id="42" w:name="_Toc215738937"/>
      <w:bookmarkStart w:id="43" w:name="_Hlk143173814"/>
      <w:bookmarkStart w:id="44" w:name="_Toc110948115"/>
      <w:bookmarkStart w:id="45" w:name="_Hlk143173842"/>
      <w:r w:rsidRPr="00037A46">
        <w:t xml:space="preserve">Hoofdstuk </w:t>
      </w:r>
      <w:r w:rsidR="00B66F99">
        <w:t>I</w:t>
      </w:r>
      <w:r w:rsidRPr="00037A46">
        <w:t>. graden</w:t>
      </w:r>
      <w:bookmarkEnd w:id="42"/>
      <w:r w:rsidRPr="00037A46">
        <w:t xml:space="preserve"> </w:t>
      </w:r>
    </w:p>
    <w:bookmarkEnd w:id="43"/>
    <w:p w14:paraId="52B77046" w14:textId="48F8D3F3" w:rsidR="008F4135" w:rsidRPr="00037A46" w:rsidRDefault="008F4135" w:rsidP="008F4135">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4 </w:t>
      </w:r>
    </w:p>
    <w:p w14:paraId="625B1461"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§1. Dit artikel is niet van toepassing op de algemeen directeur en de financieel directeur van de gemeente; </w:t>
      </w:r>
    </w:p>
    <w:p w14:paraId="5B29BD1B" w14:textId="21E8D70A"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§2. De graden worden ingedeeld in v</w:t>
      </w:r>
      <w:r w:rsidR="00831EC0">
        <w:rPr>
          <w:rFonts w:eastAsia="Calibri" w:cs="Arial"/>
          <w:kern w:val="2"/>
          <w:lang w:val="nl-BE" w:eastAsia="en-US"/>
          <w14:ligatures w14:val="standardContextual"/>
        </w:rPr>
        <w:t>ier</w:t>
      </w:r>
      <w:r w:rsidRPr="00037A46">
        <w:rPr>
          <w:rFonts w:eastAsia="Calibri" w:cs="Arial"/>
          <w:kern w:val="2"/>
          <w:lang w:val="nl-BE" w:eastAsia="en-US"/>
          <w14:ligatures w14:val="standardContextual"/>
        </w:rPr>
        <w:t xml:space="preserve"> niveaus. De niveaus stemmen, met uitzondering van het niveau D, overeen met een diplomavereiste van een bepaald onderwijsniveau of evenwaardige ervaring. De niveaus en de diploma’s en getuigschriften die ermee overeenstemmen, zijn: </w:t>
      </w:r>
    </w:p>
    <w:p w14:paraId="6B4895EA" w14:textId="77777777" w:rsidR="008F4135" w:rsidRPr="00037A46" w:rsidRDefault="008F4135" w:rsidP="009D4C40">
      <w:pPr>
        <w:numPr>
          <w:ilvl w:val="0"/>
          <w:numId w:val="56"/>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Niveau A: een masterdiploma of een diploma van het universitair onderwijs of een diploma van het hoger onderwijs van twee cycli dat gelijkgesteld is met universitair onderwijs; </w:t>
      </w:r>
    </w:p>
    <w:p w14:paraId="5AAC1B6E" w14:textId="0D250997" w:rsidR="008F4135" w:rsidRPr="00037A46" w:rsidRDefault="008F4135" w:rsidP="009D4C40">
      <w:pPr>
        <w:numPr>
          <w:ilvl w:val="0"/>
          <w:numId w:val="56"/>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Niveau B: een bachelorsdiploma of een diploma van het hoger onderwijs van een cyclus of van daarmee gelijkgesteld onderwijs; </w:t>
      </w:r>
    </w:p>
    <w:p w14:paraId="17A53AAF" w14:textId="77777777" w:rsidR="008F4135" w:rsidRPr="00037A46" w:rsidRDefault="008F4135" w:rsidP="009D4C40">
      <w:pPr>
        <w:numPr>
          <w:ilvl w:val="0"/>
          <w:numId w:val="56"/>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Niveau C: een diploma van het secundair onderwijs of van daarmee gelijkgesteld onderwijs; </w:t>
      </w:r>
    </w:p>
    <w:p w14:paraId="38C8F862" w14:textId="1F1CC30B" w:rsidR="008F4135" w:rsidRPr="00037A46" w:rsidRDefault="008F4135" w:rsidP="009D4C40">
      <w:pPr>
        <w:numPr>
          <w:ilvl w:val="0"/>
          <w:numId w:val="56"/>
        </w:numPr>
        <w:spacing w:before="0" w:after="160" w:line="259" w:lineRule="auto"/>
        <w:contextualSpacing/>
        <w:jc w:val="left"/>
        <w:rPr>
          <w:rFonts w:eastAsia="Calibri" w:cs="Arial"/>
          <w:kern w:val="2"/>
          <w:lang w:val="nl-BE" w:eastAsia="en-US"/>
          <w14:ligatures w14:val="standardContextual"/>
        </w:rPr>
      </w:pPr>
      <w:bookmarkStart w:id="46" w:name="_Hlk143509541"/>
      <w:r w:rsidRPr="00037A46">
        <w:rPr>
          <w:rFonts w:eastAsia="Calibri" w:cs="Arial"/>
          <w:kern w:val="2"/>
          <w:lang w:val="nl-BE" w:eastAsia="en-US"/>
          <w14:ligatures w14:val="standardContextual"/>
        </w:rPr>
        <w:t>Niveau D: geen diplomavereiste</w:t>
      </w:r>
      <w:bookmarkEnd w:id="46"/>
      <w:r w:rsidR="00BA1EB7">
        <w:rPr>
          <w:rFonts w:eastAsia="Calibri" w:cs="Arial"/>
          <w:kern w:val="2"/>
          <w:lang w:val="nl-BE" w:eastAsia="en-US"/>
          <w14:ligatures w14:val="standardContextual"/>
        </w:rPr>
        <w:t>.</w:t>
      </w:r>
    </w:p>
    <w:p w14:paraId="052996D1" w14:textId="77777777" w:rsidR="008F4135" w:rsidRPr="00037A46" w:rsidRDefault="008F4135" w:rsidP="008F4135">
      <w:pPr>
        <w:spacing w:before="0" w:after="160" w:line="259" w:lineRule="auto"/>
        <w:ind w:left="360"/>
        <w:contextualSpacing/>
        <w:jc w:val="left"/>
        <w:rPr>
          <w:rFonts w:eastAsia="Calibri" w:cs="Arial"/>
          <w:kern w:val="2"/>
          <w:lang w:val="nl-BE" w:eastAsia="en-US"/>
          <w14:ligatures w14:val="standardContextual"/>
        </w:rPr>
      </w:pPr>
    </w:p>
    <w:p w14:paraId="278B7CCF"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aanstellende overheid kan bijkomend specifieke diplomavereisten opleggen.</w:t>
      </w:r>
    </w:p>
    <w:p w14:paraId="2D3FE379"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lijst van erkende diploma's of getuigschriften per niveau, opgenomen in bijlage 2 die bij het Vlaams personeelsstatuut van 13 januari 2006 is gevoegd, is van overeenkomstige toepassing. </w:t>
      </w:r>
    </w:p>
    <w:p w14:paraId="07065D5F"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In aanvulling op de lijst komen volgende attesten ook in aanmerking: </w:t>
      </w:r>
    </w:p>
    <w:p w14:paraId="1A38B2C5"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1° een op de functie afgestemd ervaringsbewijs, uitgereikt overeenkomstig de Vlaamse regelgeving over de titels van beroepsbekwaamheid; </w:t>
      </w:r>
    </w:p>
    <w:p w14:paraId="0C2EFE52"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2° een op de functie afgestemd attest van een beroepsopleiding, gevolgd bij een door de Vlaamse Regering erkende instelling voor beroepsopleiding. </w:t>
      </w:r>
    </w:p>
    <w:p w14:paraId="3BC899E7" w14:textId="2E5935BB" w:rsidR="00D309FB" w:rsidRPr="00870DD9" w:rsidRDefault="00C7579C" w:rsidP="008F4135">
      <w:pPr>
        <w:spacing w:before="0" w:after="160" w:line="259" w:lineRule="auto"/>
        <w:ind w:left="0"/>
        <w:jc w:val="left"/>
        <w:rPr>
          <w:rFonts w:eastAsia="Calibri" w:cs="Arial"/>
          <w:kern w:val="2"/>
          <w:lang w:val="nl-BE" w:eastAsia="en-US"/>
          <w14:ligatures w14:val="standardContextual"/>
        </w:rPr>
      </w:pPr>
      <w:r w:rsidRPr="00C7579C">
        <w:rPr>
          <w:rFonts w:eastAsia="Calibri" w:cs="Arial"/>
          <w:kern w:val="2"/>
          <w:lang w:val="nl-BE" w:eastAsia="en-US"/>
          <w14:ligatures w14:val="standardContextual"/>
        </w:rPr>
        <w:t xml:space="preserve">Het </w:t>
      </w:r>
      <w:r w:rsidRPr="00FC3C9E">
        <w:rPr>
          <w:rFonts w:eastAsia="Calibri" w:cs="Arial"/>
          <w:kern w:val="2"/>
          <w:lang w:val="nl-BE" w:eastAsia="en-US"/>
          <w14:ligatures w14:val="standardContextual"/>
        </w:rPr>
        <w:t xml:space="preserve">slagen in een op het niveau afgestemde capaciteitstest die beoordeelt of de kandidaat op het vooropgestelde niveau kan functioneren wordt gelijkgesteld met bovenvermelde diploma’s of attesten. </w:t>
      </w:r>
      <w:r w:rsidR="000D31B1" w:rsidRPr="00FC3C9E">
        <w:rPr>
          <w:rFonts w:eastAsia="Calibri" w:cs="Arial"/>
          <w:kern w:val="2"/>
          <w:lang w:val="nl-BE" w:eastAsia="en-US"/>
          <w14:ligatures w14:val="standardContextual"/>
        </w:rPr>
        <w:t>Het eventueel toepassen van een capaciteitstest wordt bepaald bij de openverklaring van de functie.</w:t>
      </w:r>
    </w:p>
    <w:p w14:paraId="4C7390C5" w14:textId="316F269A"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capaciteitstest </w:t>
      </w:r>
      <w:r w:rsidR="00407955">
        <w:rPr>
          <w:rFonts w:eastAsia="Calibri" w:cs="Arial"/>
          <w:kern w:val="2"/>
          <w:lang w:val="nl-BE" w:eastAsia="en-US"/>
          <w14:ligatures w14:val="standardContextual"/>
        </w:rPr>
        <w:t>wordt door</w:t>
      </w:r>
      <w:r w:rsidRPr="00037A46">
        <w:rPr>
          <w:rFonts w:eastAsia="Calibri" w:cs="Arial"/>
          <w:kern w:val="2"/>
          <w:lang w:val="nl-BE" w:eastAsia="en-US"/>
          <w14:ligatures w14:val="standardContextual"/>
        </w:rPr>
        <w:t xml:space="preserve"> een extern selectiebureau uitgevoerd. </w:t>
      </w:r>
      <w:r w:rsidR="00AB3B38">
        <w:rPr>
          <w:rFonts w:eastAsia="Calibri" w:cs="Arial"/>
          <w:kern w:val="2"/>
          <w:lang w:val="nl-BE" w:eastAsia="en-US"/>
          <w14:ligatures w14:val="standardContextual"/>
        </w:rPr>
        <w:t>Enkel indien de</w:t>
      </w:r>
      <w:r w:rsidR="00A750D2">
        <w:rPr>
          <w:rFonts w:eastAsia="Calibri" w:cs="Arial"/>
          <w:kern w:val="2"/>
          <w:lang w:val="nl-BE" w:eastAsia="en-US"/>
          <w14:ligatures w14:val="standardContextual"/>
        </w:rPr>
        <w:t xml:space="preserve"> niveau- of capac</w:t>
      </w:r>
      <w:r w:rsidR="00906E5F">
        <w:rPr>
          <w:rFonts w:eastAsia="Calibri" w:cs="Arial"/>
          <w:kern w:val="2"/>
          <w:lang w:val="nl-BE" w:eastAsia="en-US"/>
          <w14:ligatures w14:val="standardContextual"/>
        </w:rPr>
        <w:t>i</w:t>
      </w:r>
      <w:r w:rsidR="00A750D2">
        <w:rPr>
          <w:rFonts w:eastAsia="Calibri" w:cs="Arial"/>
          <w:kern w:val="2"/>
          <w:lang w:val="nl-BE" w:eastAsia="en-US"/>
          <w14:ligatures w14:val="standardContextual"/>
        </w:rPr>
        <w:t>teits</w:t>
      </w:r>
      <w:r w:rsidR="00D92F2A">
        <w:rPr>
          <w:rFonts w:eastAsia="Calibri" w:cs="Arial"/>
          <w:kern w:val="2"/>
          <w:lang w:val="nl-BE" w:eastAsia="en-US"/>
          <w14:ligatures w14:val="standardContextual"/>
        </w:rPr>
        <w:t xml:space="preserve">test een gunstig </w:t>
      </w:r>
      <w:r w:rsidR="009D38C6">
        <w:rPr>
          <w:rFonts w:eastAsia="Calibri" w:cs="Arial"/>
          <w:kern w:val="2"/>
          <w:lang w:val="nl-BE" w:eastAsia="en-US"/>
          <w14:ligatures w14:val="standardContextual"/>
        </w:rPr>
        <w:t>resultaat</w:t>
      </w:r>
      <w:r w:rsidR="001E4583">
        <w:rPr>
          <w:rFonts w:eastAsia="Calibri" w:cs="Arial"/>
          <w:kern w:val="2"/>
          <w:lang w:val="nl-BE" w:eastAsia="en-US"/>
          <w14:ligatures w14:val="standardContextual"/>
        </w:rPr>
        <w:t xml:space="preserve"> heeft, wordt de kandidaat toegelaten tot de </w:t>
      </w:r>
      <w:r w:rsidR="00906E5F">
        <w:rPr>
          <w:rFonts w:eastAsia="Calibri" w:cs="Arial"/>
          <w:kern w:val="2"/>
          <w:lang w:val="nl-BE" w:eastAsia="en-US"/>
          <w14:ligatures w14:val="standardContextual"/>
        </w:rPr>
        <w:t xml:space="preserve">verdere </w:t>
      </w:r>
      <w:r w:rsidR="001E4583">
        <w:rPr>
          <w:rFonts w:eastAsia="Calibri" w:cs="Arial"/>
          <w:kern w:val="2"/>
          <w:lang w:val="nl-BE" w:eastAsia="en-US"/>
          <w14:ligatures w14:val="standardContextual"/>
        </w:rPr>
        <w:t>algemene selectie</w:t>
      </w:r>
      <w:r w:rsidR="00D309FB">
        <w:rPr>
          <w:rFonts w:eastAsia="Calibri" w:cs="Arial"/>
          <w:kern w:val="2"/>
          <w:lang w:val="nl-BE" w:eastAsia="en-US"/>
          <w14:ligatures w14:val="standardContextual"/>
        </w:rPr>
        <w:t>.</w:t>
      </w:r>
    </w:p>
    <w:p w14:paraId="0885B268"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kandidaat die een attest of bewijs voorlegt waaruit blijkt dat hij voor eenzelfde of vergelijkbare functie bij dezelfde of een andere overheid al eerder geslaagd is voor een niveau- of capaciteitstest, behoudt gedurende 2 jaar na afname van de test het gunstig resultaat daarvan.</w:t>
      </w:r>
    </w:p>
    <w:p w14:paraId="57ADD07A" w14:textId="626B9093" w:rsidR="00FF263D" w:rsidRPr="00037A46" w:rsidRDefault="00FF263D" w:rsidP="00B44CF7">
      <w:pPr>
        <w:pStyle w:val="Kop2"/>
      </w:pPr>
      <w:bookmarkStart w:id="47" w:name="_Toc215738938"/>
      <w:r w:rsidRPr="00037A46">
        <w:t xml:space="preserve">Hoofdstuk </w:t>
      </w:r>
      <w:r w:rsidR="00B66F99">
        <w:t>II</w:t>
      </w:r>
      <w:r w:rsidRPr="00037A46">
        <w:t>. instroom</w:t>
      </w:r>
      <w:bookmarkEnd w:id="47"/>
      <w:r w:rsidRPr="00037A46">
        <w:t xml:space="preserve"> </w:t>
      </w:r>
    </w:p>
    <w:p w14:paraId="0FF3936D" w14:textId="0B59AE63" w:rsidR="00FF263D" w:rsidRPr="00CA3027" w:rsidRDefault="00FF263D" w:rsidP="00CA3027">
      <w:pPr>
        <w:pStyle w:val="Kop3"/>
      </w:pPr>
      <w:bookmarkStart w:id="48" w:name="_Toc215738939"/>
      <w:bookmarkStart w:id="49" w:name="_Hlk152835182"/>
      <w:bookmarkEnd w:id="44"/>
      <w:bookmarkEnd w:id="45"/>
      <w:r w:rsidRPr="00037A46">
        <w:t>Afdeling 1. algemene toelatingsvoorwaarden</w:t>
      </w:r>
      <w:bookmarkEnd w:id="48"/>
      <w:r w:rsidRPr="00037A46">
        <w:t xml:space="preserve"> </w:t>
      </w:r>
      <w:bookmarkEnd w:id="49"/>
    </w:p>
    <w:p w14:paraId="18F8A541" w14:textId="15E8683C" w:rsidR="00FF263D" w:rsidRPr="00037A46" w:rsidRDefault="00FF263D" w:rsidP="00FF263D">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5 </w:t>
      </w:r>
    </w:p>
    <w:p w14:paraId="0E3093E4" w14:textId="572CB9AB"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Kandidaten hebben toegang tot een functie bij een bestuur als ze voldoen aan de volgende voorwaarden: </w:t>
      </w:r>
    </w:p>
    <w:p w14:paraId="78A65483" w14:textId="77777777" w:rsidR="008F4135" w:rsidRPr="00037A46" w:rsidRDefault="008F4135" w:rsidP="009D4C40">
      <w:pPr>
        <w:numPr>
          <w:ilvl w:val="0"/>
          <w:numId w:val="61"/>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lastRenderedPageBreak/>
        <w:t xml:space="preserve">Ze vertonen een gedrag dat in overeenstemming is met de eisen van de functie waarvoor ze solliciteren; </w:t>
      </w:r>
    </w:p>
    <w:p w14:paraId="200518C2" w14:textId="77777777" w:rsidR="008F4135" w:rsidRPr="00037A46" w:rsidRDefault="008F4135" w:rsidP="00D346A2">
      <w:pPr>
        <w:spacing w:before="0" w:after="160" w:line="259" w:lineRule="auto"/>
        <w:ind w:left="0" w:firstLine="36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Het passend gedrag wordt getoetst aan de hand van een uittreksel uit het strafregister. </w:t>
      </w:r>
    </w:p>
    <w:p w14:paraId="7F96C47F" w14:textId="77777777" w:rsidR="008F4135" w:rsidRPr="00037A46" w:rsidRDefault="008F4135" w:rsidP="00D346A2">
      <w:pPr>
        <w:spacing w:before="0" w:after="160" w:line="259" w:lineRule="auto"/>
        <w:ind w:left="36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Als daarop ongunstige vermeldingen voorkomen, mag de kandidaat een schriftelijke toelichting daarover voorleggen.</w:t>
      </w:r>
    </w:p>
    <w:p w14:paraId="55FD4375" w14:textId="3F0416B5" w:rsidR="008F4135" w:rsidRPr="00037A46" w:rsidRDefault="00CC5D91" w:rsidP="00D346A2">
      <w:pPr>
        <w:spacing w:before="0" w:after="160" w:line="259" w:lineRule="auto"/>
        <w:ind w:left="360"/>
        <w:jc w:val="left"/>
        <w:rPr>
          <w:rFonts w:eastAsia="Calibri" w:cs="Arial"/>
          <w:kern w:val="2"/>
          <w:lang w:val="nl-BE" w:eastAsia="en-US"/>
          <w14:ligatures w14:val="standardContextual"/>
        </w:rPr>
      </w:pPr>
      <w:r>
        <w:rPr>
          <w:rFonts w:eastAsia="Calibri" w:cs="Arial"/>
          <w:kern w:val="2"/>
          <w:lang w:val="nl-BE" w:eastAsia="en-US"/>
          <w14:ligatures w14:val="standardContextual"/>
        </w:rPr>
        <w:t xml:space="preserve">Afhankelijk van de functie zal één van </w:t>
      </w:r>
      <w:r w:rsidR="00F13AF6">
        <w:rPr>
          <w:rFonts w:eastAsia="Calibri" w:cs="Arial"/>
          <w:kern w:val="2"/>
          <w:lang w:val="nl-BE" w:eastAsia="en-US"/>
          <w14:ligatures w14:val="standardContextual"/>
        </w:rPr>
        <w:t>v</w:t>
      </w:r>
      <w:r w:rsidR="008F4135" w:rsidRPr="00037A46">
        <w:rPr>
          <w:rFonts w:eastAsia="Calibri" w:cs="Arial"/>
          <w:kern w:val="2"/>
          <w:lang w:val="nl-BE" w:eastAsia="en-US"/>
          <w14:ligatures w14:val="standardContextual"/>
        </w:rPr>
        <w:t xml:space="preserve">olgende modellen van uittreksel uit het strafregister </w:t>
      </w:r>
      <w:r w:rsidR="00CF2B7A">
        <w:rPr>
          <w:rFonts w:eastAsia="Calibri" w:cs="Arial"/>
          <w:kern w:val="2"/>
          <w:lang w:val="nl-BE" w:eastAsia="en-US"/>
          <w14:ligatures w14:val="standardContextual"/>
        </w:rPr>
        <w:t>worden opgevraagd</w:t>
      </w:r>
      <w:r w:rsidR="008F4135" w:rsidRPr="00037A46">
        <w:rPr>
          <w:rFonts w:eastAsia="Calibri" w:cs="Arial"/>
          <w:kern w:val="2"/>
          <w:lang w:val="nl-BE" w:eastAsia="en-US"/>
          <w14:ligatures w14:val="standardContextual"/>
        </w:rPr>
        <w:t>:</w:t>
      </w:r>
    </w:p>
    <w:p w14:paraId="7011BB23" w14:textId="77777777" w:rsidR="008F4135" w:rsidRPr="00CF2B7A" w:rsidRDefault="008F4135" w:rsidP="009D4C40">
      <w:pPr>
        <w:pStyle w:val="Lijstalinea"/>
        <w:numPr>
          <w:ilvl w:val="0"/>
          <w:numId w:val="101"/>
        </w:numPr>
        <w:spacing w:before="0" w:after="160" w:line="259" w:lineRule="auto"/>
        <w:jc w:val="left"/>
        <w:rPr>
          <w:rFonts w:eastAsia="Calibri" w:cs="Arial"/>
          <w:kern w:val="2"/>
          <w:lang w:val="nl-BE" w:eastAsia="en-US"/>
          <w14:ligatures w14:val="standardContextual"/>
        </w:rPr>
      </w:pPr>
      <w:r w:rsidRPr="00CF2B7A">
        <w:rPr>
          <w:rFonts w:eastAsia="Calibri" w:cs="Arial"/>
          <w:kern w:val="2"/>
          <w:lang w:val="nl-BE" w:eastAsia="en-US"/>
          <w14:ligatures w14:val="standardContextual"/>
        </w:rPr>
        <w:t xml:space="preserve">Model 595, algemeen model (als er geen model 596-1 of 596-2 is) mag niet ouder zijn dan drie maanden </w:t>
      </w:r>
    </w:p>
    <w:p w14:paraId="73453389" w14:textId="77777777" w:rsidR="008F4135" w:rsidRPr="00CF2B7A" w:rsidRDefault="008F4135" w:rsidP="009D4C40">
      <w:pPr>
        <w:pStyle w:val="Lijstalinea"/>
        <w:numPr>
          <w:ilvl w:val="0"/>
          <w:numId w:val="101"/>
        </w:numPr>
        <w:spacing w:before="0" w:after="160" w:line="259" w:lineRule="auto"/>
        <w:jc w:val="left"/>
        <w:rPr>
          <w:rFonts w:eastAsia="Calibri" w:cs="Arial"/>
          <w:kern w:val="2"/>
          <w:lang w:val="nl-BE" w:eastAsia="en-US"/>
          <w14:ligatures w14:val="standardContextual"/>
        </w:rPr>
      </w:pPr>
      <w:r w:rsidRPr="00CF2B7A">
        <w:rPr>
          <w:rFonts w:eastAsia="Calibri" w:cs="Arial"/>
          <w:kern w:val="2"/>
          <w:lang w:val="nl-BE" w:eastAsia="en-US"/>
          <w14:ligatures w14:val="standardContextual"/>
        </w:rPr>
        <w:t>Model 596-1 model voor gereglementeerde activiteiten (o.a. GAS-ambtenaar of gemeenschapswacht) mag het niet ouder zijn dan drie maanden</w:t>
      </w:r>
    </w:p>
    <w:p w14:paraId="40D6F87E" w14:textId="77777777" w:rsidR="008F4135" w:rsidRPr="00CF2B7A" w:rsidRDefault="008F4135" w:rsidP="009D4C40">
      <w:pPr>
        <w:pStyle w:val="Lijstalinea"/>
        <w:numPr>
          <w:ilvl w:val="0"/>
          <w:numId w:val="101"/>
        </w:numPr>
        <w:spacing w:before="0" w:after="160" w:line="259" w:lineRule="auto"/>
        <w:jc w:val="left"/>
        <w:rPr>
          <w:rFonts w:eastAsia="Calibri" w:cs="Arial"/>
          <w:kern w:val="2"/>
          <w:lang w:val="nl-BE" w:eastAsia="en-US"/>
          <w14:ligatures w14:val="standardContextual"/>
        </w:rPr>
      </w:pPr>
      <w:r w:rsidRPr="00CF2B7A">
        <w:rPr>
          <w:rFonts w:eastAsia="Calibri" w:cs="Arial"/>
          <w:kern w:val="2"/>
          <w:lang w:val="nl-BE" w:eastAsia="en-US"/>
          <w14:ligatures w14:val="standardContextual"/>
        </w:rPr>
        <w:t xml:space="preserve">Model 596-2 model voor het uitoefenen van ‘een activiteit die onder opvoeding, </w:t>
      </w:r>
      <w:proofErr w:type="spellStart"/>
      <w:r w:rsidRPr="00CF2B7A">
        <w:rPr>
          <w:rFonts w:eastAsia="Calibri" w:cs="Arial"/>
          <w:kern w:val="2"/>
          <w:lang w:val="nl-BE" w:eastAsia="en-US"/>
          <w14:ligatures w14:val="standardContextual"/>
        </w:rPr>
        <w:t>psycho</w:t>
      </w:r>
      <w:proofErr w:type="spellEnd"/>
      <w:r w:rsidRPr="00CF2B7A">
        <w:rPr>
          <w:rFonts w:eastAsia="Calibri" w:cs="Arial"/>
          <w:kern w:val="2"/>
          <w:lang w:val="nl-BE" w:eastAsia="en-US"/>
          <w14:ligatures w14:val="standardContextual"/>
        </w:rPr>
        <w:t>-medisch-sociale begeleiding, hulpverlening aan de jeugd, kinderbescherming, animatie of begeleiding van minderjarigen valt’, mag niet ouder zijn dan één maand.</w:t>
      </w:r>
    </w:p>
    <w:p w14:paraId="1207DF01" w14:textId="77777777" w:rsidR="008F4135" w:rsidRPr="00037A46" w:rsidRDefault="008F4135" w:rsidP="009D4C40">
      <w:pPr>
        <w:numPr>
          <w:ilvl w:val="0"/>
          <w:numId w:val="61"/>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Ze genieten de burgerlijke en politieke rechten; </w:t>
      </w:r>
    </w:p>
    <w:p w14:paraId="5302EC0C" w14:textId="77777777" w:rsidR="008F4135" w:rsidRPr="00037A46" w:rsidRDefault="008F4135" w:rsidP="008F4135">
      <w:pPr>
        <w:spacing w:before="0" w:after="160" w:line="259" w:lineRule="auto"/>
        <w:ind w:left="360"/>
        <w:contextualSpacing/>
        <w:jc w:val="left"/>
        <w:rPr>
          <w:rFonts w:eastAsia="Calibri" w:cs="Arial"/>
          <w:kern w:val="2"/>
          <w:lang w:val="nl-BE" w:eastAsia="en-US"/>
          <w14:ligatures w14:val="standardContextual"/>
        </w:rPr>
      </w:pPr>
    </w:p>
    <w:p w14:paraId="32267B86" w14:textId="77777777" w:rsidR="008F4135" w:rsidRPr="00037A46" w:rsidRDefault="008F4135" w:rsidP="009D4C40">
      <w:pPr>
        <w:numPr>
          <w:ilvl w:val="0"/>
          <w:numId w:val="61"/>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Voor een statutaire functie: de kandidaten hebben de Belgische nationaliteit als de uit te oefenen functie een rechtstreekse of onrechtstreekse deelname aan de uitoefening van het openbaar gezag inhoudt of werkzaamheden omvat die strekken tot de bescherming van de belangen van het bestuur. </w:t>
      </w:r>
    </w:p>
    <w:p w14:paraId="095DA47E" w14:textId="77777777" w:rsidR="008F4135" w:rsidRPr="00037A46" w:rsidRDefault="008F4135" w:rsidP="008F4135">
      <w:pPr>
        <w:spacing w:before="0" w:after="160" w:line="259" w:lineRule="auto"/>
        <w:ind w:left="720"/>
        <w:contextualSpacing/>
        <w:jc w:val="left"/>
        <w:rPr>
          <w:rFonts w:eastAsia="Calibri" w:cs="Arial"/>
          <w:kern w:val="2"/>
          <w:lang w:val="nl-BE" w:eastAsia="en-US"/>
          <w14:ligatures w14:val="standardContextual"/>
        </w:rPr>
      </w:pPr>
    </w:p>
    <w:p w14:paraId="687C1CF5" w14:textId="77777777" w:rsidR="008F4135" w:rsidRPr="00037A46" w:rsidRDefault="008F4135" w:rsidP="008F4135">
      <w:pPr>
        <w:spacing w:before="0" w:after="160" w:line="259" w:lineRule="auto"/>
        <w:ind w:left="360"/>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In de andere gevallen hebben de kandidaten de Belgische nationaliteit of zijn ze burger van een lidstaat van de Europese Economische Ruimte of van de Zwitserse Bondsstaat; </w:t>
      </w:r>
    </w:p>
    <w:p w14:paraId="7C6FE321" w14:textId="77777777" w:rsidR="008F4135" w:rsidRPr="00037A46" w:rsidRDefault="008F4135" w:rsidP="008F4135">
      <w:pPr>
        <w:spacing w:before="0" w:after="160" w:line="259" w:lineRule="auto"/>
        <w:ind w:left="360"/>
        <w:contextualSpacing/>
        <w:jc w:val="left"/>
        <w:rPr>
          <w:rFonts w:eastAsia="Calibri" w:cs="Arial"/>
          <w:kern w:val="2"/>
          <w:lang w:val="nl-BE" w:eastAsia="en-US"/>
          <w14:ligatures w14:val="standardContextual"/>
        </w:rPr>
      </w:pPr>
    </w:p>
    <w:p w14:paraId="6B695A0E" w14:textId="77777777" w:rsidR="008F4135" w:rsidRPr="00037A46" w:rsidRDefault="008F4135" w:rsidP="009D4C40">
      <w:pPr>
        <w:numPr>
          <w:ilvl w:val="0"/>
          <w:numId w:val="61"/>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Voor een contractuele functie: de kandidaten hebben de Belgische nationaliteit als de uit te oefenen functie een rechtstreekse of onrechtstreekse deelname aan de uitoefening van het openbaar gezag inhoudt of werkzaamheden omvat die strekken tot de bescherming van de belangen van het bestuur. </w:t>
      </w:r>
    </w:p>
    <w:p w14:paraId="43B0A8AC" w14:textId="77777777" w:rsidR="008F4135" w:rsidRPr="00037A46" w:rsidRDefault="008F4135" w:rsidP="008F4135">
      <w:pPr>
        <w:spacing w:before="0" w:after="160" w:line="259" w:lineRule="auto"/>
        <w:ind w:left="36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contractuele functies zijn slechts toegankelijk voor kandidaten die tot het wettige verblijf in België zijn toegelaten en een algemene toegang hebben tot de arbeidsmarkt</w:t>
      </w:r>
    </w:p>
    <w:p w14:paraId="1B0222D1" w14:textId="231DF23D" w:rsidR="00FF263D" w:rsidRPr="00037A46" w:rsidRDefault="00FF263D" w:rsidP="00FF263D">
      <w:pPr>
        <w:pStyle w:val="Kop3"/>
      </w:pPr>
      <w:bookmarkStart w:id="50" w:name="_Toc215738940"/>
      <w:r w:rsidRPr="00037A46">
        <w:t>Afdeling 2. algemene en specifieke of aanvullende aanwervingsvoorwaarden</w:t>
      </w:r>
      <w:bookmarkEnd w:id="50"/>
      <w:r w:rsidRPr="00037A46">
        <w:t xml:space="preserve"> </w:t>
      </w:r>
    </w:p>
    <w:p w14:paraId="15078B14" w14:textId="77777777" w:rsidR="00FF263D" w:rsidRPr="00037A46" w:rsidRDefault="00FF263D" w:rsidP="008F4135">
      <w:pPr>
        <w:spacing w:before="0" w:after="160" w:line="259" w:lineRule="auto"/>
        <w:ind w:left="0"/>
        <w:jc w:val="left"/>
        <w:rPr>
          <w:rFonts w:eastAsia="Calibri" w:cs="Arial"/>
          <w:b/>
          <w:bCs/>
          <w:kern w:val="2"/>
          <w:lang w:val="nl-BE" w:eastAsia="en-US"/>
          <w14:ligatures w14:val="standardContextual"/>
        </w:rPr>
      </w:pPr>
    </w:p>
    <w:p w14:paraId="1CDF925D" w14:textId="5BF65AD5" w:rsidR="008F4135" w:rsidRPr="00037A46" w:rsidRDefault="008F4135" w:rsidP="008F4135">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6 </w:t>
      </w:r>
    </w:p>
    <w:p w14:paraId="10BCAFD8"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§1 Kandidaten komen in aanmerking voor aanwerving als ze voldoen aan de volgende minimale voorwaarden: </w:t>
      </w:r>
    </w:p>
    <w:p w14:paraId="31B2991B" w14:textId="77777777" w:rsidR="008F4135" w:rsidRPr="00037A46" w:rsidRDefault="008F4135" w:rsidP="009D4C40">
      <w:pPr>
        <w:numPr>
          <w:ilvl w:val="0"/>
          <w:numId w:val="62"/>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Ze beschikken over de vereiste taalkennis, vermeld in artikel 15, §1 en §2, van de wetten op het gebruik van de talen in bestuurszaken, gecoördineerd op 18 juli 1966; </w:t>
      </w:r>
    </w:p>
    <w:p w14:paraId="2BA87E05" w14:textId="2D7F3D9C" w:rsidR="008F4135" w:rsidRPr="00037A46" w:rsidRDefault="008F4135" w:rsidP="009D4C40">
      <w:pPr>
        <w:numPr>
          <w:ilvl w:val="0"/>
          <w:numId w:val="62"/>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Met behoud van de toepassing van deze rechtspositieregeling, slagen de kandidaten voor de selectieprocedure, vermeld in </w:t>
      </w:r>
      <w:r w:rsidRPr="00B1267C">
        <w:rPr>
          <w:rFonts w:eastAsia="Calibri" w:cs="Arial"/>
          <w:bCs/>
          <w:kern w:val="2"/>
          <w:lang w:val="nl-BE" w:eastAsia="en-US"/>
          <w14:ligatures w14:val="standardContextual"/>
        </w:rPr>
        <w:t xml:space="preserve">artikel </w:t>
      </w:r>
      <w:r w:rsidR="003943B3" w:rsidRPr="00B1267C">
        <w:rPr>
          <w:rFonts w:eastAsia="Calibri" w:cs="Arial"/>
          <w:bCs/>
          <w:kern w:val="2"/>
          <w:lang w:val="nl-BE" w:eastAsia="en-US"/>
          <w14:ligatures w14:val="standardContextual"/>
        </w:rPr>
        <w:t>1</w:t>
      </w:r>
      <w:r w:rsidR="00B1267C" w:rsidRPr="00B1267C">
        <w:rPr>
          <w:rFonts w:eastAsia="Calibri" w:cs="Arial"/>
          <w:bCs/>
          <w:kern w:val="2"/>
          <w:lang w:val="nl-BE" w:eastAsia="en-US"/>
          <w14:ligatures w14:val="standardContextual"/>
        </w:rPr>
        <w:t>1</w:t>
      </w:r>
      <w:r w:rsidRPr="00B1267C">
        <w:rPr>
          <w:rFonts w:eastAsia="Calibri" w:cs="Arial"/>
          <w:kern w:val="2"/>
          <w:lang w:val="nl-BE" w:eastAsia="en-US"/>
          <w14:ligatures w14:val="standardContextual"/>
        </w:rPr>
        <w:t xml:space="preserve"> van</w:t>
      </w:r>
      <w:r w:rsidRPr="00037A46">
        <w:rPr>
          <w:rFonts w:eastAsia="Calibri" w:cs="Arial"/>
          <w:kern w:val="2"/>
          <w:lang w:val="nl-BE" w:eastAsia="en-US"/>
          <w14:ligatures w14:val="standardContextual"/>
        </w:rPr>
        <w:t xml:space="preserve"> deze rechtspositieregeling; </w:t>
      </w:r>
    </w:p>
    <w:p w14:paraId="79F75E27" w14:textId="4AE81632" w:rsidR="008F4135" w:rsidRPr="00037A46" w:rsidRDefault="008F4135" w:rsidP="009D4C40">
      <w:pPr>
        <w:numPr>
          <w:ilvl w:val="0"/>
          <w:numId w:val="62"/>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kandidaten voldoen aan de diplomavereiste voor het </w:t>
      </w:r>
      <w:r w:rsidRPr="00FC3C9E">
        <w:rPr>
          <w:rFonts w:eastAsia="Calibri" w:cs="Arial"/>
          <w:kern w:val="2"/>
          <w:lang w:val="nl-BE" w:eastAsia="en-US"/>
          <w14:ligatures w14:val="standardContextual"/>
        </w:rPr>
        <w:t xml:space="preserve">niveau waarin de functie zich situeert </w:t>
      </w:r>
      <w:r w:rsidR="00D346A2" w:rsidRPr="00FC3C9E">
        <w:rPr>
          <w:rFonts w:eastAsia="Calibri" w:cs="Arial"/>
          <w:kern w:val="2"/>
          <w:lang w:val="nl-BE" w:eastAsia="en-US"/>
          <w14:ligatures w14:val="standardContextual"/>
        </w:rPr>
        <w:t>(of slagen voor de capaciteitstest</w:t>
      </w:r>
      <w:r w:rsidR="000D31B1" w:rsidRPr="00FC3C9E">
        <w:rPr>
          <w:rFonts w:eastAsia="Calibri" w:cs="Arial"/>
          <w:kern w:val="2"/>
          <w:lang w:val="nl-BE" w:eastAsia="en-US"/>
          <w14:ligatures w14:val="standardContextual"/>
        </w:rPr>
        <w:t xml:space="preserve"> indien van toepassing</w:t>
      </w:r>
      <w:r w:rsidR="00D346A2" w:rsidRPr="00FC3C9E">
        <w:rPr>
          <w:rFonts w:eastAsia="Calibri" w:cs="Arial"/>
          <w:kern w:val="2"/>
          <w:lang w:val="nl-BE" w:eastAsia="en-US"/>
          <w14:ligatures w14:val="standardContextual"/>
        </w:rPr>
        <w:t xml:space="preserve">) </w:t>
      </w:r>
      <w:r w:rsidRPr="00FC3C9E">
        <w:rPr>
          <w:rFonts w:eastAsia="Calibri" w:cs="Arial"/>
          <w:kern w:val="2"/>
          <w:lang w:val="nl-BE" w:eastAsia="en-US"/>
          <w14:ligatures w14:val="standardContextual"/>
        </w:rPr>
        <w:t>of aan</w:t>
      </w:r>
      <w:r w:rsidRPr="00037A46">
        <w:rPr>
          <w:rFonts w:eastAsia="Calibri" w:cs="Arial"/>
          <w:kern w:val="2"/>
          <w:lang w:val="nl-BE" w:eastAsia="en-US"/>
          <w14:ligatures w14:val="standardContextual"/>
        </w:rPr>
        <w:t xml:space="preserve"> de ervaringsvereiste.</w:t>
      </w:r>
    </w:p>
    <w:p w14:paraId="21E4044B" w14:textId="539A7198" w:rsidR="008F4135" w:rsidRPr="00037A46" w:rsidRDefault="00767367" w:rsidP="009D4C40">
      <w:pPr>
        <w:numPr>
          <w:ilvl w:val="0"/>
          <w:numId w:val="62"/>
        </w:numPr>
        <w:spacing w:before="0" w:after="160" w:line="259" w:lineRule="auto"/>
        <w:contextualSpacing/>
        <w:jc w:val="left"/>
        <w:rPr>
          <w:rFonts w:eastAsia="Calibri" w:cs="Arial"/>
          <w:kern w:val="2"/>
          <w:lang w:val="nl-BE" w:eastAsia="en-US"/>
          <w14:ligatures w14:val="standardContextual"/>
        </w:rPr>
      </w:pPr>
      <w:r>
        <w:rPr>
          <w:rFonts w:eastAsia="Calibri" w:cs="Arial"/>
          <w:kern w:val="2"/>
          <w:lang w:val="nl-BE" w:eastAsia="en-US"/>
          <w14:ligatures w14:val="standardContextual"/>
        </w:rPr>
        <w:t>I</w:t>
      </w:r>
      <w:r w:rsidR="008F4135" w:rsidRPr="00037A46">
        <w:rPr>
          <w:rFonts w:eastAsia="Calibri" w:cs="Arial"/>
          <w:kern w:val="2"/>
          <w:lang w:val="nl-BE" w:eastAsia="en-US"/>
          <w14:ligatures w14:val="standardContextual"/>
        </w:rPr>
        <w:t>n voorkomend geval, beschikken de kandidaten over het diploma vereist door de hogere overheid om de functie te mogen uitoefenen.</w:t>
      </w:r>
    </w:p>
    <w:p w14:paraId="6DBD3FE3" w14:textId="77777777" w:rsidR="0083413B" w:rsidRDefault="0083413B" w:rsidP="008F4135">
      <w:pPr>
        <w:spacing w:before="0" w:after="160" w:line="259" w:lineRule="auto"/>
        <w:ind w:left="0"/>
        <w:jc w:val="left"/>
        <w:rPr>
          <w:rFonts w:eastAsia="Calibri" w:cs="Arial"/>
          <w:kern w:val="2"/>
          <w:lang w:val="nl-BE" w:eastAsia="en-US"/>
          <w14:ligatures w14:val="standardContextual"/>
        </w:rPr>
      </w:pPr>
    </w:p>
    <w:p w14:paraId="1BC1FF42" w14:textId="44117B8A"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lastRenderedPageBreak/>
        <w:t>§ 2 De aanstellende overheid kan, indien nodig of gewenst, op een objectieve en gemotiveerde basis volgende aanvullende aanwervingsvoorwaarden vaststellen:</w:t>
      </w:r>
    </w:p>
    <w:p w14:paraId="14A16B2D" w14:textId="77777777" w:rsidR="008F4135" w:rsidRPr="00037A46" w:rsidRDefault="008F4135" w:rsidP="009D4C40">
      <w:pPr>
        <w:numPr>
          <w:ilvl w:val="0"/>
          <w:numId w:val="59"/>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een aantal jaren relevante beroepservaring, al dan niet in een bepaalde functie; </w:t>
      </w:r>
    </w:p>
    <w:p w14:paraId="0F994B6F" w14:textId="3D430255" w:rsidR="008F4135" w:rsidRPr="00037A46" w:rsidRDefault="008F4135" w:rsidP="009D4C40">
      <w:pPr>
        <w:numPr>
          <w:ilvl w:val="0"/>
          <w:numId w:val="59"/>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bepaalde diploma’s, getuigschriften, </w:t>
      </w:r>
      <w:r w:rsidRPr="00FC3C9E">
        <w:rPr>
          <w:rFonts w:eastAsia="Calibri" w:cs="Arial"/>
          <w:kern w:val="2"/>
          <w:lang w:val="nl-BE" w:eastAsia="en-US"/>
          <w14:ligatures w14:val="standardContextual"/>
        </w:rPr>
        <w:t>attesten</w:t>
      </w:r>
      <w:r w:rsidR="000D31B1" w:rsidRPr="00FC3C9E">
        <w:rPr>
          <w:rFonts w:eastAsia="Calibri" w:cs="Arial"/>
          <w:kern w:val="2"/>
          <w:lang w:val="nl-BE" w:eastAsia="en-US"/>
          <w14:ligatures w14:val="standardContextual"/>
        </w:rPr>
        <w:t>, rijbewijzen</w:t>
      </w:r>
      <w:r w:rsidRPr="00FC3C9E">
        <w:rPr>
          <w:rFonts w:eastAsia="Calibri" w:cs="Arial"/>
          <w:kern w:val="2"/>
          <w:lang w:val="nl-BE" w:eastAsia="en-US"/>
          <w14:ligatures w14:val="standardContextual"/>
        </w:rPr>
        <w:t xml:space="preserve"> of brevetten</w:t>
      </w:r>
      <w:r w:rsidRPr="00037A46">
        <w:rPr>
          <w:rFonts w:eastAsia="Calibri" w:cs="Arial"/>
          <w:kern w:val="2"/>
          <w:lang w:val="nl-BE" w:eastAsia="en-US"/>
          <w14:ligatures w14:val="standardContextual"/>
        </w:rPr>
        <w:t xml:space="preserve">; </w:t>
      </w:r>
    </w:p>
    <w:p w14:paraId="7FC3191E"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aanstellende overheid beoordeelt de geldigheid van de ingediende kandidaturen en de voorgelegde bewijzen, tenzij de raad de aanstellende overheid is. In dat geval beoordeelt het college van burgemeester en schepenen/vast bureau de geldigheid.</w:t>
      </w:r>
    </w:p>
    <w:p w14:paraId="7AA79D63" w14:textId="77777777" w:rsidR="008F4135" w:rsidRDefault="008F4135" w:rsidP="008F4135">
      <w:pPr>
        <w:ind w:left="0"/>
        <w:rPr>
          <w:rFonts w:eastAsia="Calibri" w:cs="Arial"/>
          <w:kern w:val="2"/>
          <w:lang w:val="nl-BE" w:eastAsia="en-US"/>
          <w14:ligatures w14:val="standardContextual"/>
        </w:rPr>
      </w:pPr>
      <w:r w:rsidRPr="00037A46">
        <w:rPr>
          <w:rFonts w:eastAsia="Calibri" w:cs="Arial"/>
          <w:kern w:val="2"/>
          <w:lang w:val="nl-BE" w:eastAsia="en-US"/>
          <w14:ligatures w14:val="standardContextual"/>
        </w:rPr>
        <w:t>Alleen kandidaten die voldoen aan de voorwaarden, worden toegelaten tot de selectieprocedure. Voor de aanvang van de selectieprocedure worden de kandidaten die niet tot de selectieprocedure worden toegelaten er schriftelijk van op de hoogte gebracht met vermelding van de reden tot weigering.</w:t>
      </w:r>
    </w:p>
    <w:p w14:paraId="14AE4F42" w14:textId="65AA3018" w:rsidR="00FE227B" w:rsidRPr="00512E34" w:rsidRDefault="00FE227B" w:rsidP="008F4135">
      <w:pPr>
        <w:spacing w:before="0" w:after="160" w:line="259" w:lineRule="auto"/>
        <w:ind w:left="0"/>
        <w:jc w:val="left"/>
        <w:rPr>
          <w:rFonts w:eastAsia="Calibri" w:cs="Arial"/>
          <w:kern w:val="2"/>
          <w:lang w:val="nl-BE" w:eastAsia="en-US"/>
          <w14:ligatures w14:val="standardContextual"/>
        </w:rPr>
      </w:pPr>
      <w:r w:rsidRPr="00512E34">
        <w:rPr>
          <w:rFonts w:eastAsia="Calibri" w:cs="Arial"/>
          <w:kern w:val="2"/>
          <w:lang w:val="nl-BE" w:eastAsia="en-US"/>
          <w14:ligatures w14:val="standardContextual"/>
        </w:rPr>
        <w:t>Laatstejaarsscholieren of -studenten worden toegelaten tot de selectieprocedure als ze met hun kandidatuur een studiebewijs voorleggen. Ze leveren het bewijs dat ze aan de diplomavereiste voldoen uiterlijk op de datum van hun aanstelling bi</w:t>
      </w:r>
      <w:r w:rsidR="00512E34">
        <w:rPr>
          <w:rFonts w:eastAsia="Calibri" w:cs="Arial"/>
          <w:kern w:val="2"/>
          <w:lang w:val="nl-BE" w:eastAsia="en-US"/>
          <w14:ligatures w14:val="standardContextual"/>
        </w:rPr>
        <w:t>j het bestuur</w:t>
      </w:r>
      <w:r w:rsidRPr="00512E34">
        <w:rPr>
          <w:rFonts w:eastAsia="Calibri" w:cs="Arial"/>
          <w:kern w:val="2"/>
          <w:lang w:val="nl-BE" w:eastAsia="en-US"/>
          <w14:ligatures w14:val="standardContextual"/>
        </w:rPr>
        <w:t>.</w:t>
      </w:r>
    </w:p>
    <w:p w14:paraId="474331AD" w14:textId="6980FE72" w:rsidR="008F4135" w:rsidRPr="00037A46" w:rsidRDefault="008F4135" w:rsidP="008F4135">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7 </w:t>
      </w:r>
    </w:p>
    <w:p w14:paraId="5775B9C6"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In afwijking </w:t>
      </w:r>
      <w:r w:rsidRPr="00B1267C">
        <w:rPr>
          <w:rFonts w:eastAsia="Calibri" w:cs="Arial"/>
          <w:kern w:val="2"/>
          <w:lang w:val="nl-BE" w:eastAsia="en-US"/>
          <w14:ligatures w14:val="standardContextual"/>
        </w:rPr>
        <w:t>van artikel 6, 2°, is het</w:t>
      </w:r>
      <w:r w:rsidRPr="00037A46">
        <w:rPr>
          <w:rFonts w:eastAsia="Calibri" w:cs="Arial"/>
          <w:kern w:val="2"/>
          <w:lang w:val="nl-BE" w:eastAsia="en-US"/>
          <w14:ligatures w14:val="standardContextual"/>
        </w:rPr>
        <w:t xml:space="preserve"> personeelslid dat in een deeltijdse functie werkt nadat het geslaagd is voor selectieproeven voor die functie, vrijgesteld van nieuwe selectieproeven als de wekelijkse prestaties binnen die functie uitgebreid worden of als die functie voltijds wordt.</w:t>
      </w:r>
    </w:p>
    <w:p w14:paraId="651EAC15" w14:textId="77777777" w:rsidR="008F4135" w:rsidRPr="00037A46" w:rsidRDefault="008F4135" w:rsidP="008F4135">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8 </w:t>
      </w:r>
    </w:p>
    <w:p w14:paraId="64BC88F4"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Een kandidaat voor de functie van algemeen directeur, adjunct-algemeen directeur die door aanwerving wordt ingevuld, is houder van een diploma dat toegang geeft tot niveau A. </w:t>
      </w:r>
    </w:p>
    <w:p w14:paraId="2FDEE4FD" w14:textId="2A5AF3DA"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selectie voor de aanwerving in de functie van algemeen directeur wordt volledig uitbesteed aan een extern selectiebureau. De selectiecriteria en selectietechnieken zijn afgestemd op de functiebeschrijving. De selectie voor de functie van algemeen directeur bevat in elk geval een test die de management- en leiderschapscapaciteiten van de kandidaten toetst. </w:t>
      </w:r>
    </w:p>
    <w:p w14:paraId="15038A6A"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Een kandidaat voor de functie van financieel directeur die door aanwerving wordt ingevuld, is houder van een diploma dat toegang geeft tot niveau A. </w:t>
      </w:r>
    </w:p>
    <w:p w14:paraId="43E1C971" w14:textId="1EE0A075"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selectie voor de aanwerving in de functie van financieel directeur wordt volledig uitbesteed aan een extern selectiebureau. De selectiecriteria en selectietechnieken zijn afgestemd op de functiebeschrijving. De selectie voor de functie van financieel directeur bevat in elk geval een proef die het financieel-economisch inzicht van de kandidaten toetst.</w:t>
      </w:r>
    </w:p>
    <w:p w14:paraId="47F9D216" w14:textId="70BBA666" w:rsidR="008F4135" w:rsidRPr="00037A46" w:rsidRDefault="00415336" w:rsidP="00415336">
      <w:pPr>
        <w:pStyle w:val="Kop3"/>
      </w:pPr>
      <w:bookmarkStart w:id="51" w:name="_Toc215738941"/>
      <w:r w:rsidRPr="00037A46">
        <w:t>Afdeling 3. wijze van bekendmaking</w:t>
      </w:r>
      <w:bookmarkStart w:id="52" w:name="_Hlk152835342"/>
      <w:bookmarkEnd w:id="51"/>
    </w:p>
    <w:bookmarkEnd w:id="52"/>
    <w:p w14:paraId="55FD6E42" w14:textId="77777777" w:rsidR="008F4135" w:rsidRPr="00037A46" w:rsidRDefault="008F4135" w:rsidP="008F4135">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9 </w:t>
      </w:r>
    </w:p>
    <w:p w14:paraId="767BB2C3"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Vóór elke aanwerving wordt de functie die wordt ingevuld zowel intern als extern bekendgemaakt met een oproep tot kandidaten. </w:t>
      </w:r>
    </w:p>
    <w:p w14:paraId="66CB3E80" w14:textId="55F8135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vacatures worden beknopt in de vorm van een vacaturebericht </w:t>
      </w:r>
      <w:bookmarkStart w:id="53" w:name="_Hlk146699038"/>
      <w:r w:rsidRPr="00037A46">
        <w:rPr>
          <w:rFonts w:eastAsia="Calibri" w:cs="Arial"/>
          <w:kern w:val="2"/>
          <w:lang w:val="nl-BE" w:eastAsia="en-US"/>
          <w14:ligatures w14:val="standardContextual"/>
        </w:rPr>
        <w:t>ten minste in één communicatiekanaal</w:t>
      </w:r>
      <w:bookmarkEnd w:id="53"/>
      <w:r w:rsidRPr="00037A46">
        <w:rPr>
          <w:rFonts w:eastAsia="Calibri" w:cs="Arial"/>
          <w:kern w:val="2"/>
          <w:lang w:val="nl-BE" w:eastAsia="en-US"/>
          <w14:ligatures w14:val="standardContextual"/>
        </w:rPr>
        <w:t xml:space="preserve">, zoals een </w:t>
      </w:r>
      <w:proofErr w:type="spellStart"/>
      <w:r w:rsidRPr="00037A46">
        <w:rPr>
          <w:rFonts w:eastAsia="Calibri" w:cs="Arial"/>
          <w:kern w:val="2"/>
          <w:lang w:val="nl-BE" w:eastAsia="en-US"/>
          <w14:ligatures w14:val="standardContextual"/>
        </w:rPr>
        <w:t>social</w:t>
      </w:r>
      <w:proofErr w:type="spellEnd"/>
      <w:r w:rsidRPr="00037A46">
        <w:rPr>
          <w:rFonts w:eastAsia="Calibri" w:cs="Arial"/>
          <w:kern w:val="2"/>
          <w:lang w:val="nl-BE" w:eastAsia="en-US"/>
          <w14:ligatures w14:val="standardContextual"/>
        </w:rPr>
        <w:t xml:space="preserve"> </w:t>
      </w:r>
      <w:r w:rsidR="000B17AD" w:rsidRPr="00037A46">
        <w:rPr>
          <w:rFonts w:eastAsia="Calibri" w:cs="Arial"/>
          <w:kern w:val="2"/>
          <w:lang w:val="nl-BE" w:eastAsia="en-US"/>
          <w14:ligatures w14:val="standardContextual"/>
        </w:rPr>
        <w:t>mediakanaal</w:t>
      </w:r>
      <w:r w:rsidRPr="00037A46">
        <w:rPr>
          <w:rFonts w:eastAsia="Calibri" w:cs="Arial"/>
          <w:kern w:val="2"/>
          <w:lang w:val="nl-BE" w:eastAsia="en-US"/>
          <w14:ligatures w14:val="standardContextual"/>
        </w:rPr>
        <w:t xml:space="preserve"> of online wervingskanaal, bekendgemaakt. </w:t>
      </w:r>
    </w:p>
    <w:p w14:paraId="1E29A3D9" w14:textId="6F0FD43A"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Volgende informatie wordt op de webpagina van het bestuur ter beschikking gesteld van de kandidaten: </w:t>
      </w:r>
    </w:p>
    <w:p w14:paraId="3E7F832A" w14:textId="405D080A" w:rsidR="008F4135" w:rsidRPr="00037A46" w:rsidRDefault="008F4135" w:rsidP="009D4C40">
      <w:pPr>
        <w:numPr>
          <w:ilvl w:val="0"/>
          <w:numId w:val="6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naam van de betrekking</w:t>
      </w:r>
      <w:r w:rsidR="00CE52BE">
        <w:rPr>
          <w:rFonts w:eastAsia="Calibri" w:cs="Arial"/>
          <w:kern w:val="2"/>
          <w:lang w:val="nl-BE" w:eastAsia="en-US"/>
          <w14:ligatures w14:val="standardContextual"/>
        </w:rPr>
        <w:t>;</w:t>
      </w:r>
    </w:p>
    <w:p w14:paraId="3CD7B91A" w14:textId="77777777" w:rsidR="008F4135" w:rsidRPr="00037A46" w:rsidRDefault="008F4135" w:rsidP="009D4C40">
      <w:pPr>
        <w:numPr>
          <w:ilvl w:val="0"/>
          <w:numId w:val="6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wijze van en termijn voor de kandidaatstelling; </w:t>
      </w:r>
    </w:p>
    <w:p w14:paraId="3AE4E1ED" w14:textId="77777777" w:rsidR="008F4135" w:rsidRPr="00037A46" w:rsidRDefault="008F4135" w:rsidP="009D4C40">
      <w:pPr>
        <w:numPr>
          <w:ilvl w:val="0"/>
          <w:numId w:val="6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lastRenderedPageBreak/>
        <w:t>de aard (statutair dan wel contractueel), het prestatieregime (voltijds dan wel deeltijds) en de duurtijd van de tewerkstelling;</w:t>
      </w:r>
    </w:p>
    <w:p w14:paraId="79BC25DF" w14:textId="77777777" w:rsidR="008F4135" w:rsidRPr="00037A46" w:rsidRDefault="008F4135" w:rsidP="009D4C40">
      <w:pPr>
        <w:numPr>
          <w:ilvl w:val="0"/>
          <w:numId w:val="6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functievereisten en functievoorwaarden; </w:t>
      </w:r>
    </w:p>
    <w:p w14:paraId="4205E7FA" w14:textId="3DFC7EE0" w:rsidR="008F4135" w:rsidRPr="00037A46" w:rsidRDefault="008F4135" w:rsidP="009D4C40">
      <w:pPr>
        <w:numPr>
          <w:ilvl w:val="0"/>
          <w:numId w:val="6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diplomavereiste </w:t>
      </w:r>
      <w:r w:rsidRPr="00D346A2">
        <w:rPr>
          <w:rFonts w:eastAsia="Calibri" w:cs="Arial"/>
          <w:kern w:val="2"/>
          <w:lang w:val="nl-BE" w:eastAsia="en-US"/>
          <w14:ligatures w14:val="standardContextual"/>
        </w:rPr>
        <w:t>of</w:t>
      </w:r>
      <w:r w:rsidRPr="00037A46">
        <w:rPr>
          <w:rFonts w:eastAsia="Calibri" w:cs="Arial"/>
          <w:kern w:val="2"/>
          <w:lang w:val="nl-BE" w:eastAsia="en-US"/>
          <w14:ligatures w14:val="standardContextual"/>
        </w:rPr>
        <w:t xml:space="preserve"> </w:t>
      </w:r>
      <w:r w:rsidR="00840418">
        <w:rPr>
          <w:rFonts w:eastAsia="Calibri" w:cs="Arial"/>
          <w:kern w:val="2"/>
          <w:lang w:val="nl-BE" w:eastAsia="en-US"/>
          <w14:ligatures w14:val="standardContextual"/>
        </w:rPr>
        <w:t xml:space="preserve">welke </w:t>
      </w:r>
      <w:r w:rsidR="00840418" w:rsidRPr="00FC3C9E">
        <w:rPr>
          <w:rFonts w:eastAsia="Calibri" w:cs="Arial"/>
          <w:kern w:val="2"/>
          <w:lang w:val="nl-BE" w:eastAsia="en-US"/>
          <w14:ligatures w14:val="standardContextual"/>
        </w:rPr>
        <w:t>capaciteitstest</w:t>
      </w:r>
      <w:r w:rsidR="00AD38D7" w:rsidRPr="00FC3C9E">
        <w:rPr>
          <w:rFonts w:eastAsia="Calibri" w:cs="Arial"/>
          <w:kern w:val="2"/>
          <w:lang w:val="nl-BE" w:eastAsia="en-US"/>
          <w14:ligatures w14:val="standardContextual"/>
        </w:rPr>
        <w:t xml:space="preserve"> (indien van toepassing)</w:t>
      </w:r>
      <w:r w:rsidR="00840418" w:rsidRPr="00FC3C9E">
        <w:rPr>
          <w:rFonts w:eastAsia="Calibri" w:cs="Arial"/>
          <w:kern w:val="2"/>
          <w:lang w:val="nl-BE" w:eastAsia="en-US"/>
          <w14:ligatures w14:val="standardContextual"/>
        </w:rPr>
        <w:t xml:space="preserve"> er wordt</w:t>
      </w:r>
      <w:r w:rsidR="00840418">
        <w:rPr>
          <w:rFonts w:eastAsia="Calibri" w:cs="Arial"/>
          <w:kern w:val="2"/>
          <w:lang w:val="nl-BE" w:eastAsia="en-US"/>
          <w14:ligatures w14:val="standardContextual"/>
        </w:rPr>
        <w:t xml:space="preserve"> afgenomen</w:t>
      </w:r>
      <w:r w:rsidRPr="00037A46">
        <w:rPr>
          <w:rFonts w:eastAsia="Calibri" w:cs="Arial"/>
          <w:kern w:val="2"/>
          <w:lang w:val="nl-BE" w:eastAsia="en-US"/>
          <w14:ligatures w14:val="standardContextual"/>
        </w:rPr>
        <w:t xml:space="preserve">; </w:t>
      </w:r>
    </w:p>
    <w:p w14:paraId="77A14758" w14:textId="77777777" w:rsidR="008F4135" w:rsidRPr="00037A46" w:rsidRDefault="008F4135" w:rsidP="009D4C40">
      <w:pPr>
        <w:numPr>
          <w:ilvl w:val="0"/>
          <w:numId w:val="6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wijze waarop de functie wordt ingevuld: aanwerving, bevordering, interne of externe mobiliteit, of een combinatie van voormelde procedures; </w:t>
      </w:r>
    </w:p>
    <w:p w14:paraId="013AFFE5" w14:textId="4F3CE89F" w:rsidR="008F4135" w:rsidRPr="00037A46" w:rsidRDefault="008F4135" w:rsidP="009D4C40">
      <w:pPr>
        <w:numPr>
          <w:ilvl w:val="0"/>
          <w:numId w:val="6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selectieprocedure</w:t>
      </w:r>
      <w:r w:rsidR="00CE52BE">
        <w:rPr>
          <w:rFonts w:eastAsia="Calibri" w:cs="Arial"/>
          <w:kern w:val="2"/>
          <w:lang w:val="nl-BE" w:eastAsia="en-US"/>
          <w14:ligatures w14:val="standardContextual"/>
        </w:rPr>
        <w:t>;</w:t>
      </w:r>
    </w:p>
    <w:p w14:paraId="4F77B0A8" w14:textId="558715B0" w:rsidR="008F4135" w:rsidRPr="00037A46" w:rsidRDefault="008F4135" w:rsidP="009D4C40">
      <w:pPr>
        <w:numPr>
          <w:ilvl w:val="0"/>
          <w:numId w:val="6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in welke mate anciënniteit of ervaring geldelijk in rekening wordt gebracht</w:t>
      </w:r>
      <w:r w:rsidR="00F63A1D">
        <w:rPr>
          <w:rFonts w:eastAsia="Calibri" w:cs="Arial"/>
          <w:kern w:val="2"/>
          <w:lang w:val="nl-BE" w:eastAsia="en-US"/>
          <w14:ligatures w14:val="standardContextual"/>
        </w:rPr>
        <w:t>;</w:t>
      </w:r>
    </w:p>
    <w:p w14:paraId="3DC10D47" w14:textId="3A57F3CE" w:rsidR="008F4135" w:rsidRPr="00037A46" w:rsidRDefault="008F4135" w:rsidP="009D4C40">
      <w:pPr>
        <w:numPr>
          <w:ilvl w:val="0"/>
          <w:numId w:val="6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extralegale voordelen</w:t>
      </w:r>
      <w:r w:rsidR="00F63A1D">
        <w:rPr>
          <w:rFonts w:eastAsia="Calibri" w:cs="Arial"/>
          <w:kern w:val="2"/>
          <w:lang w:val="nl-BE" w:eastAsia="en-US"/>
          <w14:ligatures w14:val="standardContextual"/>
        </w:rPr>
        <w:t>;</w:t>
      </w:r>
    </w:p>
    <w:p w14:paraId="32271F7B" w14:textId="7EAB6599" w:rsidR="008F4135" w:rsidRPr="00037A46" w:rsidRDefault="008F4135" w:rsidP="009D4C40">
      <w:pPr>
        <w:numPr>
          <w:ilvl w:val="0"/>
          <w:numId w:val="6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vermelding van het contactpunt voor nadere informatie over de functie</w:t>
      </w:r>
      <w:r w:rsidR="00F63A1D">
        <w:rPr>
          <w:rFonts w:eastAsia="Calibri" w:cs="Arial"/>
          <w:kern w:val="2"/>
          <w:lang w:val="nl-BE" w:eastAsia="en-US"/>
          <w14:ligatures w14:val="standardContextual"/>
        </w:rPr>
        <w:t>.</w:t>
      </w:r>
    </w:p>
    <w:p w14:paraId="70FC2D70" w14:textId="7E9B5425" w:rsidR="00415336" w:rsidRPr="00037A46" w:rsidRDefault="00415336" w:rsidP="00415336">
      <w:pPr>
        <w:pStyle w:val="Kop3"/>
      </w:pPr>
      <w:bookmarkStart w:id="54" w:name="_Toc215738942"/>
      <w:r w:rsidRPr="00037A46">
        <w:t>Afdeling 4. wijze van kandidaatstelling</w:t>
      </w:r>
      <w:bookmarkEnd w:id="54"/>
    </w:p>
    <w:p w14:paraId="1320F5DA" w14:textId="198B6A5D" w:rsidR="003943B3" w:rsidRPr="003943B3" w:rsidRDefault="003943B3" w:rsidP="008F4135">
      <w:pPr>
        <w:spacing w:before="0" w:after="160" w:line="259" w:lineRule="auto"/>
        <w:ind w:left="0"/>
        <w:jc w:val="left"/>
        <w:rPr>
          <w:rFonts w:eastAsia="Calibri" w:cs="Arial"/>
          <w:b/>
          <w:bCs/>
          <w:kern w:val="2"/>
          <w:lang w:val="nl-BE" w:eastAsia="en-US"/>
          <w14:ligatures w14:val="standardContextual"/>
        </w:rPr>
      </w:pPr>
      <w:r w:rsidRPr="003943B3">
        <w:rPr>
          <w:rFonts w:eastAsia="Calibri" w:cs="Arial"/>
          <w:b/>
          <w:bCs/>
          <w:kern w:val="2"/>
          <w:lang w:val="nl-BE" w:eastAsia="en-US"/>
          <w14:ligatures w14:val="standardContextual"/>
        </w:rPr>
        <w:t xml:space="preserve">Artikel </w:t>
      </w:r>
      <w:r w:rsidR="009D47D0">
        <w:rPr>
          <w:rFonts w:eastAsia="Calibri" w:cs="Arial"/>
          <w:b/>
          <w:bCs/>
          <w:kern w:val="2"/>
          <w:lang w:val="nl-BE" w:eastAsia="en-US"/>
          <w14:ligatures w14:val="standardContextual"/>
        </w:rPr>
        <w:t>10</w:t>
      </w:r>
    </w:p>
    <w:p w14:paraId="18090E1D" w14:textId="474A941D"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kandidaturen kunnen ingediend worden op de volgende manieren: </w:t>
      </w:r>
    </w:p>
    <w:p w14:paraId="2E6F2203" w14:textId="77777777" w:rsidR="008F4135" w:rsidRPr="00037A46" w:rsidRDefault="008F4135" w:rsidP="009D4C40">
      <w:pPr>
        <w:numPr>
          <w:ilvl w:val="0"/>
          <w:numId w:val="5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via een elektronisch formulier op website</w:t>
      </w:r>
    </w:p>
    <w:p w14:paraId="78789EC2" w14:textId="77777777" w:rsidR="008F4135" w:rsidRPr="00037A46" w:rsidRDefault="008F4135" w:rsidP="009D4C40">
      <w:pPr>
        <w:numPr>
          <w:ilvl w:val="0"/>
          <w:numId w:val="5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via e-mail</w:t>
      </w:r>
    </w:p>
    <w:p w14:paraId="466F783B" w14:textId="77777777" w:rsidR="008F4135" w:rsidRPr="00037A46" w:rsidRDefault="008F4135" w:rsidP="009D4C40">
      <w:pPr>
        <w:numPr>
          <w:ilvl w:val="0"/>
          <w:numId w:val="5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per post</w:t>
      </w:r>
    </w:p>
    <w:p w14:paraId="3D643DBC" w14:textId="77777777" w:rsidR="008F4135" w:rsidRPr="00037A46" w:rsidRDefault="008F4135" w:rsidP="009D4C40">
      <w:pPr>
        <w:numPr>
          <w:ilvl w:val="0"/>
          <w:numId w:val="5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via persoonlijke overhandiging</w:t>
      </w:r>
    </w:p>
    <w:p w14:paraId="49A12804" w14:textId="77777777" w:rsidR="008F4135" w:rsidRPr="00037A46" w:rsidRDefault="008F4135" w:rsidP="008F4135">
      <w:pPr>
        <w:spacing w:before="0" w:after="160" w:line="259" w:lineRule="auto"/>
        <w:ind w:left="720"/>
        <w:contextualSpacing/>
        <w:jc w:val="left"/>
        <w:rPr>
          <w:rFonts w:eastAsia="Calibri" w:cs="Arial"/>
          <w:kern w:val="2"/>
          <w:lang w:val="nl-BE" w:eastAsia="en-US"/>
          <w14:ligatures w14:val="standardContextual"/>
        </w:rPr>
      </w:pPr>
    </w:p>
    <w:p w14:paraId="46890FAC"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Tussen de bekendmaking van een vacature en de uiterste datum voor de indiening van de kandidaturen, verlopen minstens 7 kalenderdagen. De dag van de bekendmaking van de vacature is niet in de termijn begrepen, de uiterste datum voor de indiening van de kandidaturen wel. </w:t>
      </w:r>
    </w:p>
    <w:p w14:paraId="132B1ABF"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datum van de verzending van de kandidatuur wordt beschouwd als de datum waarop de kandidatuur is ingediend. </w:t>
      </w:r>
    </w:p>
    <w:p w14:paraId="77ADBC05"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kandidaat is zelf verantwoordelijk voor het goed bereiken van zijn kandidatuur voor de datum van het afsluiten van de inschrijvingsperiode bij het bestuur.</w:t>
      </w:r>
    </w:p>
    <w:p w14:paraId="5F12F337"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In de volgende gevallen is een externe bekendmaking niet van toepassing: </w:t>
      </w:r>
    </w:p>
    <w:p w14:paraId="7509784B" w14:textId="77777777" w:rsidR="008F4135" w:rsidRPr="00037A46" w:rsidRDefault="008F4135" w:rsidP="009D4C40">
      <w:pPr>
        <w:numPr>
          <w:ilvl w:val="0"/>
          <w:numId w:val="63"/>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aanstellende overheid beslist bij de bekendmaking om een beroep te doen op een bestaande wervingsreserve die geldig is voor de functie die wordt ingevuld; </w:t>
      </w:r>
    </w:p>
    <w:p w14:paraId="0758C3FE" w14:textId="77777777" w:rsidR="008F4135" w:rsidRPr="00037A46" w:rsidRDefault="008F4135" w:rsidP="009D4C40">
      <w:pPr>
        <w:numPr>
          <w:ilvl w:val="0"/>
          <w:numId w:val="63"/>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wekelijkse prestaties van een deeltijdse functie worden uitgebreid of die functie wordt omgezet in een voltijdse functie. Als verschillende personeelsleden deeltijds werken in een functie van dezelfde graad, richt de aanstellende overheid een oproep tot die personeelsleden om de extra uren te vervullen. Ze maakt haar keuze op basis van een vergelijking van de kandidaturen. </w:t>
      </w:r>
    </w:p>
    <w:p w14:paraId="437AF6A4" w14:textId="77777777" w:rsidR="00D346A2" w:rsidRDefault="00D346A2" w:rsidP="008F4135">
      <w:pPr>
        <w:spacing w:before="0" w:after="160" w:line="259" w:lineRule="auto"/>
        <w:ind w:left="0"/>
        <w:jc w:val="left"/>
        <w:rPr>
          <w:rFonts w:eastAsia="Calibri" w:cs="Arial"/>
          <w:kern w:val="2"/>
          <w:lang w:val="nl-BE" w:eastAsia="en-US"/>
          <w14:ligatures w14:val="standardContextual"/>
        </w:rPr>
      </w:pPr>
    </w:p>
    <w:p w14:paraId="51E66A62" w14:textId="7003E76B"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kandidaten moeten voldoen aan de algemene toelatingsvoorwaarden</w:t>
      </w:r>
      <w:r w:rsidR="00D346A2">
        <w:rPr>
          <w:rFonts w:eastAsia="Calibri" w:cs="Arial"/>
          <w:kern w:val="2"/>
          <w:lang w:val="nl-BE" w:eastAsia="en-US"/>
          <w14:ligatures w14:val="standardContextual"/>
        </w:rPr>
        <w:t xml:space="preserve"> en</w:t>
      </w:r>
      <w:r w:rsidRPr="00037A46">
        <w:rPr>
          <w:rFonts w:eastAsia="Calibri" w:cs="Arial"/>
          <w:kern w:val="2"/>
          <w:lang w:val="nl-BE" w:eastAsia="en-US"/>
          <w14:ligatures w14:val="standardContextual"/>
        </w:rPr>
        <w:t xml:space="preserve"> aan de aanwervingsvoorwaarden, de selectie uitgezonderd. Ze leveren uiterlijk één werkdag vóór de selectieprocedure het bewijs dat ze voldoen aan de selectievoorwaarden. </w:t>
      </w:r>
    </w:p>
    <w:p w14:paraId="0F8C1389"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aanstellende overheid beoordeelt de geldigheid van de ingediende kandidaturen en de voorgelegde bewijzen, tenzij de raad de aanstellende overheid is. In dat geval beoordeelt het uitvoerend orgaan van het bestuur de geldigheid ervan. Op basis van die beoordeling wordt beslist welke kandidaten tot de selectieprocedure worden toegelaten. De kandidaten die geweigerd worden, worden daarvan schriftelijk op de hoogte gebracht met vermelding van de reden voor de weigering.</w:t>
      </w:r>
    </w:p>
    <w:p w14:paraId="33132494" w14:textId="193A235C" w:rsidR="00415336" w:rsidRPr="00037A46" w:rsidRDefault="00415336" w:rsidP="00415336">
      <w:pPr>
        <w:pStyle w:val="Kop3"/>
      </w:pPr>
      <w:bookmarkStart w:id="55" w:name="_Toc215738943"/>
      <w:r w:rsidRPr="00037A46">
        <w:t>Afdeling 5. selectietechnieken</w:t>
      </w:r>
      <w:bookmarkEnd w:id="55"/>
    </w:p>
    <w:p w14:paraId="0BD631C2" w14:textId="47A5F76B" w:rsidR="008F4135" w:rsidRPr="00037A46" w:rsidRDefault="008F4135" w:rsidP="008F4135">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w:t>
      </w:r>
      <w:r w:rsidR="009D47D0">
        <w:rPr>
          <w:rFonts w:eastAsia="Calibri" w:cs="Arial"/>
          <w:b/>
          <w:bCs/>
          <w:kern w:val="2"/>
          <w:lang w:val="nl-BE" w:eastAsia="en-US"/>
          <w14:ligatures w14:val="standardContextual"/>
        </w:rPr>
        <w:t>11</w:t>
      </w:r>
    </w:p>
    <w:p w14:paraId="2B2E92B5"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bookmarkStart w:id="56" w:name="_Hlk145001484"/>
      <w:r w:rsidRPr="00037A46">
        <w:rPr>
          <w:rFonts w:eastAsia="Calibri" w:cs="Arial"/>
          <w:kern w:val="2"/>
          <w:lang w:val="nl-BE" w:eastAsia="en-US"/>
          <w14:ligatures w14:val="standardContextual"/>
        </w:rPr>
        <w:lastRenderedPageBreak/>
        <w:t>Voor de aanvang van een selectie en binnen de grenzen van de algemene regels die de raad heeft vastgesteld, stelt de aanstellende overheid de concrete selectieprocedure vast, waaronder:</w:t>
      </w:r>
    </w:p>
    <w:p w14:paraId="34BEF8CE" w14:textId="77777777" w:rsidR="008F4135" w:rsidRPr="00037A46" w:rsidRDefault="008F4135" w:rsidP="009D4C40">
      <w:pPr>
        <w:numPr>
          <w:ilvl w:val="0"/>
          <w:numId w:val="64"/>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selectiecriteria op basis van de functiebeschrijving, </w:t>
      </w:r>
    </w:p>
    <w:p w14:paraId="1D5BC284" w14:textId="77777777" w:rsidR="008F4135" w:rsidRPr="00037A46" w:rsidRDefault="008F4135" w:rsidP="009D4C40">
      <w:pPr>
        <w:numPr>
          <w:ilvl w:val="0"/>
          <w:numId w:val="64"/>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selectietechnieken</w:t>
      </w:r>
    </w:p>
    <w:p w14:paraId="644206F6" w14:textId="77777777" w:rsidR="008F4135" w:rsidRPr="00037A46" w:rsidRDefault="008F4135" w:rsidP="009D4C40">
      <w:pPr>
        <w:numPr>
          <w:ilvl w:val="0"/>
          <w:numId w:val="64"/>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concrete samenstelling van de selectiecommissie</w:t>
      </w:r>
    </w:p>
    <w:p w14:paraId="5411F05F" w14:textId="77777777" w:rsidR="008F4135" w:rsidRPr="00037A46" w:rsidRDefault="008F4135" w:rsidP="009D4C40">
      <w:pPr>
        <w:numPr>
          <w:ilvl w:val="0"/>
          <w:numId w:val="64"/>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het minimale resultaat om als geslaagd beschouwd te worden. </w:t>
      </w:r>
    </w:p>
    <w:p w14:paraId="1C05ADE2" w14:textId="77777777" w:rsidR="00B901DB" w:rsidRPr="00037A46" w:rsidRDefault="00B901DB" w:rsidP="008F4135">
      <w:pPr>
        <w:spacing w:before="0" w:after="160" w:line="259" w:lineRule="auto"/>
        <w:ind w:left="0"/>
        <w:jc w:val="left"/>
        <w:rPr>
          <w:rFonts w:eastAsia="Calibri" w:cs="Arial"/>
          <w:b/>
          <w:bCs/>
          <w:kern w:val="2"/>
          <w:lang w:val="nl-BE" w:eastAsia="en-US"/>
          <w14:ligatures w14:val="standardContextual"/>
        </w:rPr>
      </w:pPr>
      <w:bookmarkStart w:id="57" w:name="_Hlk146713479"/>
    </w:p>
    <w:bookmarkEnd w:id="56"/>
    <w:bookmarkEnd w:id="57"/>
    <w:p w14:paraId="48A04632"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algemene regels voor de selectietechnieken zijn: </w:t>
      </w:r>
    </w:p>
    <w:p w14:paraId="47B1CBD9"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a) voor functies van niveau A/B/C bevat elke selectie: ten minste twee selectietechnieken; </w:t>
      </w:r>
    </w:p>
    <w:p w14:paraId="0AE61BF4"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b) voor functies van niveau D bevat de selectie altijd een praktische proef afgestemd op de functie; </w:t>
      </w:r>
    </w:p>
    <w:p w14:paraId="38CB0422"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bookmarkStart w:id="58" w:name="_Hlk144994265"/>
      <w:r w:rsidRPr="00037A46">
        <w:rPr>
          <w:rFonts w:eastAsia="Calibri" w:cs="Arial"/>
          <w:kern w:val="2"/>
          <w:lang w:val="nl-BE" w:eastAsia="en-US"/>
          <w14:ligatures w14:val="standardContextual"/>
        </w:rPr>
        <w:t xml:space="preserve">c) voor managements- en/of leidinggevende functies kan de aanstellende overheid een psychotechnische proef in verband met de managements- en leiderschapscapaciteiten op het niveau van de functie opleggen. </w:t>
      </w:r>
    </w:p>
    <w:bookmarkEnd w:id="58"/>
    <w:p w14:paraId="5F6A516F" w14:textId="77777777" w:rsidR="008F4135" w:rsidRPr="00037A46" w:rsidRDefault="008F4135" w:rsidP="008F4135">
      <w:pPr>
        <w:spacing w:before="0" w:after="160" w:line="259" w:lineRule="auto"/>
        <w:ind w:left="0"/>
        <w:jc w:val="left"/>
        <w:rPr>
          <w:rFonts w:eastAsia="Calibri" w:cs="Arial"/>
          <w:bCs/>
          <w:iCs/>
          <w:kern w:val="2"/>
          <w:lang w:val="nl-BE" w:eastAsia="en-US"/>
          <w14:ligatures w14:val="standardContextual"/>
        </w:rPr>
      </w:pPr>
      <w:r w:rsidRPr="00037A46">
        <w:rPr>
          <w:rFonts w:eastAsia="Calibri" w:cs="Arial"/>
          <w:bCs/>
          <w:iCs/>
          <w:kern w:val="2"/>
          <w:lang w:val="nl-BE" w:eastAsia="en-US"/>
          <w14:ligatures w14:val="standardContextual"/>
        </w:rPr>
        <w:t xml:space="preserve">Naargelang het aantal kandidaten kan een </w:t>
      </w:r>
      <w:r w:rsidRPr="00037A46">
        <w:rPr>
          <w:rFonts w:eastAsia="Calibri" w:cs="Arial"/>
          <w:b/>
          <w:bCs/>
          <w:iCs/>
          <w:kern w:val="2"/>
          <w:lang w:val="nl-BE" w:eastAsia="en-US"/>
          <w14:ligatures w14:val="standardContextual"/>
        </w:rPr>
        <w:t>preselectie</w:t>
      </w:r>
      <w:r w:rsidRPr="00037A46">
        <w:rPr>
          <w:rFonts w:eastAsia="Calibri" w:cs="Arial"/>
          <w:bCs/>
          <w:iCs/>
          <w:kern w:val="2"/>
          <w:lang w:val="nl-BE" w:eastAsia="en-US"/>
          <w14:ligatures w14:val="standardContextual"/>
        </w:rPr>
        <w:t xml:space="preserve"> plaatsvinden. De aanstellende overheid bepaalt bij het afsluiten van de kandidaturen, het aantal goedgekeurde kandidaten voor het inrichten van een eliminerende preselectieproef en de proeven waaruit deze kan bestaan.</w:t>
      </w:r>
    </w:p>
    <w:p w14:paraId="0CC2FB4D" w14:textId="77777777" w:rsidR="008F4135"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Het resultaat van de preselectie telt niet mee voor het eindresultaat van de selectieprocedure.</w:t>
      </w:r>
    </w:p>
    <w:p w14:paraId="5A20B566" w14:textId="3F629268" w:rsidR="00415336" w:rsidRPr="00037A46" w:rsidRDefault="00DA6878" w:rsidP="00ED0C59">
      <w:pPr>
        <w:pStyle w:val="Kop3"/>
      </w:pPr>
      <w:r>
        <w:br w:type="page"/>
      </w:r>
      <w:bookmarkStart w:id="59" w:name="_Toc215738944"/>
      <w:r w:rsidR="00415336" w:rsidRPr="00037A46">
        <w:lastRenderedPageBreak/>
        <w:t xml:space="preserve">Afdeling 6. </w:t>
      </w:r>
      <w:r w:rsidR="00971F6D">
        <w:t>D</w:t>
      </w:r>
      <w:r w:rsidR="00415336" w:rsidRPr="00037A46">
        <w:t>e selectiecommissie</w:t>
      </w:r>
      <w:bookmarkStart w:id="60" w:name="_Hlk145001561"/>
      <w:bookmarkEnd w:id="59"/>
    </w:p>
    <w:bookmarkEnd w:id="60"/>
    <w:p w14:paraId="18E1ACD9" w14:textId="4F2CFB54" w:rsidR="00BE15CE" w:rsidRPr="00BE15CE" w:rsidRDefault="00BE15CE" w:rsidP="008F4135">
      <w:pPr>
        <w:spacing w:before="0" w:after="160" w:line="259" w:lineRule="auto"/>
        <w:ind w:left="0"/>
        <w:jc w:val="left"/>
        <w:rPr>
          <w:rFonts w:eastAsia="Calibri" w:cs="Arial"/>
          <w:b/>
          <w:bCs/>
          <w:kern w:val="2"/>
          <w:lang w:val="nl-BE" w:eastAsia="en-US"/>
          <w14:ligatures w14:val="standardContextual"/>
        </w:rPr>
      </w:pPr>
      <w:r w:rsidRPr="00BE15CE">
        <w:rPr>
          <w:rFonts w:eastAsia="Calibri" w:cs="Arial"/>
          <w:b/>
          <w:bCs/>
          <w:kern w:val="2"/>
          <w:lang w:val="nl-BE" w:eastAsia="en-US"/>
          <w14:ligatures w14:val="standardContextual"/>
        </w:rPr>
        <w:t xml:space="preserve">Artikel </w:t>
      </w:r>
      <w:r w:rsidR="009D47D0">
        <w:rPr>
          <w:rFonts w:eastAsia="Calibri" w:cs="Arial"/>
          <w:b/>
          <w:bCs/>
          <w:kern w:val="2"/>
          <w:lang w:val="nl-BE" w:eastAsia="en-US"/>
          <w14:ligatures w14:val="standardContextual"/>
        </w:rPr>
        <w:t>12</w:t>
      </w:r>
    </w:p>
    <w:p w14:paraId="47E7BA64" w14:textId="21B0DB81"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selecties worden uitgevoerd door een selectiecommissie, die als volgt wordt samengesteld:</w:t>
      </w:r>
    </w:p>
    <w:p w14:paraId="1FE66A7E" w14:textId="3946164F" w:rsidR="008F4135" w:rsidRPr="00FC3C9E" w:rsidRDefault="008F4135" w:rsidP="009D4C40">
      <w:pPr>
        <w:numPr>
          <w:ilvl w:val="0"/>
          <w:numId w:val="57"/>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selectiecommissie bestaat uit deskundigen die over de specifieke vaardigheden beschikken om de kandidaten te beoordelen op de voor de functie vastgestelde selectiecriteria. </w:t>
      </w:r>
      <w:bookmarkStart w:id="61" w:name="_Hlk151038199"/>
      <w:r w:rsidRPr="00037A46">
        <w:rPr>
          <w:rFonts w:eastAsia="Calibri" w:cs="Arial"/>
          <w:kern w:val="2"/>
          <w:lang w:val="nl-BE" w:eastAsia="en-US"/>
          <w14:ligatures w14:val="standardContextual"/>
        </w:rPr>
        <w:t xml:space="preserve">Voor functies </w:t>
      </w:r>
      <w:r w:rsidRPr="00FC3C9E">
        <w:rPr>
          <w:rFonts w:eastAsia="Calibri" w:cs="Arial"/>
          <w:kern w:val="2"/>
          <w:lang w:val="nl-BE" w:eastAsia="en-US"/>
          <w14:ligatures w14:val="standardContextual"/>
        </w:rPr>
        <w:t>van A</w:t>
      </w:r>
      <w:r w:rsidR="00ED0C59" w:rsidRPr="00FC3C9E">
        <w:rPr>
          <w:rFonts w:eastAsia="Calibri" w:cs="Arial"/>
          <w:kern w:val="2"/>
          <w:lang w:val="nl-BE" w:eastAsia="en-US"/>
          <w14:ligatures w14:val="standardContextual"/>
        </w:rPr>
        <w:t>-niveau, B4,-B5 en IFIC 15 of hoger</w:t>
      </w:r>
      <w:r w:rsidRPr="00FC3C9E">
        <w:rPr>
          <w:rFonts w:eastAsia="Calibri" w:cs="Arial"/>
          <w:kern w:val="2"/>
          <w:lang w:val="nl-BE" w:eastAsia="en-US"/>
          <w14:ligatures w14:val="standardContextual"/>
        </w:rPr>
        <w:t xml:space="preserve"> </w:t>
      </w:r>
      <w:bookmarkEnd w:id="61"/>
      <w:r w:rsidRPr="00FC3C9E">
        <w:rPr>
          <w:rFonts w:eastAsia="Calibri" w:cs="Arial"/>
          <w:kern w:val="2"/>
          <w:lang w:val="nl-BE" w:eastAsia="en-US"/>
          <w14:ligatures w14:val="standardContextual"/>
        </w:rPr>
        <w:t>bestaat de selectiecommissie uit 3 leden, waarvan 1 van de leden een deskundige is die extern is aan het bestuur. Van het minimum aantal leden kan uitzonderlijk mits motivering worden afgeweken.</w:t>
      </w:r>
    </w:p>
    <w:p w14:paraId="16998737" w14:textId="34BAFF3B" w:rsidR="00915589" w:rsidRPr="00244B49" w:rsidRDefault="00915589" w:rsidP="009D4C40">
      <w:pPr>
        <w:numPr>
          <w:ilvl w:val="0"/>
          <w:numId w:val="57"/>
        </w:numPr>
        <w:spacing w:before="0" w:after="160" w:line="259" w:lineRule="auto"/>
        <w:contextualSpacing/>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 xml:space="preserve">bij selecties op </w:t>
      </w:r>
      <w:r w:rsidR="00AD38D7" w:rsidRPr="00FC3C9E">
        <w:rPr>
          <w:rFonts w:eastAsia="Calibri" w:cs="Arial"/>
          <w:kern w:val="2"/>
          <w:lang w:val="nl-BE" w:eastAsia="en-US"/>
          <w14:ligatures w14:val="standardContextual"/>
        </w:rPr>
        <w:t>B</w:t>
      </w:r>
      <w:r w:rsidR="00ED0C59" w:rsidRPr="00FC3C9E">
        <w:rPr>
          <w:rFonts w:eastAsia="Calibri" w:cs="Arial"/>
          <w:kern w:val="2"/>
          <w:lang w:val="nl-BE" w:eastAsia="en-US"/>
          <w14:ligatures w14:val="standardContextual"/>
        </w:rPr>
        <w:t>1-B3-</w:t>
      </w:r>
      <w:r w:rsidR="00AD38D7" w:rsidRPr="00FC3C9E">
        <w:rPr>
          <w:rFonts w:eastAsia="Calibri" w:cs="Arial"/>
          <w:kern w:val="2"/>
          <w:lang w:val="nl-BE" w:eastAsia="en-US"/>
          <w14:ligatures w14:val="standardContextual"/>
        </w:rPr>
        <w:t>,</w:t>
      </w:r>
      <w:r w:rsidRPr="00FC3C9E">
        <w:rPr>
          <w:rFonts w:eastAsia="Calibri" w:cs="Arial"/>
          <w:kern w:val="2"/>
          <w:lang w:val="nl-BE" w:eastAsia="en-US"/>
          <w14:ligatures w14:val="standardContextual"/>
        </w:rPr>
        <w:t>C-</w:t>
      </w:r>
      <w:r w:rsidR="00ED0C59" w:rsidRPr="00FC3C9E">
        <w:rPr>
          <w:rFonts w:eastAsia="Calibri" w:cs="Arial"/>
          <w:kern w:val="2"/>
          <w:lang w:val="nl-BE" w:eastAsia="en-US"/>
          <w14:ligatures w14:val="standardContextual"/>
        </w:rPr>
        <w:t>,</w:t>
      </w:r>
      <w:r w:rsidRPr="00FC3C9E">
        <w:rPr>
          <w:rFonts w:eastAsia="Calibri" w:cs="Arial"/>
          <w:kern w:val="2"/>
          <w:lang w:val="nl-BE" w:eastAsia="en-US"/>
          <w14:ligatures w14:val="standardContextual"/>
        </w:rPr>
        <w:t xml:space="preserve">D-niveau </w:t>
      </w:r>
      <w:r w:rsidR="00ED0C59" w:rsidRPr="00FC3C9E">
        <w:rPr>
          <w:rFonts w:eastAsia="Calibri" w:cs="Arial"/>
          <w:kern w:val="2"/>
          <w:lang w:val="nl-BE" w:eastAsia="en-US"/>
          <w14:ligatures w14:val="standardContextual"/>
        </w:rPr>
        <w:t xml:space="preserve">of IFIC 14 en lager </w:t>
      </w:r>
      <w:r w:rsidRPr="00FC3C9E">
        <w:rPr>
          <w:rFonts w:eastAsia="Calibri" w:cs="Arial"/>
          <w:kern w:val="2"/>
          <w:lang w:val="nl-BE" w:eastAsia="en-US"/>
          <w14:ligatures w14:val="standardContextual"/>
        </w:rPr>
        <w:t>bestaat</w:t>
      </w:r>
      <w:r w:rsidRPr="00244B49">
        <w:rPr>
          <w:rFonts w:eastAsia="Calibri" w:cs="Arial"/>
          <w:kern w:val="2"/>
          <w:lang w:val="nl-BE" w:eastAsia="en-US"/>
          <w14:ligatures w14:val="standardContextual"/>
        </w:rPr>
        <w:t xml:space="preserve"> de selectiecommissie uit minstens 2 leden, bij voorkeur uit 3 leden.</w:t>
      </w:r>
    </w:p>
    <w:p w14:paraId="65902748" w14:textId="77777777" w:rsidR="008F4135" w:rsidRPr="00037A46" w:rsidRDefault="008F4135" w:rsidP="009D4C40">
      <w:pPr>
        <w:numPr>
          <w:ilvl w:val="0"/>
          <w:numId w:val="57"/>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selectiecommissie bestaat bij voorkeur uit leden van verschillend geslacht;</w:t>
      </w:r>
    </w:p>
    <w:p w14:paraId="663FE83E" w14:textId="77777777" w:rsidR="008F4135" w:rsidRPr="00037A46" w:rsidRDefault="008F4135" w:rsidP="009D4C40">
      <w:pPr>
        <w:numPr>
          <w:ilvl w:val="0"/>
          <w:numId w:val="57"/>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leden van de beslissingsorganen van het lokaal bestuur en aanstellende overheid kunnen geen lid zijn van een selectiecommissie in een selectieprocedure voor het eigen bestuur;</w:t>
      </w:r>
    </w:p>
    <w:p w14:paraId="3CBD92BA"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Het is de aanstellende overheid die dan naar aanleiding van een vacature beslist over de concrete selectieprocedure en dus ook over de concrete samenstelling van de selectiecommissie </w:t>
      </w:r>
    </w:p>
    <w:p w14:paraId="4FB2BB3E"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bookmarkStart w:id="62" w:name="_Hlk146700319"/>
      <w:r w:rsidRPr="00037A46">
        <w:rPr>
          <w:rFonts w:eastAsia="Calibri" w:cs="Arial"/>
          <w:kern w:val="2"/>
          <w:lang w:val="nl-BE" w:eastAsia="en-US"/>
          <w14:ligatures w14:val="standardContextual"/>
        </w:rPr>
        <w:t xml:space="preserve">De selectiecommissie maakt bij het afsluiten van de selectieprocedure een gemotiveerd en geïntegreerd eindverslag op met vermelding van de deelresultaten (inclusief de resultaten van de preselectie) en het eindresultaat van de kandidaat. </w:t>
      </w:r>
    </w:p>
    <w:p w14:paraId="16C612EA"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aanstellende overheid stelt, binnen de algemene regels, vermeld in het eerste lid, </w:t>
      </w:r>
      <w:r w:rsidRPr="00037A46">
        <w:rPr>
          <w:rFonts w:eastAsia="Calibri" w:cs="Arial"/>
          <w:bCs/>
          <w:kern w:val="2"/>
          <w:lang w:val="nl-BE" w:eastAsia="en-US"/>
          <w14:ligatures w14:val="standardContextual"/>
        </w:rPr>
        <w:t>de meest geschikte kandidaat met het hoogst behaalde aantal punten aan, op basis van het versla</w:t>
      </w:r>
      <w:r w:rsidRPr="00037A46">
        <w:rPr>
          <w:rFonts w:eastAsia="Calibri" w:cs="Arial"/>
          <w:kern w:val="2"/>
          <w:lang w:val="nl-BE" w:eastAsia="en-US"/>
          <w14:ligatures w14:val="standardContextual"/>
        </w:rPr>
        <w:t>g.</w:t>
      </w:r>
    </w:p>
    <w:p w14:paraId="4CC770B4" w14:textId="3749F9D5" w:rsidR="00415336" w:rsidRPr="00037A46" w:rsidRDefault="00415336" w:rsidP="00F801D2">
      <w:pPr>
        <w:pStyle w:val="Kop3"/>
      </w:pPr>
      <w:bookmarkStart w:id="63" w:name="_Toc215738945"/>
      <w:bookmarkEnd w:id="62"/>
      <w:r w:rsidRPr="00037A46">
        <w:t>Afdeling 7. wervingsreserves</w:t>
      </w:r>
      <w:bookmarkEnd w:id="63"/>
    </w:p>
    <w:p w14:paraId="7D25A408" w14:textId="77777777" w:rsidR="00F801D2" w:rsidRPr="00037A46" w:rsidRDefault="00F801D2" w:rsidP="008F4135">
      <w:pPr>
        <w:spacing w:before="0" w:after="160" w:line="259" w:lineRule="auto"/>
        <w:ind w:left="0"/>
        <w:jc w:val="left"/>
        <w:rPr>
          <w:rFonts w:eastAsia="Calibri" w:cs="Arial"/>
          <w:kern w:val="2"/>
          <w:lang w:val="nl-BE" w:eastAsia="en-US"/>
          <w14:ligatures w14:val="standardContextual"/>
        </w:rPr>
      </w:pPr>
    </w:p>
    <w:p w14:paraId="5C40BE63" w14:textId="7B177C15" w:rsidR="00BE15CE" w:rsidRPr="00BE15CE" w:rsidRDefault="00BE15CE" w:rsidP="00BE15CE">
      <w:pPr>
        <w:spacing w:before="0" w:after="160" w:line="259" w:lineRule="auto"/>
        <w:ind w:left="0"/>
        <w:jc w:val="left"/>
        <w:rPr>
          <w:rFonts w:eastAsia="Calibri" w:cs="Arial"/>
          <w:b/>
          <w:bCs/>
          <w:kern w:val="2"/>
          <w:lang w:val="nl-BE" w:eastAsia="en-US"/>
          <w14:ligatures w14:val="standardContextual"/>
        </w:rPr>
      </w:pPr>
      <w:r w:rsidRPr="00BE15CE">
        <w:rPr>
          <w:rFonts w:eastAsia="Calibri" w:cs="Arial"/>
          <w:b/>
          <w:bCs/>
          <w:kern w:val="2"/>
          <w:lang w:val="nl-BE" w:eastAsia="en-US"/>
          <w14:ligatures w14:val="standardContextual"/>
        </w:rPr>
        <w:t xml:space="preserve">Artikel </w:t>
      </w:r>
      <w:r w:rsidR="009D47D0">
        <w:rPr>
          <w:rFonts w:eastAsia="Calibri" w:cs="Arial"/>
          <w:b/>
          <w:bCs/>
          <w:kern w:val="2"/>
          <w:lang w:val="nl-BE" w:eastAsia="en-US"/>
          <w14:ligatures w14:val="standardContextual"/>
        </w:rPr>
        <w:t>13</w:t>
      </w:r>
    </w:p>
    <w:p w14:paraId="2161EE8D" w14:textId="7192F7D5"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aanstellende overheid beslist bij de </w:t>
      </w:r>
      <w:r w:rsidR="00D346A2">
        <w:rPr>
          <w:rFonts w:eastAsia="Calibri" w:cs="Arial"/>
          <w:kern w:val="2"/>
          <w:lang w:val="nl-BE" w:eastAsia="en-US"/>
          <w14:ligatures w14:val="standardContextual"/>
        </w:rPr>
        <w:t>open</w:t>
      </w:r>
      <w:r w:rsidRPr="00037A46">
        <w:rPr>
          <w:rFonts w:eastAsia="Calibri" w:cs="Arial"/>
          <w:kern w:val="2"/>
          <w:lang w:val="nl-BE" w:eastAsia="en-US"/>
          <w14:ligatures w14:val="standardContextual"/>
        </w:rPr>
        <w:t>verklaring van een betrekking of voor toekomstige vacatures een wervingsreserve wordt aangelegd en bepaalt de geldigheidsduur ervan.</w:t>
      </w:r>
    </w:p>
    <w:p w14:paraId="45096333" w14:textId="77777777" w:rsidR="008F4135" w:rsidRPr="00037A46" w:rsidRDefault="008F4135" w:rsidP="008F4135">
      <w:pPr>
        <w:spacing w:before="0" w:after="160" w:line="259" w:lineRule="auto"/>
        <w:ind w:left="0"/>
        <w:jc w:val="left"/>
        <w:rPr>
          <w:rFonts w:eastAsia="Calibri" w:cs="Arial"/>
          <w:strike/>
          <w:color w:val="7030A0"/>
          <w:kern w:val="2"/>
          <w:lang w:val="nl-BE" w:eastAsia="en-US"/>
          <w14:ligatures w14:val="standardContextual"/>
        </w:rPr>
      </w:pPr>
      <w:r w:rsidRPr="00037A46">
        <w:rPr>
          <w:rFonts w:eastAsia="Calibri" w:cs="Arial"/>
          <w:kern w:val="2"/>
          <w:lang w:val="nl-BE" w:eastAsia="en-US"/>
          <w14:ligatures w14:val="standardContextual"/>
        </w:rPr>
        <w:t xml:space="preserve">Deze is maximum vastgesteld op twee jaar en kan met maximum twee jaar worden verlengd. </w:t>
      </w:r>
    </w:p>
    <w:p w14:paraId="142F7C6A"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geldigheidsduur van de reserve vangt aan op de eerste dag van de maand volgend op de datum van het besluit van de aanstellende overheid houdende de vaststelling van de wervingsreserve. </w:t>
      </w:r>
    </w:p>
    <w:p w14:paraId="7CC49CA9"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Alle geslaagde of geschikt bevonden kandidaten die niet onmiddellijk worden aangesteld, worden in de wervingsreserve opgenomen. </w:t>
      </w:r>
    </w:p>
    <w:p w14:paraId="1DBAFB67"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aanstellende overheid kan geen nieuwe selectieprocedure opstarten zolang er voor dezelfde functie nog kandidaten opgenomen zijn in een daarvoor nog geldige wervingsreserve.</w:t>
      </w:r>
    </w:p>
    <w:p w14:paraId="202FF17B" w14:textId="77777777" w:rsidR="003E04C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Een geraadpleegde kandidaat kan, mits motivering, een aangeboden betrekking weigeren zonder zijn opname in de wervingsreserve te verliezen, op voorwaarde dat hij zijn kandidatuur naar aanleiding van de weigering binnen vastgestelde termijn bevestigt.</w:t>
      </w:r>
    </w:p>
    <w:p w14:paraId="0E220805" w14:textId="77777777" w:rsidR="003E04C6" w:rsidRDefault="003E04C6" w:rsidP="008F4135">
      <w:pPr>
        <w:spacing w:before="0" w:after="160" w:line="259" w:lineRule="auto"/>
        <w:ind w:left="0"/>
        <w:jc w:val="left"/>
        <w:rPr>
          <w:rFonts w:eastAsia="Calibri" w:cs="Arial"/>
          <w:kern w:val="2"/>
          <w:lang w:val="nl-BE" w:eastAsia="en-US"/>
          <w14:ligatures w14:val="standardContextual"/>
        </w:rPr>
      </w:pPr>
    </w:p>
    <w:p w14:paraId="1CF271D6" w14:textId="77777777" w:rsidR="003E04C6" w:rsidRDefault="003E04C6" w:rsidP="008F4135">
      <w:pPr>
        <w:spacing w:before="0" w:after="160" w:line="259" w:lineRule="auto"/>
        <w:ind w:left="0"/>
        <w:jc w:val="left"/>
        <w:rPr>
          <w:rFonts w:eastAsia="Calibri" w:cs="Arial"/>
          <w:kern w:val="2"/>
          <w:lang w:val="nl-BE" w:eastAsia="en-US"/>
          <w14:ligatures w14:val="standardContextual"/>
        </w:rPr>
      </w:pPr>
    </w:p>
    <w:p w14:paraId="294B6993" w14:textId="4A9A4FC1" w:rsidR="008F4135" w:rsidRPr="00037A46" w:rsidRDefault="008F4135" w:rsidP="008F4135">
      <w:pPr>
        <w:spacing w:before="0" w:after="160" w:line="259" w:lineRule="auto"/>
        <w:ind w:left="0"/>
        <w:jc w:val="left"/>
        <w:rPr>
          <w:rFonts w:eastAsia="Calibri" w:cs="Arial"/>
          <w:strike/>
          <w:color w:val="7030A0"/>
          <w:kern w:val="2"/>
          <w:lang w:val="nl-BE" w:eastAsia="en-US"/>
          <w14:ligatures w14:val="standardContextual"/>
        </w:rPr>
      </w:pPr>
      <w:r w:rsidRPr="00037A46">
        <w:rPr>
          <w:rFonts w:eastAsia="Calibri" w:cs="Arial"/>
          <w:kern w:val="2"/>
          <w:lang w:val="nl-BE" w:eastAsia="en-US"/>
          <w14:ligatures w14:val="standardContextual"/>
        </w:rPr>
        <w:t xml:space="preserve"> </w:t>
      </w:r>
    </w:p>
    <w:p w14:paraId="58D7CC10" w14:textId="1FA5FFFD" w:rsidR="00F801D2" w:rsidRPr="00037A46" w:rsidRDefault="00F801D2" w:rsidP="00F801D2">
      <w:pPr>
        <w:pStyle w:val="Kop3"/>
      </w:pPr>
      <w:bookmarkStart w:id="64" w:name="_Toc215738946"/>
      <w:r w:rsidRPr="00037A46">
        <w:lastRenderedPageBreak/>
        <w:t>Afdeling 8. het gebruik van tussentijdse wervingsreserves</w:t>
      </w:r>
      <w:bookmarkStart w:id="65" w:name="_Hlk152835631"/>
      <w:bookmarkEnd w:id="64"/>
    </w:p>
    <w:bookmarkEnd w:id="65"/>
    <w:p w14:paraId="74073DB1" w14:textId="77777777" w:rsidR="00F801D2" w:rsidRPr="00037A46" w:rsidRDefault="00F801D2" w:rsidP="008F4135">
      <w:pPr>
        <w:spacing w:before="0" w:after="160" w:line="259" w:lineRule="auto"/>
        <w:ind w:left="0"/>
        <w:jc w:val="left"/>
        <w:rPr>
          <w:rFonts w:eastAsia="Calibri" w:cs="Arial"/>
          <w:color w:val="7030A0"/>
          <w:kern w:val="2"/>
          <w:lang w:val="nl-BE" w:eastAsia="en-US"/>
          <w14:ligatures w14:val="standardContextual"/>
        </w:rPr>
      </w:pPr>
    </w:p>
    <w:p w14:paraId="10157191" w14:textId="3540A1C4" w:rsidR="00BE15CE" w:rsidRPr="00BE15CE" w:rsidRDefault="00BE15CE" w:rsidP="00BE15CE">
      <w:pPr>
        <w:spacing w:before="0" w:after="160" w:line="259" w:lineRule="auto"/>
        <w:ind w:left="0"/>
        <w:jc w:val="left"/>
        <w:rPr>
          <w:rFonts w:eastAsia="Calibri" w:cs="Arial"/>
          <w:b/>
          <w:bCs/>
          <w:kern w:val="2"/>
          <w:lang w:val="nl-BE" w:eastAsia="en-US"/>
          <w14:ligatures w14:val="standardContextual"/>
        </w:rPr>
      </w:pPr>
      <w:r w:rsidRPr="00BE15CE">
        <w:rPr>
          <w:rFonts w:eastAsia="Calibri" w:cs="Arial"/>
          <w:b/>
          <w:bCs/>
          <w:kern w:val="2"/>
          <w:lang w:val="nl-BE" w:eastAsia="en-US"/>
          <w14:ligatures w14:val="standardContextual"/>
        </w:rPr>
        <w:t xml:space="preserve">Artikel </w:t>
      </w:r>
      <w:r w:rsidR="009D47D0">
        <w:rPr>
          <w:rFonts w:eastAsia="Calibri" w:cs="Arial"/>
          <w:b/>
          <w:bCs/>
          <w:kern w:val="2"/>
          <w:lang w:val="nl-BE" w:eastAsia="en-US"/>
          <w14:ligatures w14:val="standardContextual"/>
        </w:rPr>
        <w:t>14</w:t>
      </w:r>
    </w:p>
    <w:p w14:paraId="0F33A021" w14:textId="20CE2904"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aanstellende overheid bepaalt bij </w:t>
      </w:r>
      <w:r w:rsidR="00D346A2">
        <w:rPr>
          <w:rFonts w:eastAsia="Calibri" w:cs="Arial"/>
          <w:kern w:val="2"/>
          <w:lang w:val="nl-BE" w:eastAsia="en-US"/>
          <w14:ligatures w14:val="standardContextual"/>
        </w:rPr>
        <w:t>openverklaring</w:t>
      </w:r>
      <w:r w:rsidRPr="00037A46">
        <w:rPr>
          <w:rFonts w:eastAsia="Calibri" w:cs="Arial"/>
          <w:kern w:val="2"/>
          <w:lang w:val="nl-BE" w:eastAsia="en-US"/>
          <w14:ligatures w14:val="standardContextual"/>
        </w:rPr>
        <w:t xml:space="preserve"> van een generieke functie of voor toekomstige vacatures of er een tussentijdse wervingsreserve wordt aangelegd. Deze reserve is maximum 2 </w:t>
      </w:r>
      <w:r w:rsidR="000B17AD" w:rsidRPr="00037A46">
        <w:rPr>
          <w:rFonts w:eastAsia="Calibri" w:cs="Arial"/>
          <w:kern w:val="2"/>
          <w:lang w:val="nl-BE" w:eastAsia="en-US"/>
          <w14:ligatures w14:val="standardContextual"/>
        </w:rPr>
        <w:t>jaar geldig</w:t>
      </w:r>
      <w:r w:rsidRPr="00037A46">
        <w:rPr>
          <w:rFonts w:eastAsia="Calibri" w:cs="Arial"/>
          <w:kern w:val="2"/>
          <w:lang w:val="nl-BE" w:eastAsia="en-US"/>
          <w14:ligatures w14:val="standardContextual"/>
        </w:rPr>
        <w:t xml:space="preserve"> en kan met maximum 2 jaar verlengd worden. De aanvangsdatum start op datum van het eindrapport van de oorspronkelijke selectie. Alle geslaagde kandidaten die geschikt bevonden zijn tijdens de selectieprocedure, worden opgenomen in de tussentijdse wervingsreserve. Om kandidaten uit deze wervingsreserve aan te stellen, kunnen een of meerdere bijkomende proeven georganiseerd worden. Onder de kandidaten, wordt de eerst gerangschikte kandidaat van de wervingsreserve eerst geraadpleegd om de vacature van de nieuwe functie in te vullen.</w:t>
      </w:r>
    </w:p>
    <w:p w14:paraId="4A92BD26" w14:textId="08C9762C" w:rsidR="008F4135"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Indien de kandidaat niet weerhouden is voor een nieuwe functie, dan komt hij/zij opnieuw in deze reserve terecht. </w:t>
      </w:r>
    </w:p>
    <w:p w14:paraId="4993C212" w14:textId="031520E9" w:rsidR="00F801D2" w:rsidRPr="00037A46" w:rsidRDefault="00F801D2" w:rsidP="00F801D2">
      <w:pPr>
        <w:pStyle w:val="Kop3"/>
      </w:pPr>
      <w:bookmarkStart w:id="66" w:name="_Toc215738947"/>
      <w:r w:rsidRPr="00037A46">
        <w:t>Afdeling 9. permanente vacature</w:t>
      </w:r>
      <w:bookmarkEnd w:id="66"/>
    </w:p>
    <w:p w14:paraId="7A6F2641" w14:textId="2CD8DEBC" w:rsidR="008F4135" w:rsidRPr="00037A46" w:rsidRDefault="008F4135" w:rsidP="008F4135">
      <w:pPr>
        <w:spacing w:before="0" w:after="160" w:line="259" w:lineRule="auto"/>
        <w:ind w:left="0"/>
        <w:jc w:val="left"/>
        <w:rPr>
          <w:rFonts w:eastAsia="Calibri" w:cs="Arial"/>
          <w:b/>
          <w:bCs/>
          <w:kern w:val="2"/>
          <w:lang w:val="nl-BE" w:eastAsia="en-US"/>
          <w14:ligatures w14:val="standardContextual"/>
        </w:rPr>
      </w:pPr>
    </w:p>
    <w:p w14:paraId="59C91AB5" w14:textId="3055E061" w:rsidR="00BE15CE" w:rsidRPr="00BE15CE" w:rsidRDefault="00BE15CE" w:rsidP="00BE15CE">
      <w:pPr>
        <w:spacing w:before="0" w:after="160" w:line="259" w:lineRule="auto"/>
        <w:ind w:left="0"/>
        <w:jc w:val="left"/>
        <w:rPr>
          <w:rFonts w:eastAsia="Calibri" w:cs="Arial"/>
          <w:b/>
          <w:bCs/>
          <w:kern w:val="2"/>
          <w:lang w:val="nl-BE" w:eastAsia="en-US"/>
          <w14:ligatures w14:val="standardContextual"/>
        </w:rPr>
      </w:pPr>
      <w:r w:rsidRPr="00BE15CE">
        <w:rPr>
          <w:rFonts w:eastAsia="Calibri" w:cs="Arial"/>
          <w:b/>
          <w:bCs/>
          <w:kern w:val="2"/>
          <w:lang w:val="nl-BE" w:eastAsia="en-US"/>
          <w14:ligatures w14:val="standardContextual"/>
        </w:rPr>
        <w:t xml:space="preserve">Artikel </w:t>
      </w:r>
      <w:r w:rsidR="009D47D0">
        <w:rPr>
          <w:rFonts w:eastAsia="Calibri" w:cs="Arial"/>
          <w:b/>
          <w:bCs/>
          <w:kern w:val="2"/>
          <w:lang w:val="nl-BE" w:eastAsia="en-US"/>
          <w14:ligatures w14:val="standardContextual"/>
        </w:rPr>
        <w:t>15</w:t>
      </w:r>
    </w:p>
    <w:p w14:paraId="151B8872" w14:textId="12771150"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Voor de aanwerving van moeilijk rekruteerbare functies kan de aanstellende overheid bepalen dat gebruik gemaakt wordt van een permanente </w:t>
      </w:r>
      <w:r w:rsidR="00D346A2">
        <w:rPr>
          <w:rFonts w:eastAsia="Calibri" w:cs="Arial"/>
          <w:kern w:val="2"/>
          <w:lang w:val="nl-BE" w:eastAsia="en-US"/>
          <w14:ligatures w14:val="standardContextual"/>
        </w:rPr>
        <w:t>open</w:t>
      </w:r>
      <w:r w:rsidRPr="00037A46">
        <w:rPr>
          <w:rFonts w:eastAsia="Calibri" w:cs="Arial"/>
          <w:kern w:val="2"/>
          <w:lang w:val="nl-BE" w:eastAsia="en-US"/>
          <w14:ligatures w14:val="standardContextual"/>
        </w:rPr>
        <w:t xml:space="preserve">verklaring. In voorkomend geval bepaalt de aanstellende overheid van welke bepalingen vermeld </w:t>
      </w:r>
      <w:r w:rsidRPr="00B1267C">
        <w:rPr>
          <w:rFonts w:eastAsia="Calibri" w:cs="Arial"/>
          <w:kern w:val="2"/>
          <w:lang w:val="nl-BE" w:eastAsia="en-US"/>
          <w14:ligatures w14:val="standardContextual"/>
        </w:rPr>
        <w:t>in artikel 1</w:t>
      </w:r>
      <w:r w:rsidR="00B1267C" w:rsidRPr="00B1267C">
        <w:rPr>
          <w:rFonts w:eastAsia="Calibri" w:cs="Arial"/>
          <w:kern w:val="2"/>
          <w:lang w:val="nl-BE" w:eastAsia="en-US"/>
          <w14:ligatures w14:val="standardContextual"/>
        </w:rPr>
        <w:t>1</w:t>
      </w:r>
      <w:r w:rsidRPr="00037A46">
        <w:rPr>
          <w:rFonts w:eastAsia="Calibri" w:cs="Arial"/>
          <w:kern w:val="2"/>
          <w:lang w:val="nl-BE" w:eastAsia="en-US"/>
          <w14:ligatures w14:val="standardContextual"/>
        </w:rPr>
        <w:t>, kan worden afgeweken.</w:t>
      </w:r>
    </w:p>
    <w:p w14:paraId="4242C3A2" w14:textId="3931F1F1"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knelpuntberoepenlijst die jaarlijks door de Studiedienst van de VDAB wordt gepubliceerd is van overeenkomstige toepassing.</w:t>
      </w:r>
    </w:p>
    <w:p w14:paraId="1657F958" w14:textId="610C4BE6" w:rsidR="008F4135" w:rsidRPr="00037A46" w:rsidRDefault="008F4135" w:rsidP="008F4135">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w:t>
      </w:r>
      <w:r w:rsidR="009D47D0">
        <w:rPr>
          <w:rFonts w:eastAsia="Calibri" w:cs="Arial"/>
          <w:b/>
          <w:bCs/>
          <w:kern w:val="2"/>
          <w:lang w:val="nl-BE" w:eastAsia="en-US"/>
          <w14:ligatures w14:val="standardContextual"/>
        </w:rPr>
        <w:t>16</w:t>
      </w:r>
    </w:p>
    <w:p w14:paraId="48055021"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kandidaten worden op de hoogte gebracht van: </w:t>
      </w:r>
    </w:p>
    <w:p w14:paraId="0EDFCD72"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1. het gevolg dat aan hun kandidaatstelling werd gegeven; </w:t>
      </w:r>
    </w:p>
    <w:p w14:paraId="3AD93E85"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2. het eindresultaat van de selectie. </w:t>
      </w:r>
    </w:p>
    <w:p w14:paraId="2AC9FFD0"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kandidaat kan feedback vragen over zijn resultaat in de selectieproeven en heeft hierbij inzagerecht in eigen resultaten.</w:t>
      </w:r>
    </w:p>
    <w:p w14:paraId="1B44D013" w14:textId="0D916C0A" w:rsidR="008F4135" w:rsidRPr="00037A46" w:rsidRDefault="008F4135" w:rsidP="007B0356">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kandidaten kunnen in het kader van de openbaarheid van bestuur bijkomende bestuurs</w:t>
      </w:r>
      <w:r w:rsidR="007B0356" w:rsidRPr="00037A46">
        <w:rPr>
          <w:rFonts w:eastAsia="Calibri" w:cs="Arial"/>
          <w:kern w:val="2"/>
          <w:lang w:val="nl-BE" w:eastAsia="en-US"/>
          <w14:ligatures w14:val="standardContextual"/>
        </w:rPr>
        <w:t>-</w:t>
      </w:r>
      <w:r w:rsidRPr="00037A46">
        <w:rPr>
          <w:rFonts w:eastAsia="Calibri" w:cs="Arial"/>
          <w:kern w:val="2"/>
          <w:lang w:val="nl-BE" w:eastAsia="en-US"/>
          <w14:ligatures w14:val="standardContextual"/>
        </w:rPr>
        <w:t>documenten opvragen.</w:t>
      </w:r>
    </w:p>
    <w:p w14:paraId="62F6701F" w14:textId="158A9D19" w:rsidR="00F801D2" w:rsidRPr="00037A46" w:rsidRDefault="00F801D2" w:rsidP="00F801D2">
      <w:pPr>
        <w:pStyle w:val="Kop3"/>
      </w:pPr>
      <w:bookmarkStart w:id="67" w:name="_Toc215738948"/>
      <w:r w:rsidRPr="00037A46">
        <w:t xml:space="preserve">Afdeling 10. specifieke bepalingen voor de aanwerving in de betrekkingen die ingesteld worden ter uitvoering van werkgelegenheidsmaatregelen van de hogere overheid en in </w:t>
      </w:r>
      <w:r w:rsidR="007A64EE" w:rsidRPr="00FC3C9E">
        <w:t xml:space="preserve">specifiek bepaalde </w:t>
      </w:r>
      <w:r w:rsidRPr="00FC3C9E">
        <w:t>contractuele</w:t>
      </w:r>
      <w:r w:rsidRPr="00037A46">
        <w:t xml:space="preserve"> betrekkingen</w:t>
      </w:r>
      <w:bookmarkStart w:id="68" w:name="_Toc110948127"/>
      <w:bookmarkEnd w:id="67"/>
    </w:p>
    <w:p w14:paraId="4FE4D63C" w14:textId="77777777" w:rsidR="00B901DB" w:rsidRPr="00037A46" w:rsidRDefault="00B901DB" w:rsidP="00B901DB">
      <w:pPr>
        <w:spacing w:before="0" w:after="160" w:line="259" w:lineRule="auto"/>
        <w:ind w:left="0"/>
        <w:jc w:val="left"/>
        <w:rPr>
          <w:rFonts w:ascii="Calibri" w:eastAsia="Calibri" w:hAnsi="Calibri"/>
          <w:kern w:val="2"/>
          <w:sz w:val="22"/>
          <w:szCs w:val="22"/>
          <w:lang w:val="nl-BE" w:eastAsia="en-US"/>
          <w14:ligatures w14:val="standardContextual"/>
        </w:rPr>
      </w:pPr>
    </w:p>
    <w:p w14:paraId="0039A62D" w14:textId="2CACD58F" w:rsidR="00B901DB" w:rsidRPr="00037A46" w:rsidRDefault="00B901DB" w:rsidP="00B901DB">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w:t>
      </w:r>
      <w:r w:rsidR="009D47D0">
        <w:rPr>
          <w:rFonts w:eastAsia="Calibri" w:cs="Arial"/>
          <w:b/>
          <w:bCs/>
          <w:kern w:val="2"/>
          <w:lang w:val="nl-BE" w:eastAsia="en-US"/>
          <w14:ligatures w14:val="standardContextual"/>
        </w:rPr>
        <w:t>17</w:t>
      </w:r>
    </w:p>
    <w:p w14:paraId="3EA8AE24" w14:textId="557DACB8" w:rsidR="00B901DB" w:rsidRPr="00037A46" w:rsidRDefault="00FA10E7" w:rsidP="00B901DB">
      <w:pPr>
        <w:spacing w:before="0" w:after="160" w:line="259" w:lineRule="auto"/>
        <w:ind w:left="0"/>
        <w:jc w:val="left"/>
        <w:rPr>
          <w:rFonts w:eastAsia="Calibri" w:cs="Arial"/>
          <w:kern w:val="2"/>
          <w:lang w:val="nl-BE" w:eastAsia="en-US"/>
          <w14:ligatures w14:val="standardContextual"/>
        </w:rPr>
      </w:pPr>
      <w:r w:rsidRPr="00BD780E">
        <w:rPr>
          <w:rFonts w:eastAsia="Calibri" w:cs="Arial"/>
          <w:kern w:val="2"/>
          <w:lang w:val="nl-BE" w:eastAsia="en-US"/>
          <w14:ligatures w14:val="standardContextual"/>
        </w:rPr>
        <w:t>§</w:t>
      </w:r>
      <w:r w:rsidR="00B901DB" w:rsidRPr="00BD780E">
        <w:rPr>
          <w:rFonts w:eastAsia="Calibri" w:cs="Arial"/>
          <w:kern w:val="2"/>
          <w:lang w:val="nl-BE" w:eastAsia="en-US"/>
          <w14:ligatures w14:val="standardContextual"/>
        </w:rPr>
        <w:t>1</w:t>
      </w:r>
      <w:r w:rsidR="00BD780E" w:rsidRPr="00BD780E">
        <w:rPr>
          <w:rFonts w:eastAsia="Calibri" w:cs="Arial"/>
          <w:kern w:val="2"/>
          <w:lang w:val="nl-BE" w:eastAsia="en-US"/>
          <w14:ligatures w14:val="standardContextual"/>
        </w:rPr>
        <w:t>.</w:t>
      </w:r>
      <w:r w:rsidR="00B901DB" w:rsidRPr="00BD780E">
        <w:rPr>
          <w:rFonts w:eastAsia="Calibri" w:cs="Arial"/>
          <w:kern w:val="2"/>
          <w:lang w:val="nl-BE" w:eastAsia="en-US"/>
          <w14:ligatures w14:val="standardContextual"/>
        </w:rPr>
        <w:t xml:space="preserve"> </w:t>
      </w:r>
      <w:r w:rsidR="002A5FE4" w:rsidRPr="00BD780E">
        <w:rPr>
          <w:rFonts w:eastAsia="Calibri" w:cs="Arial"/>
          <w:kern w:val="2"/>
          <w:lang w:val="nl-BE" w:eastAsia="en-US"/>
          <w14:ligatures w14:val="standardContextual"/>
        </w:rPr>
        <w:t>V</w:t>
      </w:r>
      <w:r w:rsidR="00B901DB" w:rsidRPr="00BD780E">
        <w:rPr>
          <w:rFonts w:eastAsia="Calibri" w:cs="Arial"/>
          <w:kern w:val="2"/>
          <w:lang w:val="nl-BE" w:eastAsia="en-US"/>
          <w14:ligatures w14:val="standardContextual"/>
        </w:rPr>
        <w:t>oor</w:t>
      </w:r>
      <w:r w:rsidR="00B901DB" w:rsidRPr="00FC3C9E">
        <w:rPr>
          <w:rFonts w:eastAsia="Calibri" w:cs="Arial"/>
          <w:kern w:val="2"/>
          <w:lang w:val="nl-BE" w:eastAsia="en-US"/>
          <w14:ligatures w14:val="standardContextual"/>
        </w:rPr>
        <w:t xml:space="preserve"> de aanwerving in contractuele functies die ingesteld worden ter uitvoering van </w:t>
      </w:r>
      <w:r w:rsidR="00B901DB" w:rsidRPr="00FC3C9E">
        <w:rPr>
          <w:rFonts w:eastAsia="Calibri" w:cs="Arial"/>
          <w:b/>
          <w:bCs/>
          <w:kern w:val="2"/>
          <w:lang w:val="nl-BE" w:eastAsia="en-US"/>
          <w14:ligatures w14:val="standardContextual"/>
        </w:rPr>
        <w:t>werkgelegenheidsmaatregelen</w:t>
      </w:r>
      <w:r w:rsidR="00B901DB" w:rsidRPr="00037A46">
        <w:rPr>
          <w:rFonts w:eastAsia="Calibri" w:cs="Arial"/>
          <w:b/>
          <w:bCs/>
          <w:kern w:val="2"/>
          <w:lang w:val="nl-BE" w:eastAsia="en-US"/>
          <w14:ligatures w14:val="standardContextual"/>
        </w:rPr>
        <w:t xml:space="preserve"> conform hogere regelgeving</w:t>
      </w:r>
      <w:r w:rsidR="00B901DB" w:rsidRPr="00037A46">
        <w:rPr>
          <w:rFonts w:eastAsia="Calibri" w:cs="Arial"/>
          <w:kern w:val="2"/>
          <w:lang w:val="nl-BE" w:eastAsia="en-US"/>
          <w14:ligatures w14:val="standardContextual"/>
        </w:rPr>
        <w:t xml:space="preserve">; </w:t>
      </w:r>
    </w:p>
    <w:p w14:paraId="682D71D8" w14:textId="77777777" w:rsidR="00B901DB" w:rsidRPr="00037A46" w:rsidRDefault="00B901DB" w:rsidP="00B901DB">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Voor de aanwerving in contractuele functies die ingesteld worden ter uitvoering van werkgelegenheidsmaatregelen van de hogere overheden kunnen de vacatures alleen worden </w:t>
      </w:r>
      <w:r w:rsidRPr="00037A46">
        <w:rPr>
          <w:rFonts w:eastAsia="Calibri" w:cs="Arial"/>
          <w:kern w:val="2"/>
          <w:lang w:val="nl-BE" w:eastAsia="en-US"/>
          <w14:ligatures w14:val="standardContextual"/>
        </w:rPr>
        <w:lastRenderedPageBreak/>
        <w:t xml:space="preserve">bekendgemaakt via de website van het lokale bestuur en de VDAB of via andere organisaties voor de begeleiding van werkzoekenden. </w:t>
      </w:r>
    </w:p>
    <w:p w14:paraId="327560BC" w14:textId="77777777" w:rsidR="00B901DB" w:rsidRPr="00037A46" w:rsidRDefault="00B901DB" w:rsidP="00B901DB">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Het vacaturebericht vermeldt de algemene en specifieke voorwaarden en het functieprofiel. </w:t>
      </w:r>
    </w:p>
    <w:p w14:paraId="5C0CCA09" w14:textId="77777777" w:rsidR="00B901DB" w:rsidRPr="00037A46" w:rsidRDefault="00B901DB" w:rsidP="00B901DB">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kandidaten moeten voor de aanstelling voldoen aan de algemene toelatingsvoorwaarden en de eventuele specifieke aanwervingsvoorwaarden en aan de voorwaarden om tewerkgesteld te kunnen worden in de betrokken werkgelegenheidsmaatregel. </w:t>
      </w:r>
    </w:p>
    <w:p w14:paraId="71AFAEE2" w14:textId="77777777" w:rsidR="00B901DB" w:rsidRPr="00037A46" w:rsidRDefault="00B901DB" w:rsidP="00B901DB">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selectiecommissie bestaat uit ten minste twee leden. </w:t>
      </w:r>
    </w:p>
    <w:p w14:paraId="7BD4F85A" w14:textId="77777777" w:rsidR="00B901DB" w:rsidRPr="00037A46" w:rsidRDefault="00B901DB" w:rsidP="00B901DB">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selectie bestaat uit: </w:t>
      </w:r>
    </w:p>
    <w:p w14:paraId="34489666" w14:textId="77777777" w:rsidR="00B901DB" w:rsidRPr="00037A46" w:rsidRDefault="00B901DB" w:rsidP="00B901DB">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1. Mondelinge proef die o.a.  de motivatie en belangstelling peilt; </w:t>
      </w:r>
    </w:p>
    <w:p w14:paraId="5FBE8AB7" w14:textId="0A8650A8" w:rsidR="00B901DB" w:rsidRPr="00037A46" w:rsidRDefault="00B901DB" w:rsidP="00B901DB">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2. Optioneel aanvullende: een attitudemeting, een intelligentietest, een persoonlijkheidstest, een technische schriftelijke of praktische </w:t>
      </w:r>
      <w:r w:rsidR="000B17AD" w:rsidRPr="00037A46">
        <w:rPr>
          <w:rFonts w:eastAsia="Calibri" w:cs="Arial"/>
          <w:kern w:val="2"/>
          <w:lang w:val="nl-BE" w:eastAsia="en-US"/>
          <w14:ligatures w14:val="standardContextual"/>
        </w:rPr>
        <w:t>proef, …</w:t>
      </w:r>
    </w:p>
    <w:p w14:paraId="41BA820A" w14:textId="5157F7F8" w:rsidR="00B901DB" w:rsidRPr="00FC3C9E" w:rsidRDefault="00FA10E7" w:rsidP="00B901DB">
      <w:pPr>
        <w:spacing w:before="0" w:after="160" w:line="259" w:lineRule="auto"/>
        <w:ind w:left="0"/>
        <w:jc w:val="left"/>
        <w:rPr>
          <w:rFonts w:eastAsia="Calibri" w:cs="Arial"/>
          <w:kern w:val="2"/>
          <w:lang w:val="nl-BE" w:eastAsia="en-US"/>
          <w14:ligatures w14:val="standardContextual"/>
        </w:rPr>
      </w:pPr>
      <w:r w:rsidRPr="00BD780E">
        <w:rPr>
          <w:rFonts w:eastAsia="Calibri" w:cs="Arial"/>
          <w:kern w:val="2"/>
          <w:lang w:val="nl-BE" w:eastAsia="en-US"/>
          <w14:ligatures w14:val="standardContextual"/>
        </w:rPr>
        <w:t>§</w:t>
      </w:r>
      <w:r w:rsidR="00B901DB" w:rsidRPr="00BD780E">
        <w:rPr>
          <w:rFonts w:eastAsia="Calibri" w:cs="Arial"/>
          <w:kern w:val="2"/>
          <w:lang w:val="nl-BE" w:eastAsia="en-US"/>
          <w14:ligatures w14:val="standardContextual"/>
        </w:rPr>
        <w:t>2</w:t>
      </w:r>
      <w:r w:rsidR="00BD780E" w:rsidRPr="00BD780E">
        <w:rPr>
          <w:rFonts w:eastAsia="Calibri" w:cs="Arial"/>
          <w:kern w:val="2"/>
          <w:lang w:val="nl-BE" w:eastAsia="en-US"/>
          <w14:ligatures w14:val="standardContextual"/>
        </w:rPr>
        <w:t>.</w:t>
      </w:r>
      <w:r w:rsidR="00B901DB" w:rsidRPr="00FC3C9E">
        <w:rPr>
          <w:rFonts w:eastAsia="Calibri" w:cs="Arial"/>
          <w:kern w:val="2"/>
          <w:lang w:val="nl-BE" w:eastAsia="en-US"/>
          <w14:ligatures w14:val="standardContextual"/>
        </w:rPr>
        <w:t xml:space="preserve"> voor een </w:t>
      </w:r>
      <w:r w:rsidR="00B901DB" w:rsidRPr="00FC3C9E">
        <w:rPr>
          <w:rFonts w:eastAsia="Calibri" w:cs="Arial"/>
          <w:b/>
          <w:bCs/>
          <w:kern w:val="2"/>
          <w:lang w:val="nl-BE" w:eastAsia="en-US"/>
          <w14:ligatures w14:val="standardContextual"/>
        </w:rPr>
        <w:t>vervangingsovereenkomst</w:t>
      </w:r>
      <w:r w:rsidR="00B901DB" w:rsidRPr="00FC3C9E">
        <w:rPr>
          <w:rFonts w:eastAsia="Calibri" w:cs="Arial"/>
          <w:kern w:val="2"/>
          <w:lang w:val="nl-BE" w:eastAsia="en-US"/>
          <w14:ligatures w14:val="standardContextual"/>
        </w:rPr>
        <w:t xml:space="preserve">, overeenkomstig de bepalingen van artikel 11ter van de wet van 3 juli 1978 betreffende de arbeidsovereenkomsten; </w:t>
      </w:r>
    </w:p>
    <w:p w14:paraId="2B1B8C0E" w14:textId="105E3B19" w:rsidR="00B901DB" w:rsidRPr="00037A46" w:rsidRDefault="00B901DB" w:rsidP="00B901DB">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Voor de tijdelijke vervanging van een afwezig personeelslid kan de aanstellende overheid aan personeelsleden met deeltijdse prestaties</w:t>
      </w:r>
      <w:r w:rsidR="00F45E6D" w:rsidRPr="00FC3C9E">
        <w:rPr>
          <w:rFonts w:eastAsia="Calibri" w:cs="Arial"/>
          <w:kern w:val="2"/>
          <w:lang w:val="nl-BE" w:eastAsia="en-US"/>
          <w14:ligatures w14:val="standardContextual"/>
        </w:rPr>
        <w:t xml:space="preserve"> of personeelsleden waarbij de overeenkomst op korte termijn afloopt of recent afgelopen is,</w:t>
      </w:r>
      <w:r w:rsidRPr="00FC3C9E">
        <w:rPr>
          <w:rFonts w:eastAsia="Calibri" w:cs="Arial"/>
          <w:kern w:val="2"/>
          <w:lang w:val="nl-BE" w:eastAsia="en-US"/>
          <w14:ligatures w14:val="standardContextual"/>
        </w:rPr>
        <w:t xml:space="preserve"> een nieuwe overeenkomst aanbieden, op voorwaarde</w:t>
      </w:r>
      <w:r w:rsidRPr="00037A46">
        <w:rPr>
          <w:rFonts w:eastAsia="Calibri" w:cs="Arial"/>
          <w:kern w:val="2"/>
          <w:lang w:val="nl-BE" w:eastAsia="en-US"/>
          <w14:ligatures w14:val="standardContextual"/>
        </w:rPr>
        <w:t xml:space="preserve"> dat </w:t>
      </w:r>
    </w:p>
    <w:p w14:paraId="5AD8C76E" w14:textId="77777777" w:rsidR="00B901DB" w:rsidRPr="00037A46" w:rsidRDefault="00B901DB" w:rsidP="009D4C40">
      <w:pPr>
        <w:numPr>
          <w:ilvl w:val="0"/>
          <w:numId w:val="67"/>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ze voldoen aan de algemene toelatingsvoorwaarden en de algemene en specifieke aanwervingsvoorwaarden, met inbegrip van de diplomavereiste en met inbegrip van de selectie. De aanstellende overheid maakt een gemotiveerde keuze.</w:t>
      </w:r>
    </w:p>
    <w:p w14:paraId="2B25A0E4" w14:textId="795DEF94" w:rsidR="00B901DB" w:rsidRPr="00FC3C9E" w:rsidRDefault="00B901DB" w:rsidP="00B901DB">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Indien bovenvermelde niet van toepassing is, geldt de procedure zoals beschreven onde</w:t>
      </w:r>
      <w:r w:rsidRPr="00FC3C9E">
        <w:rPr>
          <w:rFonts w:eastAsia="Calibri" w:cs="Arial"/>
          <w:kern w:val="2"/>
          <w:lang w:val="nl-BE" w:eastAsia="en-US"/>
          <w14:ligatures w14:val="standardContextual"/>
        </w:rPr>
        <w:t xml:space="preserve">r </w:t>
      </w:r>
      <w:r w:rsidR="00F45E6D" w:rsidRPr="00FC3C9E">
        <w:rPr>
          <w:rFonts w:eastAsia="Calibri" w:cs="Arial"/>
          <w:kern w:val="2"/>
          <w:lang w:val="nl-BE" w:eastAsia="en-US"/>
          <w14:ligatures w14:val="standardContextual"/>
        </w:rPr>
        <w:t>§</w:t>
      </w:r>
      <w:r w:rsidRPr="00FC3C9E">
        <w:rPr>
          <w:rFonts w:eastAsia="Calibri" w:cs="Arial"/>
          <w:kern w:val="2"/>
          <w:lang w:val="nl-BE" w:eastAsia="en-US"/>
          <w14:ligatures w14:val="standardContextual"/>
        </w:rPr>
        <w:t>3.</w:t>
      </w:r>
    </w:p>
    <w:p w14:paraId="5D9A19F3" w14:textId="36D0B8DD" w:rsidR="00B901DB" w:rsidRPr="00037A46" w:rsidRDefault="00FA10E7" w:rsidP="00B901DB">
      <w:pPr>
        <w:spacing w:before="0" w:after="160" w:line="259" w:lineRule="auto"/>
        <w:ind w:left="0"/>
        <w:jc w:val="left"/>
        <w:rPr>
          <w:rFonts w:eastAsia="Calibri" w:cs="Arial"/>
          <w:kern w:val="2"/>
          <w:lang w:val="nl-BE" w:eastAsia="en-US"/>
          <w14:ligatures w14:val="standardContextual"/>
        </w:rPr>
      </w:pPr>
      <w:r w:rsidRPr="00BD780E">
        <w:rPr>
          <w:rFonts w:eastAsia="Calibri" w:cs="Arial"/>
          <w:kern w:val="2"/>
          <w:lang w:val="nl-BE" w:eastAsia="en-US"/>
          <w14:ligatures w14:val="standardContextual"/>
        </w:rPr>
        <w:t>§</w:t>
      </w:r>
      <w:r w:rsidR="00B901DB" w:rsidRPr="00BD780E">
        <w:rPr>
          <w:rFonts w:eastAsia="Calibri" w:cs="Arial"/>
          <w:kern w:val="2"/>
          <w:lang w:val="nl-BE" w:eastAsia="en-US"/>
          <w14:ligatures w14:val="standardContextual"/>
        </w:rPr>
        <w:t>3</w:t>
      </w:r>
      <w:r w:rsidR="00BD780E" w:rsidRPr="00BD780E">
        <w:rPr>
          <w:rFonts w:eastAsia="Calibri" w:cs="Arial"/>
          <w:kern w:val="2"/>
          <w:lang w:val="nl-BE" w:eastAsia="en-US"/>
          <w14:ligatures w14:val="standardContextual"/>
        </w:rPr>
        <w:t>.</w:t>
      </w:r>
      <w:r w:rsidR="00B901DB" w:rsidRPr="00FC3C9E">
        <w:rPr>
          <w:rFonts w:eastAsia="Calibri" w:cs="Arial"/>
          <w:kern w:val="2"/>
          <w:lang w:val="nl-BE" w:eastAsia="en-US"/>
          <w14:ligatures w14:val="standardContextual"/>
        </w:rPr>
        <w:t xml:space="preserve"> voor de aanwerving in contractuele functies die ingesteld worden ter uitvoering van </w:t>
      </w:r>
      <w:r w:rsidR="00B901DB" w:rsidRPr="00FC3C9E">
        <w:rPr>
          <w:rFonts w:eastAsia="Calibri" w:cs="Arial"/>
          <w:b/>
          <w:bCs/>
          <w:kern w:val="2"/>
          <w:lang w:val="nl-BE" w:eastAsia="en-US"/>
          <w14:ligatures w14:val="standardContextual"/>
        </w:rPr>
        <w:t>projecten die maximaal twee jaar duren;</w:t>
      </w:r>
    </w:p>
    <w:p w14:paraId="7BE27848" w14:textId="77777777" w:rsidR="00B901DB" w:rsidRPr="00037A46" w:rsidRDefault="00B901DB" w:rsidP="00B901DB">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kandidaten worden geput uit een lopende wervingsreserve voor de functie. De kandidaten worden geraadpleegd in volgorde van hun rangschikking en tegen de voorwaarde dat ze op korte termijn beschikbaar zijn. Hiermee wordt bedoeld dat ze uiterlijk binnen de 7 kalenderdagen moeten te kennen geven of ze bereid zijn de tijdelijke functie te aanvaarden binnen een door de aanstellende overheid te bepalen termijn of binnen een overeen te komen korte termijn. De aanstellende overheid maakt een gemotiveerde keuze. </w:t>
      </w:r>
    </w:p>
    <w:p w14:paraId="3A2D6FC5" w14:textId="77777777" w:rsidR="00B901DB" w:rsidRPr="00037A46" w:rsidRDefault="00B901DB" w:rsidP="00B901DB">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Indien er geen wervingsreserve is of de wervingsreserve is uitgeput, wordt volgende formele procedure gevolgd: </w:t>
      </w:r>
    </w:p>
    <w:p w14:paraId="7C25BE17" w14:textId="78EFE582" w:rsidR="00B901DB" w:rsidRPr="00037A46" w:rsidRDefault="00B901DB" w:rsidP="009D4C40">
      <w:pPr>
        <w:numPr>
          <w:ilvl w:val="0"/>
          <w:numId w:val="65"/>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oproep tot kandidaten wordt, met vermelding van de voorwaarden en met een </w:t>
      </w:r>
      <w:r w:rsidR="0096281A">
        <w:rPr>
          <w:rFonts w:eastAsia="Calibri" w:cs="Arial"/>
          <w:kern w:val="2"/>
          <w:lang w:val="nl-BE" w:eastAsia="en-US"/>
          <w14:ligatures w14:val="standardContextual"/>
        </w:rPr>
        <w:t>sollicitatie</w:t>
      </w:r>
      <w:r w:rsidR="0096281A" w:rsidRPr="00037A46">
        <w:rPr>
          <w:rFonts w:eastAsia="Calibri" w:cs="Arial"/>
          <w:kern w:val="2"/>
          <w:lang w:val="nl-BE" w:eastAsia="en-US"/>
          <w14:ligatures w14:val="standardContextual"/>
        </w:rPr>
        <w:t>formulier</w:t>
      </w:r>
      <w:r w:rsidRPr="00037A46">
        <w:rPr>
          <w:rFonts w:eastAsia="Calibri" w:cs="Arial"/>
          <w:kern w:val="2"/>
          <w:lang w:val="nl-BE" w:eastAsia="en-US"/>
          <w14:ligatures w14:val="standardContextual"/>
        </w:rPr>
        <w:t xml:space="preserve"> minstens bekendgemaakt via de VDAB.</w:t>
      </w:r>
    </w:p>
    <w:p w14:paraId="4EFA7D47" w14:textId="77777777" w:rsidR="00B901DB" w:rsidRPr="00037A46" w:rsidRDefault="00B901DB" w:rsidP="00B901DB">
      <w:pPr>
        <w:spacing w:before="0" w:after="160" w:line="259" w:lineRule="auto"/>
        <w:ind w:left="360"/>
        <w:contextualSpacing/>
        <w:jc w:val="left"/>
        <w:rPr>
          <w:rFonts w:eastAsia="Calibri" w:cs="Arial"/>
          <w:kern w:val="2"/>
          <w:lang w:val="nl-BE" w:eastAsia="en-US"/>
          <w14:ligatures w14:val="standardContextual"/>
        </w:rPr>
      </w:pPr>
    </w:p>
    <w:p w14:paraId="7AA4EF9F" w14:textId="77777777" w:rsidR="00B901DB" w:rsidRPr="00037A46" w:rsidRDefault="00B901DB" w:rsidP="009D4C40">
      <w:pPr>
        <w:numPr>
          <w:ilvl w:val="0"/>
          <w:numId w:val="65"/>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kandidaten bezorgen binnen een termijn van minimum zeven kalenderdagen en uiterlijk bij het afsluiten van de kandidaturen, een ingevuld CV-formulier en de bewijsstukken dat ze aan de algemene toelatingsvoorwaarden en aan de algemene en specifieke aanwervingsvoorwaarden, met inbegrip van de diplomavereiste voldoen. </w:t>
      </w:r>
    </w:p>
    <w:p w14:paraId="4D72DF19" w14:textId="77777777" w:rsidR="00B901DB" w:rsidRPr="00037A46" w:rsidRDefault="00B901DB" w:rsidP="00B901DB">
      <w:pPr>
        <w:spacing w:before="0" w:after="160" w:line="259" w:lineRule="auto"/>
        <w:ind w:left="720"/>
        <w:contextualSpacing/>
        <w:jc w:val="left"/>
        <w:rPr>
          <w:rFonts w:eastAsia="Calibri" w:cs="Arial"/>
          <w:kern w:val="2"/>
          <w:lang w:val="nl-BE" w:eastAsia="en-US"/>
          <w14:ligatures w14:val="standardContextual"/>
        </w:rPr>
      </w:pPr>
    </w:p>
    <w:p w14:paraId="4AE5A4D6" w14:textId="77777777" w:rsidR="00B901DB" w:rsidRPr="00037A46" w:rsidRDefault="00B901DB" w:rsidP="009D4C40">
      <w:pPr>
        <w:numPr>
          <w:ilvl w:val="0"/>
          <w:numId w:val="65"/>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selectie bestaat uit: </w:t>
      </w:r>
    </w:p>
    <w:p w14:paraId="66F18F04" w14:textId="77777777" w:rsidR="00B901DB" w:rsidRPr="00037A46" w:rsidRDefault="00B901DB" w:rsidP="00B901DB">
      <w:pPr>
        <w:spacing w:before="0" w:after="160" w:line="259" w:lineRule="auto"/>
        <w:ind w:left="720"/>
        <w:contextualSpacing/>
        <w:jc w:val="left"/>
        <w:rPr>
          <w:rFonts w:eastAsia="Calibri" w:cs="Arial"/>
          <w:kern w:val="2"/>
          <w:lang w:val="nl-BE" w:eastAsia="en-US"/>
          <w14:ligatures w14:val="standardContextual"/>
        </w:rPr>
      </w:pPr>
    </w:p>
    <w:p w14:paraId="5C086E29" w14:textId="77777777" w:rsidR="00B901DB" w:rsidRPr="00037A46" w:rsidRDefault="00B901DB" w:rsidP="009D4C40">
      <w:pPr>
        <w:numPr>
          <w:ilvl w:val="0"/>
          <w:numId w:val="66"/>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een proef (interview of test) die de motivatie, de belangstelling en de inzetbaarheid bij de overheid van de kandidaten peilt. Deze proef strekt er onder meer toe om de kandidaat te </w:t>
      </w:r>
      <w:r w:rsidRPr="00037A46">
        <w:rPr>
          <w:rFonts w:eastAsia="Calibri" w:cs="Arial"/>
          <w:kern w:val="2"/>
          <w:lang w:val="nl-BE" w:eastAsia="en-US"/>
          <w14:ligatures w14:val="standardContextual"/>
        </w:rPr>
        <w:lastRenderedPageBreak/>
        <w:t xml:space="preserve">testen op de kennis en de competenties waarover hij of zij volgens het functieprofiel moet beschikken. </w:t>
      </w:r>
    </w:p>
    <w:p w14:paraId="4A76EF57" w14:textId="77777777" w:rsidR="00B901DB" w:rsidRPr="00037A46" w:rsidRDefault="00B901DB" w:rsidP="009D4C40">
      <w:pPr>
        <w:numPr>
          <w:ilvl w:val="0"/>
          <w:numId w:val="66"/>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Optioneel aanvullend: een schriftelijke of praktische proef;</w:t>
      </w:r>
    </w:p>
    <w:p w14:paraId="4FC8AB48" w14:textId="77777777" w:rsidR="00B901DB" w:rsidRPr="00037A46" w:rsidRDefault="00B901DB" w:rsidP="00B901DB">
      <w:pPr>
        <w:spacing w:before="0" w:after="160" w:line="259" w:lineRule="auto"/>
        <w:ind w:left="360"/>
        <w:contextualSpacing/>
        <w:jc w:val="left"/>
        <w:rPr>
          <w:rFonts w:eastAsia="Calibri" w:cs="Arial"/>
          <w:kern w:val="2"/>
          <w:lang w:val="nl-BE" w:eastAsia="en-US"/>
          <w14:ligatures w14:val="standardContextual"/>
        </w:rPr>
      </w:pPr>
    </w:p>
    <w:p w14:paraId="605FB85B" w14:textId="33A498B1" w:rsidR="00B901DB" w:rsidRPr="00037A46" w:rsidRDefault="00B901DB" w:rsidP="009D4C40">
      <w:pPr>
        <w:numPr>
          <w:ilvl w:val="0"/>
          <w:numId w:val="65"/>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selectie gebeurt door een selectiecommissie, die bestaat uit ten minste twee</w:t>
      </w:r>
      <w:r w:rsidRPr="00FC3C9E">
        <w:rPr>
          <w:rFonts w:eastAsia="Calibri" w:cs="Arial"/>
          <w:kern w:val="2"/>
          <w:lang w:val="nl-BE" w:eastAsia="en-US"/>
          <w14:ligatures w14:val="standardContextual"/>
        </w:rPr>
        <w:t xml:space="preserve"> </w:t>
      </w:r>
      <w:r w:rsidR="00FC3C9E" w:rsidRPr="00FC3C9E">
        <w:rPr>
          <w:rFonts w:eastAsia="Calibri" w:cs="Arial"/>
          <w:kern w:val="2"/>
          <w:lang w:val="nl-BE" w:eastAsia="en-US"/>
          <w14:ligatures w14:val="standardContextual"/>
        </w:rPr>
        <w:t>l</w:t>
      </w:r>
      <w:r w:rsidRPr="00FC3C9E">
        <w:rPr>
          <w:rFonts w:eastAsia="Calibri" w:cs="Arial"/>
          <w:kern w:val="2"/>
          <w:lang w:val="nl-BE" w:eastAsia="en-US"/>
          <w14:ligatures w14:val="standardContextual"/>
        </w:rPr>
        <w:t>eden</w:t>
      </w:r>
      <w:r w:rsidRPr="00037A46">
        <w:rPr>
          <w:rFonts w:eastAsia="Calibri" w:cs="Arial"/>
          <w:kern w:val="2"/>
          <w:lang w:val="nl-BE" w:eastAsia="en-US"/>
          <w14:ligatures w14:val="standardContextual"/>
        </w:rPr>
        <w:t xml:space="preserve">. De selectiecommissie maakt een verslag op met betrekking tot de geschiktheid of ongeschiktheid van elke kandidaat. </w:t>
      </w:r>
    </w:p>
    <w:p w14:paraId="533054AC" w14:textId="77777777" w:rsidR="00B901DB" w:rsidRPr="00037A46" w:rsidRDefault="00B901DB" w:rsidP="00B901DB">
      <w:pPr>
        <w:spacing w:before="0" w:after="160" w:line="259" w:lineRule="auto"/>
        <w:ind w:left="360"/>
        <w:contextualSpacing/>
        <w:jc w:val="left"/>
        <w:rPr>
          <w:rFonts w:eastAsia="Calibri" w:cs="Arial"/>
          <w:kern w:val="2"/>
          <w:lang w:val="nl-BE" w:eastAsia="en-US"/>
          <w14:ligatures w14:val="standardContextual"/>
        </w:rPr>
      </w:pPr>
    </w:p>
    <w:p w14:paraId="002D2D9E" w14:textId="77777777" w:rsidR="00B901DB" w:rsidRPr="00037A46" w:rsidRDefault="00B901DB" w:rsidP="009D4C40">
      <w:pPr>
        <w:numPr>
          <w:ilvl w:val="0"/>
          <w:numId w:val="65"/>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kandidaten worden op de hoogte gebracht van het resultaat van de selectie.</w:t>
      </w:r>
    </w:p>
    <w:p w14:paraId="603BC5C9" w14:textId="77777777" w:rsidR="00B901DB" w:rsidRPr="00037A46" w:rsidRDefault="00B901DB" w:rsidP="00B901DB">
      <w:pPr>
        <w:spacing w:before="0" w:after="160" w:line="259" w:lineRule="auto"/>
        <w:ind w:left="720"/>
        <w:contextualSpacing/>
        <w:jc w:val="left"/>
        <w:rPr>
          <w:rFonts w:eastAsia="Calibri" w:cs="Arial"/>
          <w:kern w:val="2"/>
          <w:lang w:val="nl-BE" w:eastAsia="en-US"/>
          <w14:ligatures w14:val="standardContextual"/>
        </w:rPr>
      </w:pPr>
    </w:p>
    <w:p w14:paraId="701FA37C" w14:textId="77777777" w:rsidR="00B901DB" w:rsidRPr="00037A46" w:rsidRDefault="00B901DB" w:rsidP="00B901DB">
      <w:pPr>
        <w:spacing w:before="0" w:after="160" w:line="259" w:lineRule="auto"/>
        <w:ind w:left="720"/>
        <w:contextualSpacing/>
        <w:jc w:val="left"/>
        <w:rPr>
          <w:rFonts w:eastAsia="Calibri" w:cs="Arial"/>
          <w:kern w:val="2"/>
          <w:lang w:val="nl-BE" w:eastAsia="en-US"/>
          <w14:ligatures w14:val="standardContextual"/>
        </w:rPr>
      </w:pPr>
    </w:p>
    <w:p w14:paraId="08CFB0C1" w14:textId="77777777" w:rsidR="00B901DB" w:rsidRPr="00037A46" w:rsidRDefault="00B901DB" w:rsidP="009D4C40">
      <w:pPr>
        <w:numPr>
          <w:ilvl w:val="0"/>
          <w:numId w:val="65"/>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aanstellende overheid stelt een kandidaat aan uit de geschikt bevonden kandidaten, op basis van het verslag van de jury.</w:t>
      </w:r>
    </w:p>
    <w:p w14:paraId="22BC9463" w14:textId="77777777" w:rsidR="00B901DB" w:rsidRPr="00037A46" w:rsidRDefault="00B901DB" w:rsidP="00B901DB">
      <w:pPr>
        <w:spacing w:before="0" w:after="160" w:line="259" w:lineRule="auto"/>
        <w:ind w:left="720"/>
        <w:contextualSpacing/>
        <w:jc w:val="left"/>
        <w:rPr>
          <w:rFonts w:eastAsia="Calibri" w:cs="Arial"/>
          <w:kern w:val="2"/>
          <w:lang w:val="nl-BE" w:eastAsia="en-US"/>
          <w14:ligatures w14:val="standardContextual"/>
        </w:rPr>
      </w:pPr>
    </w:p>
    <w:p w14:paraId="37955D40" w14:textId="0050D2FA" w:rsidR="00B901DB" w:rsidRPr="00037A46" w:rsidRDefault="00FA10E7" w:rsidP="00B901DB">
      <w:pPr>
        <w:spacing w:before="0" w:after="160" w:line="259" w:lineRule="auto"/>
        <w:ind w:left="0"/>
        <w:jc w:val="left"/>
        <w:rPr>
          <w:rFonts w:eastAsia="Calibri" w:cs="Arial"/>
          <w:kern w:val="2"/>
          <w:lang w:val="nl-BE" w:eastAsia="en-US"/>
          <w14:ligatures w14:val="standardContextual"/>
        </w:rPr>
      </w:pPr>
      <w:r w:rsidRPr="00BD780E">
        <w:rPr>
          <w:rFonts w:eastAsia="Calibri" w:cs="Arial"/>
          <w:kern w:val="2"/>
          <w:lang w:val="nl-BE" w:eastAsia="en-US"/>
          <w14:ligatures w14:val="standardContextual"/>
        </w:rPr>
        <w:t>§</w:t>
      </w:r>
      <w:r w:rsidR="00B901DB" w:rsidRPr="00BD780E">
        <w:rPr>
          <w:rFonts w:eastAsia="Calibri" w:cs="Arial"/>
          <w:kern w:val="2"/>
          <w:lang w:val="nl-BE" w:eastAsia="en-US"/>
          <w14:ligatures w14:val="standardContextual"/>
        </w:rPr>
        <w:t>4</w:t>
      </w:r>
      <w:r w:rsidR="00BD780E" w:rsidRPr="00BD780E">
        <w:rPr>
          <w:rFonts w:eastAsia="Calibri" w:cs="Arial"/>
          <w:kern w:val="2"/>
          <w:lang w:val="nl-BE" w:eastAsia="en-US"/>
          <w14:ligatures w14:val="standardContextual"/>
        </w:rPr>
        <w:t>.</w:t>
      </w:r>
      <w:r w:rsidR="00B901DB" w:rsidRPr="00BD780E">
        <w:rPr>
          <w:rFonts w:eastAsia="Calibri" w:cs="Arial"/>
          <w:kern w:val="2"/>
          <w:lang w:val="nl-BE" w:eastAsia="en-US"/>
          <w14:ligatures w14:val="standardContextual"/>
        </w:rPr>
        <w:t xml:space="preserve"> voor</w:t>
      </w:r>
      <w:r w:rsidR="00B901DB" w:rsidRPr="00037A46">
        <w:rPr>
          <w:rFonts w:eastAsia="Calibri" w:cs="Arial"/>
          <w:kern w:val="2"/>
          <w:lang w:val="nl-BE" w:eastAsia="en-US"/>
          <w14:ligatures w14:val="standardContextual"/>
        </w:rPr>
        <w:t xml:space="preserve"> de aanwerving van </w:t>
      </w:r>
      <w:r w:rsidR="00B901DB" w:rsidRPr="00037A46">
        <w:rPr>
          <w:rFonts w:eastAsia="Calibri" w:cs="Arial"/>
          <w:b/>
          <w:bCs/>
          <w:kern w:val="2"/>
          <w:lang w:val="nl-BE" w:eastAsia="en-US"/>
          <w14:ligatures w14:val="standardContextual"/>
        </w:rPr>
        <w:t>personen met een arbeidshandicap</w:t>
      </w:r>
      <w:r w:rsidR="00B901DB" w:rsidRPr="00037A46">
        <w:rPr>
          <w:rFonts w:eastAsia="Calibri" w:cs="Arial"/>
          <w:kern w:val="2"/>
          <w:lang w:val="nl-BE" w:eastAsia="en-US"/>
          <w14:ligatures w14:val="standardContextual"/>
        </w:rPr>
        <w:t xml:space="preserve">, geldt de procedure zoals vermeld in </w:t>
      </w:r>
      <w:r w:rsidR="00B901DB" w:rsidRPr="00FC3C9E">
        <w:rPr>
          <w:rFonts w:eastAsia="Calibri" w:cs="Arial"/>
          <w:kern w:val="2"/>
          <w:lang w:val="nl-BE" w:eastAsia="en-US"/>
          <w14:ligatures w14:val="standardContextual"/>
        </w:rPr>
        <w:t>artikel 3</w:t>
      </w:r>
      <w:r w:rsidR="00FC3C9E" w:rsidRPr="00FC3C9E">
        <w:rPr>
          <w:rFonts w:eastAsia="Calibri" w:cs="Arial"/>
          <w:kern w:val="2"/>
          <w:lang w:val="nl-BE" w:eastAsia="en-US"/>
          <w14:ligatures w14:val="standardContextual"/>
        </w:rPr>
        <w:t>.</w:t>
      </w:r>
    </w:p>
    <w:p w14:paraId="708332C8" w14:textId="77777777" w:rsidR="00B901DB" w:rsidRPr="00037A46" w:rsidRDefault="00B901DB">
      <w:pPr>
        <w:spacing w:before="0" w:after="0"/>
        <w:ind w:left="0"/>
        <w:jc w:val="left"/>
        <w:rPr>
          <w:b/>
          <w:caps/>
          <w:sz w:val="16"/>
          <w:szCs w:val="16"/>
        </w:rPr>
      </w:pPr>
      <w:bookmarkStart w:id="69" w:name="_Toc110948130"/>
      <w:bookmarkEnd w:id="68"/>
      <w:r w:rsidRPr="00037A46">
        <w:br w:type="page"/>
      </w:r>
    </w:p>
    <w:p w14:paraId="08C178FC" w14:textId="42205A99" w:rsidR="003A11FB" w:rsidRPr="00037A46" w:rsidRDefault="003A11FB" w:rsidP="00B44CF7">
      <w:pPr>
        <w:pStyle w:val="Kop2"/>
      </w:pPr>
      <w:bookmarkStart w:id="70" w:name="_Toc215738949"/>
      <w:r w:rsidRPr="00037A46">
        <w:lastRenderedPageBreak/>
        <w:t xml:space="preserve">Hoofdstuk </w:t>
      </w:r>
      <w:r w:rsidR="00B66F99">
        <w:t>III</w:t>
      </w:r>
      <w:r w:rsidRPr="00037A46">
        <w:t>. de indiensttreding</w:t>
      </w:r>
      <w:bookmarkEnd w:id="69"/>
      <w:bookmarkEnd w:id="70"/>
    </w:p>
    <w:p w14:paraId="014B1ADE" w14:textId="44024260" w:rsidR="003A11FB" w:rsidRPr="00037A46" w:rsidRDefault="003A11FB" w:rsidP="00096C8C">
      <w:pPr>
        <w:ind w:left="0"/>
        <w:rPr>
          <w:b/>
          <w:bCs/>
        </w:rPr>
      </w:pPr>
      <w:r w:rsidRPr="00037A46">
        <w:rPr>
          <w:b/>
          <w:bCs/>
        </w:rPr>
        <w:t xml:space="preserve">Artikel </w:t>
      </w:r>
      <w:r w:rsidR="009D47D0">
        <w:rPr>
          <w:b/>
          <w:bCs/>
        </w:rPr>
        <w:t>18</w:t>
      </w:r>
    </w:p>
    <w:p w14:paraId="3952566B" w14:textId="77777777" w:rsidR="00BE50FF" w:rsidRPr="00037A46" w:rsidRDefault="00BE50FF" w:rsidP="00BC72D3">
      <w:pPr>
        <w:ind w:left="0"/>
      </w:pPr>
      <w:r w:rsidRPr="00037A46">
        <w:t>De aanstellende overheid bepaalt de datum van indiensttreding van het geselecteerde personeelslid.</w:t>
      </w:r>
    </w:p>
    <w:p w14:paraId="26CA2150" w14:textId="77777777" w:rsidR="00BE50FF" w:rsidRPr="00037A46" w:rsidRDefault="00BE50FF" w:rsidP="00BC72D3">
      <w:pPr>
        <w:ind w:left="0"/>
      </w:pPr>
      <w:r w:rsidRPr="00037A46">
        <w:t>Indien het geselecteerde personeelslid wegens een opzegtermijn bij een andere werkgever of wegens een andere geldige reden niet onmiddellijk in dienst kan treden bepaalt de aanstellende overheid deze datum in onderling akkoord met het personeelslid.</w:t>
      </w:r>
    </w:p>
    <w:p w14:paraId="336CC238" w14:textId="1564E2B5" w:rsidR="00BE50FF" w:rsidRDefault="00BE50FF" w:rsidP="00BC72D3">
      <w:pPr>
        <w:ind w:left="0"/>
      </w:pPr>
      <w:r w:rsidRPr="00037A46">
        <w:t>Behalve in het geval van overmacht, wordt een kandidaat die niet in dienst treedt op de vastgestelde datum of op de overeengekomen datum, geacht definitief aan zijn aanstelling te verzaken.</w:t>
      </w:r>
    </w:p>
    <w:p w14:paraId="5A59F758" w14:textId="77777777" w:rsidR="00037A46" w:rsidRPr="00037A46" w:rsidRDefault="00037A46" w:rsidP="00BE50FF"/>
    <w:p w14:paraId="6E63B51C" w14:textId="34CE007B" w:rsidR="00BE50FF" w:rsidRPr="00037A46" w:rsidRDefault="00BE50FF" w:rsidP="00096C8C">
      <w:pPr>
        <w:ind w:left="0"/>
        <w:rPr>
          <w:b/>
          <w:bCs/>
        </w:rPr>
      </w:pPr>
      <w:r w:rsidRPr="00037A46">
        <w:rPr>
          <w:b/>
          <w:bCs/>
        </w:rPr>
        <w:t xml:space="preserve">Artikel </w:t>
      </w:r>
      <w:r w:rsidR="009D47D0">
        <w:rPr>
          <w:b/>
          <w:bCs/>
        </w:rPr>
        <w:t>19</w:t>
      </w:r>
    </w:p>
    <w:p w14:paraId="0227DA0D" w14:textId="020E4252" w:rsidR="00BE50FF" w:rsidRPr="00BD780E" w:rsidRDefault="00BE50FF" w:rsidP="00BC72D3">
      <w:pPr>
        <w:ind w:left="0"/>
        <w:rPr>
          <w:bCs/>
        </w:rPr>
      </w:pPr>
      <w:r w:rsidRPr="00BD780E">
        <w:rPr>
          <w:bCs/>
        </w:rPr>
        <w:t>§1</w:t>
      </w:r>
      <w:r w:rsidR="00BD780E" w:rsidRPr="00BD780E">
        <w:rPr>
          <w:bCs/>
        </w:rPr>
        <w:t>.</w:t>
      </w:r>
      <w:r w:rsidRPr="00BD780E">
        <w:rPr>
          <w:bCs/>
        </w:rPr>
        <w:t xml:space="preserve"> In overeenstemming met artikel </w:t>
      </w:r>
      <w:r w:rsidR="009134A3" w:rsidRPr="00BD780E">
        <w:rPr>
          <w:bCs/>
        </w:rPr>
        <w:t>163 DLB</w:t>
      </w:r>
      <w:r w:rsidRPr="00BD780E">
        <w:rPr>
          <w:bCs/>
        </w:rPr>
        <w:t xml:space="preserve"> leggen de </w:t>
      </w:r>
      <w:r w:rsidR="003474E1" w:rsidRPr="00BD780E">
        <w:rPr>
          <w:bCs/>
        </w:rPr>
        <w:t>algemeen directeur</w:t>
      </w:r>
      <w:r w:rsidRPr="00BD780E">
        <w:rPr>
          <w:bCs/>
        </w:rPr>
        <w:t xml:space="preserve"> en de </w:t>
      </w:r>
      <w:r w:rsidR="003474E1" w:rsidRPr="00BD780E">
        <w:rPr>
          <w:bCs/>
        </w:rPr>
        <w:t>financieel directeur</w:t>
      </w:r>
      <w:r w:rsidRPr="00BD780E">
        <w:rPr>
          <w:bCs/>
        </w:rPr>
        <w:t xml:space="preserve"> voor ze hun ambt opnemen tijdens een openbare vergadering van de </w:t>
      </w:r>
      <w:r w:rsidR="000B17AD" w:rsidRPr="00BD780E">
        <w:rPr>
          <w:bCs/>
        </w:rPr>
        <w:t>gemeenteraad/</w:t>
      </w:r>
      <w:r w:rsidRPr="00BD780E">
        <w:rPr>
          <w:bCs/>
        </w:rPr>
        <w:t xml:space="preserve"> de raad voor maatschappelijk welzijn de volgende eed af in handen van de voorzitter: </w:t>
      </w:r>
    </w:p>
    <w:p w14:paraId="4DE4E755" w14:textId="77777777" w:rsidR="00BE50FF" w:rsidRPr="00BD780E" w:rsidRDefault="00BE50FF" w:rsidP="00BC72D3">
      <w:pPr>
        <w:ind w:left="0"/>
        <w:rPr>
          <w:bCs/>
        </w:rPr>
      </w:pPr>
      <w:r w:rsidRPr="00BD780E">
        <w:rPr>
          <w:bCs/>
        </w:rPr>
        <w:t xml:space="preserve">“Ik zweer de verplichtingen van mijn ambt trouw na te komen.” </w:t>
      </w:r>
    </w:p>
    <w:p w14:paraId="618B9413" w14:textId="05434DD9" w:rsidR="00BE50FF" w:rsidRPr="00BD780E" w:rsidRDefault="00BE50FF" w:rsidP="00BC72D3">
      <w:pPr>
        <w:ind w:left="0"/>
        <w:rPr>
          <w:bCs/>
        </w:rPr>
      </w:pPr>
      <w:r w:rsidRPr="00BD780E">
        <w:rPr>
          <w:bCs/>
        </w:rPr>
        <w:t>§2</w:t>
      </w:r>
      <w:r w:rsidR="00BD780E" w:rsidRPr="00BD780E">
        <w:rPr>
          <w:bCs/>
        </w:rPr>
        <w:t>.</w:t>
      </w:r>
      <w:r w:rsidRPr="00BD780E">
        <w:rPr>
          <w:bCs/>
        </w:rPr>
        <w:t xml:space="preserve"> In overeenstemming met artikel 1</w:t>
      </w:r>
      <w:r w:rsidR="009134A3" w:rsidRPr="00BD780E">
        <w:rPr>
          <w:bCs/>
        </w:rPr>
        <w:t>87</w:t>
      </w:r>
      <w:r w:rsidRPr="00BD780E">
        <w:rPr>
          <w:bCs/>
        </w:rPr>
        <w:t xml:space="preserve"> </w:t>
      </w:r>
      <w:r w:rsidR="009134A3" w:rsidRPr="00BD780E">
        <w:rPr>
          <w:bCs/>
        </w:rPr>
        <w:t>DLB</w:t>
      </w:r>
      <w:r w:rsidRPr="00BD780E">
        <w:rPr>
          <w:bCs/>
        </w:rPr>
        <w:t xml:space="preserve"> legt het personeelslid bij zijn indiensttreding de volgende eed af in handen van </w:t>
      </w:r>
      <w:r w:rsidR="00912470" w:rsidRPr="00BD780E">
        <w:rPr>
          <w:bCs/>
        </w:rPr>
        <w:t>de burgemeester</w:t>
      </w:r>
      <w:r w:rsidRPr="00BD780E">
        <w:rPr>
          <w:bCs/>
        </w:rPr>
        <w:t>:</w:t>
      </w:r>
    </w:p>
    <w:p w14:paraId="42BC98D5" w14:textId="77777777" w:rsidR="00BE50FF" w:rsidRPr="00BD780E" w:rsidRDefault="00BE50FF" w:rsidP="00BC72D3">
      <w:pPr>
        <w:ind w:left="0"/>
        <w:rPr>
          <w:bCs/>
        </w:rPr>
      </w:pPr>
      <w:r w:rsidRPr="00BD780E">
        <w:rPr>
          <w:bCs/>
        </w:rPr>
        <w:t xml:space="preserve">”Ik zweer de verplichtingen van mijn ambt trouw na te komen.” </w:t>
      </w:r>
    </w:p>
    <w:p w14:paraId="58400DDA" w14:textId="1CBE149A" w:rsidR="00BE50FF" w:rsidRPr="00BD780E" w:rsidRDefault="00BE50FF" w:rsidP="00BC72D3">
      <w:pPr>
        <w:ind w:left="0"/>
        <w:rPr>
          <w:bCs/>
        </w:rPr>
      </w:pPr>
      <w:r w:rsidRPr="00BD780E">
        <w:rPr>
          <w:rFonts w:cs="Arial"/>
          <w:bCs/>
        </w:rPr>
        <w:t xml:space="preserve">De </w:t>
      </w:r>
      <w:r w:rsidR="00912470" w:rsidRPr="00BD780E">
        <w:rPr>
          <w:rFonts w:cs="Arial"/>
          <w:bCs/>
        </w:rPr>
        <w:t>burgemeester k</w:t>
      </w:r>
      <w:r w:rsidRPr="00BD780E">
        <w:rPr>
          <w:rFonts w:cs="Arial"/>
          <w:bCs/>
        </w:rPr>
        <w:t xml:space="preserve">an zijn bevoegdheid om de eed af te nemen, toevertrouwen aan een lid van de </w:t>
      </w:r>
      <w:r w:rsidR="00912470" w:rsidRPr="00BD780E">
        <w:rPr>
          <w:rFonts w:cs="Arial"/>
          <w:bCs/>
        </w:rPr>
        <w:t>het college, vast bureau</w:t>
      </w:r>
      <w:r w:rsidRPr="00BD780E">
        <w:rPr>
          <w:rFonts w:cs="Arial"/>
          <w:bCs/>
        </w:rPr>
        <w:t xml:space="preserve"> of aan de </w:t>
      </w:r>
      <w:r w:rsidR="003474E1" w:rsidRPr="00BD780E">
        <w:rPr>
          <w:rFonts w:cs="Arial"/>
          <w:bCs/>
        </w:rPr>
        <w:t>algemeen directeur</w:t>
      </w:r>
      <w:r w:rsidRPr="00BD780E">
        <w:rPr>
          <w:rFonts w:cs="Arial"/>
          <w:bCs/>
        </w:rPr>
        <w:t xml:space="preserve">. Bij eventuele delegatie aan de </w:t>
      </w:r>
      <w:r w:rsidR="003474E1" w:rsidRPr="00BD780E">
        <w:rPr>
          <w:rFonts w:cs="Arial"/>
          <w:bCs/>
        </w:rPr>
        <w:t>algemeen directeur</w:t>
      </w:r>
      <w:r w:rsidRPr="00BD780E">
        <w:rPr>
          <w:rFonts w:cs="Arial"/>
          <w:bCs/>
        </w:rPr>
        <w:t>, kan deze de bevoegdheid verder delegeren aan één van de leden van het managementteam.</w:t>
      </w:r>
    </w:p>
    <w:p w14:paraId="2C60424F" w14:textId="37BA6862" w:rsidR="00BE50FF" w:rsidRPr="00037A46" w:rsidRDefault="00BE50FF" w:rsidP="00BC72D3">
      <w:pPr>
        <w:ind w:left="0"/>
        <w:rPr>
          <w:rFonts w:cs="Arial"/>
        </w:rPr>
      </w:pPr>
      <w:r w:rsidRPr="00BD780E">
        <w:rPr>
          <w:bCs/>
        </w:rPr>
        <w:t>§3</w:t>
      </w:r>
      <w:r w:rsidR="00BD780E" w:rsidRPr="00BD780E">
        <w:rPr>
          <w:bCs/>
        </w:rPr>
        <w:t>.</w:t>
      </w:r>
      <w:r w:rsidRPr="00BD780E">
        <w:rPr>
          <w:bCs/>
        </w:rPr>
        <w:t xml:space="preserve"> </w:t>
      </w:r>
      <w:r w:rsidRPr="00BD780E">
        <w:rPr>
          <w:rFonts w:cs="Arial"/>
          <w:bCs/>
        </w:rPr>
        <w:t xml:space="preserve">In overeenstemming </w:t>
      </w:r>
      <w:r w:rsidRPr="00037A46">
        <w:rPr>
          <w:rFonts w:cs="Arial"/>
        </w:rPr>
        <w:t xml:space="preserve">met artikel </w:t>
      </w:r>
      <w:r w:rsidR="009134A3" w:rsidRPr="00037A46">
        <w:rPr>
          <w:rFonts w:cs="Arial"/>
        </w:rPr>
        <w:t>183 DLB</w:t>
      </w:r>
      <w:r w:rsidRPr="00037A46">
        <w:rPr>
          <w:rFonts w:cs="Arial"/>
        </w:rPr>
        <w:t xml:space="preserve"> legt een maatschappelijk werker, voor hij zijn ambt opneemt, de volgende eed af in handen van de voorzitter van de raad: </w:t>
      </w:r>
    </w:p>
    <w:p w14:paraId="03DC8993" w14:textId="77777777" w:rsidR="00BE50FF" w:rsidRPr="00037A46" w:rsidRDefault="00BE50FF" w:rsidP="00BC72D3">
      <w:pPr>
        <w:ind w:left="0"/>
      </w:pPr>
      <w:r w:rsidRPr="00037A46">
        <w:rPr>
          <w:rFonts w:cs="Arial"/>
        </w:rPr>
        <w:t>“Ik zweer de verplichtingen van mijn ambt trouw na te komen.”</w:t>
      </w:r>
    </w:p>
    <w:p w14:paraId="3E967AB5" w14:textId="77777777" w:rsidR="00BE50FF" w:rsidRPr="00037A46" w:rsidRDefault="00BE50FF" w:rsidP="00BE50FF"/>
    <w:p w14:paraId="2DEE5556" w14:textId="75CB492A" w:rsidR="00BE50FF" w:rsidRPr="00037A46" w:rsidRDefault="00BE50FF" w:rsidP="00096C8C">
      <w:pPr>
        <w:ind w:left="0"/>
        <w:rPr>
          <w:b/>
          <w:bCs/>
        </w:rPr>
      </w:pPr>
      <w:r w:rsidRPr="00037A46">
        <w:rPr>
          <w:b/>
          <w:bCs/>
        </w:rPr>
        <w:t>Artikel</w:t>
      </w:r>
      <w:r w:rsidR="00661F4E">
        <w:rPr>
          <w:b/>
          <w:bCs/>
        </w:rPr>
        <w:t xml:space="preserve"> </w:t>
      </w:r>
      <w:r w:rsidR="009D47D0">
        <w:rPr>
          <w:b/>
          <w:bCs/>
        </w:rPr>
        <w:t xml:space="preserve">20 </w:t>
      </w:r>
    </w:p>
    <w:p w14:paraId="2B4C8714" w14:textId="77777777" w:rsidR="00BE50FF" w:rsidRPr="00037A46" w:rsidRDefault="00BE50FF" w:rsidP="00BC72D3">
      <w:pPr>
        <w:ind w:left="0"/>
        <w:rPr>
          <w:rFonts w:cs="Arial"/>
        </w:rPr>
      </w:pPr>
      <w:r w:rsidRPr="00037A46">
        <w:rPr>
          <w:rFonts w:cs="Arial"/>
        </w:rPr>
        <w:t>De functiehouder die zonder wettige reden de eed niet aflegt nadat het met een aangetekende brief uitgenodigd is om de eed af te leggen op de eerstvolgende vergadering van de raad, wordt geacht zijn aanstelling niet te aanvaarden.</w:t>
      </w:r>
    </w:p>
    <w:p w14:paraId="31E6E501" w14:textId="77777777" w:rsidR="00BE50FF" w:rsidRPr="00037A46" w:rsidRDefault="00BE50FF" w:rsidP="00BC72D3">
      <w:pPr>
        <w:ind w:left="0"/>
      </w:pPr>
      <w:r w:rsidRPr="00037A46">
        <w:t>De weigering tot eedaflegging staat gelijk met verzaking aan de aanstelling. Van de eedaflegging of de weigering om de eed af te leggen, wordt een proces-verbaal opgesteld.</w:t>
      </w:r>
    </w:p>
    <w:p w14:paraId="01EC2FEF" w14:textId="77777777" w:rsidR="003A11FB" w:rsidRPr="00037A46" w:rsidRDefault="003A11FB" w:rsidP="003A11FB">
      <w:pPr>
        <w:pStyle w:val="StandaardUitvullen"/>
      </w:pPr>
    </w:p>
    <w:p w14:paraId="5CF78BC2" w14:textId="29FAF3C8" w:rsidR="003A11FB" w:rsidRPr="00037A46" w:rsidRDefault="003A11FB" w:rsidP="00B44CF7">
      <w:pPr>
        <w:pStyle w:val="Kop2"/>
      </w:pPr>
      <w:r w:rsidRPr="00037A46">
        <w:br w:type="page"/>
      </w:r>
      <w:bookmarkStart w:id="71" w:name="_Toc110948131"/>
      <w:bookmarkStart w:id="72" w:name="_Toc215738950"/>
      <w:r w:rsidRPr="00D346A2">
        <w:lastRenderedPageBreak/>
        <w:t xml:space="preserve">Hoofdstuk </w:t>
      </w:r>
      <w:r w:rsidR="00B66F99" w:rsidRPr="00D346A2">
        <w:t>IV</w:t>
      </w:r>
      <w:r w:rsidRPr="00D346A2">
        <w:t xml:space="preserve">. de </w:t>
      </w:r>
      <w:r w:rsidR="003670C5" w:rsidRPr="00D346A2">
        <w:t>inwerkperiode</w:t>
      </w:r>
      <w:bookmarkEnd w:id="71"/>
      <w:bookmarkEnd w:id="72"/>
    </w:p>
    <w:p w14:paraId="1FB98A91" w14:textId="28F7D005" w:rsidR="003A11FB" w:rsidRPr="00037A46" w:rsidRDefault="003A11FB" w:rsidP="003A11FB">
      <w:pPr>
        <w:pStyle w:val="Kop3"/>
      </w:pPr>
      <w:bookmarkStart w:id="73" w:name="_Toc110948132"/>
      <w:bookmarkStart w:id="74" w:name="_Toc215738951"/>
      <w:r w:rsidRPr="00037A46">
        <w:t>Afdeling 1. algemene bepalingen</w:t>
      </w:r>
      <w:bookmarkEnd w:id="73"/>
      <w:bookmarkEnd w:id="74"/>
    </w:p>
    <w:p w14:paraId="2C05952C" w14:textId="6687A282" w:rsidR="003A11FB" w:rsidRPr="00037A46" w:rsidRDefault="003A11FB" w:rsidP="008B7866">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w:t>
      </w:r>
      <w:r w:rsidR="009D47D0">
        <w:rPr>
          <w:rFonts w:eastAsia="Calibri" w:cs="Arial"/>
          <w:b/>
          <w:bCs/>
          <w:kern w:val="2"/>
          <w:lang w:val="nl-BE" w:eastAsia="en-US"/>
          <w14:ligatures w14:val="standardContextual"/>
        </w:rPr>
        <w:t>21</w:t>
      </w:r>
    </w:p>
    <w:p w14:paraId="21A295AA" w14:textId="77777777" w:rsidR="00B661FE" w:rsidRDefault="00B661FE" w:rsidP="00BC72D3">
      <w:pPr>
        <w:pStyle w:val="StandaardUitvullen"/>
        <w:ind w:left="0"/>
      </w:pPr>
      <w:r w:rsidRPr="00B661FE">
        <w:t>De inwerkperiode is van toepassing bij aanwerving en zowel voor statutairen als contractuelen met een arbeidsovereenkomst van onbepaalde duur die een volledige aanwervingsprocedure hebben doorlopen. De inwerkperiode beoogt de integratie van het personeelslid in het bestuur en de inwerking in zijn functie en stelt de aanstellende overheid in staat de geschiktheid van het personeelslid voor de functie te verifiëren.</w:t>
      </w:r>
    </w:p>
    <w:p w14:paraId="2E263D2C" w14:textId="33AE994C" w:rsidR="00060D02" w:rsidRPr="00037A46" w:rsidRDefault="00060D02" w:rsidP="00BC72D3">
      <w:pPr>
        <w:pStyle w:val="StandaardUitvullen"/>
        <w:ind w:left="0"/>
      </w:pPr>
      <w:r w:rsidRPr="00037A46">
        <w:t xml:space="preserve">De leidinggevende van het personeelslid maakt onder de eindverantwoordelijkheid van de </w:t>
      </w:r>
      <w:r w:rsidR="003474E1" w:rsidRPr="00037A46">
        <w:t>algemeen directeur</w:t>
      </w:r>
      <w:r w:rsidRPr="00037A46">
        <w:t xml:space="preserve"> de concrete afspraken voor de actieve inwerking van het personeelslid in zijn functie en zijn integratie in de gemeentelijke </w:t>
      </w:r>
      <w:r w:rsidR="00950DAE" w:rsidRPr="00037A46">
        <w:t>en OCMW-</w:t>
      </w:r>
      <w:r w:rsidRPr="00037A46">
        <w:t xml:space="preserve">diensten. </w:t>
      </w:r>
      <w:r w:rsidR="00FA10E7" w:rsidRPr="00FC3C9E">
        <w:t>Uiterlijk binnen de veertien kalenderdagen wordt de functiebeschrijving met de medewerker overlopen.</w:t>
      </w:r>
    </w:p>
    <w:p w14:paraId="4A570D43" w14:textId="78399991" w:rsidR="003A11FB" w:rsidRPr="00037A46" w:rsidRDefault="003A11FB" w:rsidP="003A11FB">
      <w:pPr>
        <w:pStyle w:val="Kop3"/>
      </w:pPr>
      <w:bookmarkStart w:id="75" w:name="_Toc110948133"/>
      <w:bookmarkStart w:id="76" w:name="_Toc215738952"/>
      <w:r w:rsidRPr="00037A46">
        <w:t xml:space="preserve">Afdeling 2. de duur van de </w:t>
      </w:r>
      <w:r w:rsidR="003670C5">
        <w:t>inwerkperiode</w:t>
      </w:r>
      <w:r w:rsidRPr="00037A46">
        <w:t xml:space="preserve"> en de evaluatie tijdens de </w:t>
      </w:r>
      <w:r w:rsidR="003670C5">
        <w:t>inwerkperiode</w:t>
      </w:r>
      <w:bookmarkEnd w:id="75"/>
      <w:bookmarkEnd w:id="76"/>
    </w:p>
    <w:p w14:paraId="08A48FD8" w14:textId="5691A0D1" w:rsidR="003A11FB" w:rsidRPr="00037A46" w:rsidRDefault="003A11FB" w:rsidP="003A11FB">
      <w:pPr>
        <w:pStyle w:val="Kop5"/>
      </w:pPr>
      <w:r w:rsidRPr="00037A46">
        <w:t xml:space="preserve">Artikel </w:t>
      </w:r>
      <w:r w:rsidR="009D47D0">
        <w:t>22</w:t>
      </w:r>
    </w:p>
    <w:p w14:paraId="2C2F1668" w14:textId="782F55EF" w:rsidR="003A11FB" w:rsidRPr="00037A46" w:rsidRDefault="003778DE" w:rsidP="00BC72D3">
      <w:pPr>
        <w:pStyle w:val="StandaardUitvullen"/>
        <w:ind w:left="0"/>
      </w:pPr>
      <w:r>
        <w:t xml:space="preserve">§1. </w:t>
      </w:r>
      <w:r w:rsidR="003A11FB" w:rsidRPr="00037A46">
        <w:t xml:space="preserve">De duur van de </w:t>
      </w:r>
      <w:r w:rsidR="003670C5">
        <w:t>inwerkperiode</w:t>
      </w:r>
      <w:r w:rsidR="003A11FB" w:rsidRPr="00037A46">
        <w:t xml:space="preserve"> bedraagt: </w:t>
      </w:r>
    </w:p>
    <w:p w14:paraId="257B4B74" w14:textId="2032BB2D" w:rsidR="003A11FB" w:rsidRPr="00FC3C9E" w:rsidRDefault="003A11FB" w:rsidP="009D4C40">
      <w:pPr>
        <w:pStyle w:val="StandaardUitvullen"/>
        <w:numPr>
          <w:ilvl w:val="0"/>
          <w:numId w:val="19"/>
        </w:numPr>
      </w:pPr>
      <w:r w:rsidRPr="00037A46">
        <w:t>voor functie</w:t>
      </w:r>
      <w:r w:rsidR="00986D7E" w:rsidRPr="00037A46">
        <w:t>s</w:t>
      </w:r>
      <w:r w:rsidRPr="00037A46">
        <w:t xml:space="preserve"> van niveau C</w:t>
      </w:r>
      <w:r w:rsidR="004460CF">
        <w:t xml:space="preserve"> en</w:t>
      </w:r>
      <w:r w:rsidRPr="00037A46">
        <w:t xml:space="preserve"> </w:t>
      </w:r>
      <w:r w:rsidRPr="00FC3C9E">
        <w:t>D</w:t>
      </w:r>
      <w:r w:rsidR="007F5CBA" w:rsidRPr="00FC3C9E">
        <w:t xml:space="preserve"> of IFIC 13 of lager</w:t>
      </w:r>
      <w:r w:rsidRPr="00FC3C9E">
        <w:t>: zes maanden;</w:t>
      </w:r>
    </w:p>
    <w:p w14:paraId="060A7969" w14:textId="7428F80F" w:rsidR="003A11FB" w:rsidRPr="00FC3C9E" w:rsidRDefault="003A11FB" w:rsidP="009D4C40">
      <w:pPr>
        <w:pStyle w:val="StandaardUitvullen"/>
        <w:numPr>
          <w:ilvl w:val="0"/>
          <w:numId w:val="19"/>
        </w:numPr>
      </w:pPr>
      <w:r w:rsidRPr="00FC3C9E">
        <w:t>voor de decretale graden en voor functies van niveau A en B</w:t>
      </w:r>
      <w:r w:rsidR="007F5CBA" w:rsidRPr="00FC3C9E">
        <w:t xml:space="preserve"> of IFIC 14 of hoger</w:t>
      </w:r>
      <w:r w:rsidRPr="00FC3C9E">
        <w:t>: twaalf maanden.</w:t>
      </w:r>
    </w:p>
    <w:p w14:paraId="2A108C76" w14:textId="77777777" w:rsidR="003778DE" w:rsidRDefault="003778DE" w:rsidP="00BC72D3">
      <w:pPr>
        <w:pStyle w:val="StandaardUitvullen"/>
        <w:ind w:left="0"/>
      </w:pPr>
      <w:r>
        <w:t>§2. Voor de berekening van de duur van de inwerkperiode worden in aanmerking genomen:</w:t>
      </w:r>
    </w:p>
    <w:p w14:paraId="57E9642E" w14:textId="77777777" w:rsidR="003778DE" w:rsidRDefault="003778DE" w:rsidP="003778DE">
      <w:pPr>
        <w:pStyle w:val="StandaardUitvullen"/>
      </w:pPr>
      <w:r>
        <w:t>1.</w:t>
      </w:r>
      <w:r>
        <w:tab/>
        <w:t>elke periode waarin het personeelslid effectief prestaties heeft verricht;</w:t>
      </w:r>
    </w:p>
    <w:p w14:paraId="2FB52655" w14:textId="77777777" w:rsidR="003778DE" w:rsidRDefault="003778DE" w:rsidP="003778DE">
      <w:pPr>
        <w:pStyle w:val="StandaardUitvullen"/>
      </w:pPr>
      <w:r>
        <w:t>2.</w:t>
      </w:r>
      <w:r>
        <w:tab/>
        <w:t>de afwezigheden in het kader van het jaarlijks vakantieverlof en voor deelname aan vormingsactiviteiten.</w:t>
      </w:r>
    </w:p>
    <w:p w14:paraId="538C5AC0" w14:textId="77777777" w:rsidR="003778DE" w:rsidRDefault="003778DE" w:rsidP="00BC72D3">
      <w:pPr>
        <w:pStyle w:val="StandaardUitvullen"/>
        <w:ind w:left="0"/>
      </w:pPr>
      <w:r>
        <w:t>De inwerkperiode wordt verlengd als het totale aantal dagen afwezigheden, met uitzondering van die vermeld in §2, punt 2, meer is dan vijftien werkdagen (5-dagenweek).</w:t>
      </w:r>
    </w:p>
    <w:p w14:paraId="593B33F3" w14:textId="4A8269B7" w:rsidR="003778DE" w:rsidRPr="00037A46" w:rsidRDefault="003778DE" w:rsidP="00BC72D3">
      <w:pPr>
        <w:pStyle w:val="StandaardUitvullen"/>
        <w:ind w:left="0"/>
      </w:pPr>
      <w:r>
        <w:t>De inwerkperiode wordt verlengd met het totaal aantal werkdagen van de afwezigheden. Zaterdagen en zondagen worden nooit meegerekend om de verlengingstermijn vast te stellen.</w:t>
      </w:r>
    </w:p>
    <w:p w14:paraId="00142640" w14:textId="0E8A7DB3" w:rsidR="003A11FB" w:rsidRPr="00037A46" w:rsidRDefault="003A11FB" w:rsidP="003A11FB">
      <w:pPr>
        <w:pStyle w:val="Kop5"/>
      </w:pPr>
      <w:r w:rsidRPr="00037A46">
        <w:t xml:space="preserve">Artikel </w:t>
      </w:r>
      <w:r w:rsidR="009D47D0">
        <w:t>23</w:t>
      </w:r>
    </w:p>
    <w:p w14:paraId="200C07F2" w14:textId="2135AA20" w:rsidR="003A11FB" w:rsidRPr="00BD780E" w:rsidRDefault="00057DE7" w:rsidP="00BC72D3">
      <w:pPr>
        <w:ind w:left="0"/>
        <w:rPr>
          <w:bCs/>
        </w:rPr>
      </w:pPr>
      <w:r w:rsidRPr="00BD780E">
        <w:rPr>
          <w:bCs/>
        </w:rPr>
        <w:t>§</w:t>
      </w:r>
      <w:r w:rsidR="003A11FB" w:rsidRPr="00BD780E">
        <w:rPr>
          <w:bCs/>
        </w:rPr>
        <w:t>1</w:t>
      </w:r>
      <w:r w:rsidR="00BD780E" w:rsidRPr="00BD780E">
        <w:rPr>
          <w:bCs/>
        </w:rPr>
        <w:t>.</w:t>
      </w:r>
      <w:r w:rsidR="00B3533A" w:rsidRPr="00BD780E">
        <w:rPr>
          <w:bCs/>
        </w:rPr>
        <w:t xml:space="preserve"> </w:t>
      </w:r>
      <w:r w:rsidR="003A11FB" w:rsidRPr="00BD780E">
        <w:rPr>
          <w:bCs/>
        </w:rPr>
        <w:t xml:space="preserve">Voor de berekening van de duur van de </w:t>
      </w:r>
      <w:r w:rsidR="003670C5" w:rsidRPr="00BD780E">
        <w:rPr>
          <w:bCs/>
        </w:rPr>
        <w:t>inwerkperiode</w:t>
      </w:r>
      <w:r w:rsidR="003A11FB" w:rsidRPr="00BD780E">
        <w:rPr>
          <w:bCs/>
        </w:rPr>
        <w:t xml:space="preserve"> wordt elke periode in aanmerking genomen waarin het personeelslid effectief prestaties heeft verricht.</w:t>
      </w:r>
    </w:p>
    <w:p w14:paraId="08998637" w14:textId="2C47E8D9" w:rsidR="003A11FB" w:rsidRPr="00BD780E" w:rsidRDefault="003A11FB" w:rsidP="00BC72D3">
      <w:pPr>
        <w:pStyle w:val="StandaardUitvullen"/>
        <w:ind w:left="0"/>
        <w:rPr>
          <w:bCs/>
        </w:rPr>
      </w:pPr>
      <w:r w:rsidRPr="00BD780E">
        <w:rPr>
          <w:bCs/>
        </w:rPr>
        <w:t xml:space="preserve">De </w:t>
      </w:r>
      <w:r w:rsidR="003670C5" w:rsidRPr="00BD780E">
        <w:rPr>
          <w:bCs/>
        </w:rPr>
        <w:t>inwerkperiode</w:t>
      </w:r>
      <w:r w:rsidRPr="00BD780E">
        <w:rPr>
          <w:bCs/>
        </w:rPr>
        <w:t xml:space="preserve"> wordt verlengd met het totale aantal afwezigheden, met uitzondering van de afwezigheden in het kader van het jaarlijks vakantieverlof en voor deelname aan vormingsactiviteiten.</w:t>
      </w:r>
    </w:p>
    <w:p w14:paraId="27612057" w14:textId="0AC17C16" w:rsidR="005A156F" w:rsidRDefault="00057DE7" w:rsidP="00FC3C9E">
      <w:pPr>
        <w:ind w:left="0"/>
      </w:pPr>
      <w:r w:rsidRPr="00BD780E">
        <w:rPr>
          <w:bCs/>
        </w:rPr>
        <w:t>§</w:t>
      </w:r>
      <w:r w:rsidR="003A11FB" w:rsidRPr="00BD780E">
        <w:rPr>
          <w:bCs/>
        </w:rPr>
        <w:t>2</w:t>
      </w:r>
      <w:r w:rsidR="00BD780E" w:rsidRPr="00BD780E">
        <w:rPr>
          <w:bCs/>
        </w:rPr>
        <w:t>.</w:t>
      </w:r>
      <w:r w:rsidR="00B3533A" w:rsidRPr="00BD780E">
        <w:rPr>
          <w:bCs/>
        </w:rPr>
        <w:t xml:space="preserve"> </w:t>
      </w:r>
      <w:r w:rsidR="003A11FB" w:rsidRPr="00BD780E">
        <w:rPr>
          <w:bCs/>
        </w:rPr>
        <w:t xml:space="preserve">In afwijking van artikel </w:t>
      </w:r>
      <w:r w:rsidR="001D1E3D" w:rsidRPr="00BD780E">
        <w:rPr>
          <w:bCs/>
        </w:rPr>
        <w:t>22</w:t>
      </w:r>
      <w:r w:rsidR="003A11FB" w:rsidRPr="00BD780E">
        <w:rPr>
          <w:bCs/>
        </w:rPr>
        <w:t xml:space="preserve">, wordt de </w:t>
      </w:r>
      <w:r w:rsidR="003670C5" w:rsidRPr="00BD780E">
        <w:rPr>
          <w:bCs/>
        </w:rPr>
        <w:t>inwerkperiode</w:t>
      </w:r>
      <w:r w:rsidR="003A11FB" w:rsidRPr="00BD780E">
        <w:rPr>
          <w:bCs/>
        </w:rPr>
        <w:t xml:space="preserve"> vastgesteld rekening houdend met de normale studieduur</w:t>
      </w:r>
      <w:r w:rsidR="003A11FB" w:rsidRPr="00037A46">
        <w:t xml:space="preserve"> die nodig is om een akte te behalen, als de voorwaarden bepalen dat de kandidaten tijdens de </w:t>
      </w:r>
      <w:r w:rsidR="00592430">
        <w:t>inwerkperiode</w:t>
      </w:r>
      <w:r w:rsidR="003A11FB" w:rsidRPr="00037A46">
        <w:t xml:space="preserve"> een attest of getuigschrift </w:t>
      </w:r>
      <w:r w:rsidR="006377E0">
        <w:t>moeten</w:t>
      </w:r>
      <w:r w:rsidR="003A11FB" w:rsidRPr="00037A46">
        <w:t xml:space="preserve"> behalen. </w:t>
      </w:r>
    </w:p>
    <w:p w14:paraId="71E9EB0F" w14:textId="7D0E445A" w:rsidR="003A11FB" w:rsidRPr="00037A46" w:rsidRDefault="003A11FB" w:rsidP="003A11FB">
      <w:pPr>
        <w:pStyle w:val="Kop5"/>
      </w:pPr>
      <w:r w:rsidRPr="00037A46">
        <w:t xml:space="preserve">Artikel </w:t>
      </w:r>
      <w:r w:rsidR="009D47D0">
        <w:t>24</w:t>
      </w:r>
    </w:p>
    <w:p w14:paraId="35EB8CF8" w14:textId="76711668" w:rsidR="003A11FB" w:rsidRPr="00037A46" w:rsidRDefault="00E0628E" w:rsidP="00BC72D3">
      <w:pPr>
        <w:pStyle w:val="StandaardUitvullen"/>
        <w:ind w:left="0"/>
      </w:pPr>
      <w:r>
        <w:t xml:space="preserve">Het personeelslid wordt geëvalueerd door de rechtstreeks leidinggevende. Op vraag van één van beide partijen, kan ook de tweede evaluator optreden. </w:t>
      </w:r>
    </w:p>
    <w:p w14:paraId="288BDCF0" w14:textId="77777777" w:rsidR="003A11FB" w:rsidRDefault="003A11FB" w:rsidP="00BC72D3">
      <w:pPr>
        <w:pStyle w:val="StandaardUitvullen"/>
        <w:ind w:left="0"/>
      </w:pPr>
      <w:r w:rsidRPr="00037A46">
        <w:t>Indien het personeelslid slechts één leidinggevende heeft, treedt deze op als enige evaluator.</w:t>
      </w:r>
    </w:p>
    <w:p w14:paraId="18A7AAAC" w14:textId="0B624580" w:rsidR="003A11FB" w:rsidRPr="00037A46" w:rsidRDefault="003A11FB" w:rsidP="003A11FB">
      <w:pPr>
        <w:pStyle w:val="Kop5"/>
      </w:pPr>
      <w:r w:rsidRPr="00037A46">
        <w:t xml:space="preserve">Artikel </w:t>
      </w:r>
      <w:r w:rsidR="009D47D0">
        <w:t>25</w:t>
      </w:r>
    </w:p>
    <w:p w14:paraId="734B46E6" w14:textId="1487EA7A" w:rsidR="003A11FB" w:rsidRPr="00BD780E" w:rsidRDefault="00057DE7" w:rsidP="00BC72D3">
      <w:pPr>
        <w:ind w:left="0"/>
        <w:rPr>
          <w:bCs/>
        </w:rPr>
      </w:pPr>
      <w:r w:rsidRPr="00BD780E">
        <w:rPr>
          <w:bCs/>
        </w:rPr>
        <w:lastRenderedPageBreak/>
        <w:t>§</w:t>
      </w:r>
      <w:r w:rsidR="003A11FB" w:rsidRPr="00BD780E">
        <w:rPr>
          <w:bCs/>
        </w:rPr>
        <w:t>1</w:t>
      </w:r>
      <w:r w:rsidR="00BD780E" w:rsidRPr="00BD780E">
        <w:rPr>
          <w:bCs/>
        </w:rPr>
        <w:t>.</w:t>
      </w:r>
      <w:r w:rsidR="00B3533A" w:rsidRPr="00BD780E">
        <w:rPr>
          <w:bCs/>
        </w:rPr>
        <w:t xml:space="preserve"> </w:t>
      </w:r>
      <w:r w:rsidR="003A11FB" w:rsidRPr="00BD780E">
        <w:rPr>
          <w:bCs/>
        </w:rPr>
        <w:t xml:space="preserve">Als de helft van de </w:t>
      </w:r>
      <w:r w:rsidR="003670C5" w:rsidRPr="00BD780E">
        <w:rPr>
          <w:bCs/>
        </w:rPr>
        <w:t>inwerkperiode</w:t>
      </w:r>
      <w:r w:rsidR="003A11FB" w:rsidRPr="00BD780E">
        <w:rPr>
          <w:bCs/>
        </w:rPr>
        <w:t xml:space="preserve"> verstreken is, wordt met het personeelslid een tussentijds evaluatiegesprek gevoerd.</w:t>
      </w:r>
    </w:p>
    <w:p w14:paraId="29EBCB29" w14:textId="77777777" w:rsidR="003A11FB" w:rsidRPr="00BD780E" w:rsidRDefault="003A11FB" w:rsidP="00BC72D3">
      <w:pPr>
        <w:pStyle w:val="StandaardUitvullen"/>
        <w:ind w:left="0"/>
        <w:rPr>
          <w:bCs/>
        </w:rPr>
      </w:pPr>
      <w:r w:rsidRPr="00BD780E">
        <w:rPr>
          <w:bCs/>
        </w:rPr>
        <w:t xml:space="preserve">In het tussentijdse evaluatiegesprek wordt een stand van zaken opgemaakt over de mate waarin de inwerking van het personeelslid in zijn functie vordert en de mate waarin het personeelslid voldoet aan de functievereisten. </w:t>
      </w:r>
    </w:p>
    <w:p w14:paraId="55DDA30F" w14:textId="0A6762E6" w:rsidR="003A11FB" w:rsidRPr="00BD780E" w:rsidRDefault="003A11FB" w:rsidP="00BC72D3">
      <w:pPr>
        <w:pStyle w:val="StandaardUitvullen"/>
        <w:ind w:left="0"/>
        <w:rPr>
          <w:bCs/>
        </w:rPr>
      </w:pPr>
      <w:r w:rsidRPr="00BD780E">
        <w:rPr>
          <w:bCs/>
        </w:rPr>
        <w:t xml:space="preserve">Na het evaluatiegesprek stellen de evaluatoren de tussentijdse evaluatie van de </w:t>
      </w:r>
      <w:r w:rsidR="003670C5" w:rsidRPr="00BD780E">
        <w:rPr>
          <w:bCs/>
        </w:rPr>
        <w:t>inwerkperiode</w:t>
      </w:r>
      <w:r w:rsidRPr="00BD780E">
        <w:rPr>
          <w:bCs/>
        </w:rPr>
        <w:t xml:space="preserve"> vast in een kwalitatief beschrijvend evaluatieverslag dat het evaluatieresultaat afdoende onderbouwt. Het resultaat van de tussentijdse evaluatie is gunstig of ongunstig.</w:t>
      </w:r>
      <w:r w:rsidR="00602CD4" w:rsidRPr="00BD780E">
        <w:rPr>
          <w:bCs/>
        </w:rPr>
        <w:t xml:space="preserve"> Zo nodig worden bijsturingen afgesproken.</w:t>
      </w:r>
    </w:p>
    <w:p w14:paraId="575B1068" w14:textId="1D71B267" w:rsidR="003A11FB" w:rsidRPr="00037A46" w:rsidRDefault="00057DE7" w:rsidP="00BC72D3">
      <w:pPr>
        <w:ind w:left="0"/>
      </w:pPr>
      <w:r w:rsidRPr="00BD780E">
        <w:rPr>
          <w:bCs/>
        </w:rPr>
        <w:t>§</w:t>
      </w:r>
      <w:r w:rsidR="001B408B" w:rsidRPr="00BD780E">
        <w:rPr>
          <w:bCs/>
        </w:rPr>
        <w:t>2</w:t>
      </w:r>
      <w:r w:rsidR="00BD780E" w:rsidRPr="00BD780E">
        <w:rPr>
          <w:bCs/>
        </w:rPr>
        <w:t>.</w:t>
      </w:r>
      <w:r w:rsidR="00B3533A" w:rsidRPr="00BD780E">
        <w:rPr>
          <w:bCs/>
        </w:rPr>
        <w:t xml:space="preserve"> </w:t>
      </w:r>
      <w:r w:rsidR="003A11FB" w:rsidRPr="00BD780E">
        <w:rPr>
          <w:bCs/>
        </w:rPr>
        <w:t xml:space="preserve">Het </w:t>
      </w:r>
      <w:r w:rsidR="006A7E58" w:rsidRPr="00BD780E">
        <w:rPr>
          <w:bCs/>
        </w:rPr>
        <w:t>p</w:t>
      </w:r>
      <w:r w:rsidR="003A11FB" w:rsidRPr="00BD780E">
        <w:rPr>
          <w:bCs/>
        </w:rPr>
        <w:t xml:space="preserve">ersoneelslid met een ongunstig evaluatieresultaat voor de tussentijdse evaluatie van de </w:t>
      </w:r>
      <w:r w:rsidR="003670C5" w:rsidRPr="00BD780E">
        <w:rPr>
          <w:bCs/>
        </w:rPr>
        <w:t>inwerkperiode</w:t>
      </w:r>
      <w:r w:rsidR="003A11FB" w:rsidRPr="00037A46">
        <w:t xml:space="preserve"> wordt ontslagen</w:t>
      </w:r>
      <w:r w:rsidR="00FC3C9E">
        <w:t>.</w:t>
      </w:r>
    </w:p>
    <w:p w14:paraId="5B914816" w14:textId="77777777" w:rsidR="003A11FB" w:rsidRPr="00037A46" w:rsidRDefault="00A67B8D" w:rsidP="00BC72D3">
      <w:pPr>
        <w:pStyle w:val="StandaardUitvullen"/>
        <w:ind w:left="0"/>
      </w:pPr>
      <w:r w:rsidRPr="00037A46">
        <w:t>De aanstellende overheid hoort het personeelslid vooraf.</w:t>
      </w:r>
    </w:p>
    <w:p w14:paraId="6F8759D1" w14:textId="4D5CAD3C" w:rsidR="003A11FB" w:rsidRPr="00037A46" w:rsidRDefault="003A11FB" w:rsidP="003A11FB">
      <w:pPr>
        <w:pStyle w:val="Kop5"/>
      </w:pPr>
      <w:r w:rsidRPr="00037A46">
        <w:t xml:space="preserve">Artikel </w:t>
      </w:r>
      <w:r w:rsidR="009D47D0">
        <w:t>26</w:t>
      </w:r>
    </w:p>
    <w:p w14:paraId="368DA15C" w14:textId="4C67EFAF" w:rsidR="003A11FB" w:rsidRPr="00037A46" w:rsidRDefault="003A11FB" w:rsidP="00BC72D3">
      <w:pPr>
        <w:ind w:left="0"/>
      </w:pPr>
      <w:r w:rsidRPr="00037A46">
        <w:t xml:space="preserve">De eindevaluatie van de </w:t>
      </w:r>
      <w:r w:rsidR="003670C5">
        <w:t>inwerkperiode</w:t>
      </w:r>
      <w:r w:rsidRPr="00037A46">
        <w:t xml:space="preserve"> vindt plaats v</w:t>
      </w:r>
      <w:r w:rsidR="00C57DBC" w:rsidRPr="00037A46">
        <w:t>óó</w:t>
      </w:r>
      <w:r w:rsidRPr="00037A46">
        <w:t xml:space="preserve">r de afloop van de </w:t>
      </w:r>
      <w:r w:rsidR="003670C5">
        <w:t>inwerkperiode</w:t>
      </w:r>
      <w:r w:rsidRPr="00037A46">
        <w:t>.</w:t>
      </w:r>
    </w:p>
    <w:p w14:paraId="727418C4" w14:textId="77777777" w:rsidR="003A11FB" w:rsidRPr="00037A46" w:rsidRDefault="003A11FB" w:rsidP="00BC72D3">
      <w:pPr>
        <w:pStyle w:val="StandaardUitvullen"/>
        <w:ind w:left="0"/>
      </w:pPr>
      <w:r w:rsidRPr="00037A46">
        <w:t>Na een evaluatiegesprek stellen evaluatoren de eindevaluatie vast in een kwalitatief beschrijvend evaluatieverslag dat het evaluatieresultaat op afdoende wijze onderbouwt.</w:t>
      </w:r>
    </w:p>
    <w:p w14:paraId="6AE708F1" w14:textId="580CCF34" w:rsidR="003A11FB" w:rsidRPr="00037A46" w:rsidRDefault="003A11FB" w:rsidP="003A11FB">
      <w:pPr>
        <w:pStyle w:val="Kop5"/>
      </w:pPr>
      <w:r w:rsidRPr="00037A46">
        <w:t xml:space="preserve">Artikel </w:t>
      </w:r>
      <w:r w:rsidR="009D47D0">
        <w:t>27</w:t>
      </w:r>
    </w:p>
    <w:p w14:paraId="3C4EFB90" w14:textId="505374FD" w:rsidR="003A11FB" w:rsidRPr="00037A46" w:rsidRDefault="003A11FB" w:rsidP="00BC72D3">
      <w:pPr>
        <w:pStyle w:val="StandaardUitvullen"/>
        <w:ind w:left="0"/>
      </w:pPr>
      <w:r w:rsidRPr="00037A46">
        <w:t xml:space="preserve">Het resultaat van de eindevaluatie van de </w:t>
      </w:r>
      <w:r w:rsidR="003670C5">
        <w:t>inwerkperiode</w:t>
      </w:r>
      <w:r w:rsidRPr="00037A46">
        <w:t xml:space="preserve"> is ofwel gunstig ofwel ongunstig.</w:t>
      </w:r>
    </w:p>
    <w:p w14:paraId="11C289E0" w14:textId="4BEC0EC6" w:rsidR="00035741" w:rsidRDefault="00035741" w:rsidP="00BC72D3">
      <w:pPr>
        <w:pStyle w:val="StandaardUitvullen"/>
        <w:ind w:left="0"/>
      </w:pPr>
      <w:r w:rsidRPr="00F658F1">
        <w:t>Het personeelslid dat een ongunstig evaluatieresultaat heeft gekregen voor de eindevaluatie na de inwerkperiode wordt ontslagen</w:t>
      </w:r>
      <w:r w:rsidRPr="00FC3C9E">
        <w:t>.</w:t>
      </w:r>
    </w:p>
    <w:p w14:paraId="01B92D27" w14:textId="77777777" w:rsidR="00A67B8D" w:rsidRPr="00037A46" w:rsidRDefault="00A67B8D" w:rsidP="00BC72D3">
      <w:pPr>
        <w:pStyle w:val="StandaardUitvullen"/>
        <w:ind w:left="0"/>
      </w:pPr>
      <w:r w:rsidRPr="00037A46">
        <w:t>De aanstellende overheid hoort het personeelslid vooraf.</w:t>
      </w:r>
    </w:p>
    <w:p w14:paraId="3805EEAF" w14:textId="14295ADD" w:rsidR="003A11FB" w:rsidRPr="00037A46" w:rsidRDefault="003A11FB" w:rsidP="003A11FB">
      <w:pPr>
        <w:pStyle w:val="Kop5"/>
      </w:pPr>
      <w:r w:rsidRPr="00037A46">
        <w:t xml:space="preserve">Artikel </w:t>
      </w:r>
      <w:r w:rsidR="009D47D0">
        <w:t>28</w:t>
      </w:r>
    </w:p>
    <w:p w14:paraId="56A28E49" w14:textId="7E8F79F2" w:rsidR="003A11FB" w:rsidRPr="00BD780E" w:rsidRDefault="00057DE7" w:rsidP="00BC72D3">
      <w:pPr>
        <w:ind w:left="0"/>
        <w:rPr>
          <w:bCs/>
        </w:rPr>
      </w:pPr>
      <w:r w:rsidRPr="00BD780E">
        <w:rPr>
          <w:bCs/>
        </w:rPr>
        <w:t>§</w:t>
      </w:r>
      <w:r w:rsidR="003A11FB" w:rsidRPr="00BD780E">
        <w:rPr>
          <w:bCs/>
        </w:rPr>
        <w:t>1</w:t>
      </w:r>
      <w:r w:rsidR="00BD780E" w:rsidRPr="00BD780E">
        <w:rPr>
          <w:bCs/>
        </w:rPr>
        <w:t>.</w:t>
      </w:r>
      <w:r w:rsidR="00B3533A" w:rsidRPr="00BD780E">
        <w:rPr>
          <w:bCs/>
        </w:rPr>
        <w:t xml:space="preserve"> </w:t>
      </w:r>
      <w:r w:rsidR="003A11FB" w:rsidRPr="00BD780E">
        <w:rPr>
          <w:bCs/>
        </w:rPr>
        <w:t xml:space="preserve">De evaluatoren kunnen een verlenging van de </w:t>
      </w:r>
      <w:r w:rsidR="003670C5" w:rsidRPr="00BD780E">
        <w:rPr>
          <w:bCs/>
        </w:rPr>
        <w:t>inwerkperiode</w:t>
      </w:r>
      <w:r w:rsidR="003A11FB" w:rsidRPr="00BD780E">
        <w:rPr>
          <w:bCs/>
        </w:rPr>
        <w:t xml:space="preserve"> voorstellen, als uit de eindevaluatie blijkt dat de duur van de </w:t>
      </w:r>
      <w:r w:rsidR="003670C5" w:rsidRPr="00BD780E">
        <w:rPr>
          <w:bCs/>
        </w:rPr>
        <w:t>inwerkperiode</w:t>
      </w:r>
      <w:r w:rsidR="003A11FB" w:rsidRPr="00BD780E">
        <w:rPr>
          <w:bCs/>
        </w:rPr>
        <w:t xml:space="preserve"> niet volstaat om tot een gefundeerd evaluatieresultaat te komen. </w:t>
      </w:r>
    </w:p>
    <w:p w14:paraId="353967C7" w14:textId="77777777" w:rsidR="003A11FB" w:rsidRPr="00BD780E" w:rsidRDefault="003A11FB" w:rsidP="00BC72D3">
      <w:pPr>
        <w:pStyle w:val="StandaardUitvullen"/>
        <w:ind w:left="0"/>
        <w:rPr>
          <w:bCs/>
        </w:rPr>
      </w:pPr>
      <w:r w:rsidRPr="00BD780E">
        <w:rPr>
          <w:bCs/>
        </w:rPr>
        <w:t xml:space="preserve">In voorkomend geval wordt het voorstel van verlenging gemotiveerd. </w:t>
      </w:r>
    </w:p>
    <w:p w14:paraId="764F0E4A" w14:textId="59594FD6" w:rsidR="003A11FB" w:rsidRPr="00BD780E" w:rsidRDefault="003A11FB" w:rsidP="00BC72D3">
      <w:pPr>
        <w:pStyle w:val="OpmaakprofielUitvullen"/>
        <w:ind w:left="0"/>
        <w:rPr>
          <w:bCs/>
        </w:rPr>
      </w:pPr>
      <w:r w:rsidRPr="00BD780E">
        <w:rPr>
          <w:bCs/>
        </w:rPr>
        <w:t xml:space="preserve">De verlenging kan eenmaal voor maximaal de duur van de </w:t>
      </w:r>
      <w:r w:rsidR="003670C5" w:rsidRPr="00BD780E">
        <w:rPr>
          <w:bCs/>
        </w:rPr>
        <w:t>inwerkperiode</w:t>
      </w:r>
      <w:r w:rsidRPr="00BD780E">
        <w:rPr>
          <w:bCs/>
        </w:rPr>
        <w:t xml:space="preserve"> worden toegepast.</w:t>
      </w:r>
    </w:p>
    <w:p w14:paraId="51E41448" w14:textId="5D800BDA" w:rsidR="003A11FB" w:rsidRPr="00037A46" w:rsidRDefault="00057DE7" w:rsidP="00BC72D3">
      <w:pPr>
        <w:ind w:left="0"/>
      </w:pPr>
      <w:r w:rsidRPr="00BD780E">
        <w:rPr>
          <w:bCs/>
        </w:rPr>
        <w:t>§</w:t>
      </w:r>
      <w:r w:rsidR="003A11FB" w:rsidRPr="00BD780E">
        <w:rPr>
          <w:bCs/>
        </w:rPr>
        <w:t>2</w:t>
      </w:r>
      <w:r w:rsidR="00BD780E" w:rsidRPr="00BD780E">
        <w:rPr>
          <w:bCs/>
        </w:rPr>
        <w:t>.</w:t>
      </w:r>
      <w:r w:rsidR="00B3533A" w:rsidRPr="00BD780E">
        <w:rPr>
          <w:bCs/>
        </w:rPr>
        <w:t xml:space="preserve"> </w:t>
      </w:r>
      <w:r w:rsidR="003A11FB" w:rsidRPr="00BD780E">
        <w:rPr>
          <w:bCs/>
        </w:rPr>
        <w:t>De aanstellende</w:t>
      </w:r>
      <w:r w:rsidR="003A11FB" w:rsidRPr="00037A46">
        <w:t xml:space="preserve"> overheid beslist over de verlenging van de </w:t>
      </w:r>
      <w:r w:rsidR="003670C5">
        <w:t>inwerkperiode</w:t>
      </w:r>
      <w:r w:rsidR="003A11FB" w:rsidRPr="00037A46">
        <w:t>.</w:t>
      </w:r>
    </w:p>
    <w:p w14:paraId="36B788DD" w14:textId="0E75ADF9" w:rsidR="001A2F30" w:rsidRPr="00FC3C9E" w:rsidRDefault="00096EB9" w:rsidP="00BC72D3">
      <w:pPr>
        <w:pStyle w:val="StandaardUitvullen"/>
        <w:ind w:left="0"/>
      </w:pPr>
      <w:r w:rsidRPr="00F658F1">
        <w:t xml:space="preserve">Het personeelslid wordt voor de afloop van de verlengde evaluatieperiode opnieuw geëvalueerd. </w:t>
      </w:r>
      <w:r w:rsidR="001A2F30" w:rsidRPr="00F658F1">
        <w:t xml:space="preserve">Het personeelslid dat een ongunstig evaluatieresultaat heeft gekregen voor de eindevaluatie na de </w:t>
      </w:r>
      <w:r w:rsidRPr="00F658F1">
        <w:t xml:space="preserve">verlengde </w:t>
      </w:r>
      <w:r w:rsidR="001A2F30" w:rsidRPr="00F658F1">
        <w:t>inwerkperiode wordt ontslagen</w:t>
      </w:r>
      <w:r w:rsidR="00FC3C9E">
        <w:t>.</w:t>
      </w:r>
    </w:p>
    <w:p w14:paraId="13A44757" w14:textId="64244120" w:rsidR="00A67B8D" w:rsidRDefault="00A67B8D" w:rsidP="00BC72D3">
      <w:pPr>
        <w:pStyle w:val="StandaardUitvullen"/>
        <w:ind w:left="0"/>
      </w:pPr>
      <w:r w:rsidRPr="00037A46">
        <w:t>De aanstellende overheid hoort het personeelslid vooraf.</w:t>
      </w:r>
    </w:p>
    <w:p w14:paraId="437A6250" w14:textId="64F914A1" w:rsidR="003A11FB" w:rsidRDefault="00C00B31" w:rsidP="00B44CF7">
      <w:pPr>
        <w:pStyle w:val="Kop2"/>
      </w:pPr>
      <w:r w:rsidRPr="00037A46">
        <w:br w:type="page"/>
      </w:r>
      <w:bookmarkStart w:id="77" w:name="_Toc110948135"/>
      <w:bookmarkStart w:id="78" w:name="_Toc215738953"/>
      <w:r w:rsidR="003A11FB" w:rsidRPr="00037A46">
        <w:lastRenderedPageBreak/>
        <w:t xml:space="preserve">Hoofdstuk v. </w:t>
      </w:r>
      <w:bookmarkEnd w:id="77"/>
      <w:r w:rsidR="000A55D5">
        <w:t>opvolging, feedback en evaluatie</w:t>
      </w:r>
      <w:bookmarkEnd w:id="78"/>
    </w:p>
    <w:p w14:paraId="2E26BCCD" w14:textId="1B3087E5" w:rsidR="000A55D5" w:rsidRPr="000A55D5" w:rsidRDefault="000A55D5" w:rsidP="000A55D5">
      <w:pPr>
        <w:pStyle w:val="Kop3"/>
      </w:pPr>
      <w:bookmarkStart w:id="79" w:name="_Toc215738954"/>
      <w:r w:rsidRPr="000A55D5">
        <w:t xml:space="preserve">Afdeling 1. </w:t>
      </w:r>
      <w:r>
        <w:t>opvolging en feedback</w:t>
      </w:r>
      <w:bookmarkEnd w:id="79"/>
    </w:p>
    <w:p w14:paraId="2AAA9C6F" w14:textId="1D684398" w:rsidR="005E5B08" w:rsidRPr="005E5B08" w:rsidRDefault="005E5B08" w:rsidP="005E5B08">
      <w:pPr>
        <w:pStyle w:val="Kop5"/>
      </w:pPr>
      <w:r w:rsidRPr="005E5B08">
        <w:t xml:space="preserve">Artikel </w:t>
      </w:r>
      <w:r w:rsidR="009D47D0">
        <w:t>29</w:t>
      </w:r>
    </w:p>
    <w:p w14:paraId="6E400CBD" w14:textId="77777777" w:rsidR="005E5B08" w:rsidRDefault="005E5B08" w:rsidP="00661F4E">
      <w:pPr>
        <w:pStyle w:val="StandaardUitvullen"/>
        <w:ind w:left="0"/>
      </w:pPr>
      <w:r>
        <w:t>Het personeelslid heeft gedurende de volledige loopbaan recht op opvolging en feedback met betrekking tot het functioneren. Dit in de vorm van permanente informele en formele feedback. De rechtstreeks en eventueel de hogere leidinggevende stroomlijnen het inhoudelijk samenbrengen van deze feedback. Het doel van de feedbackcultuur is het stimuleren van de verdere ontwikkeling van personeelsleden en het functioneren te optimaliseren. Feedback omvat zowel positieve punten als groeipunten. Het uitwisselen van feedback gebeurt op een constructieve en respectvolle manier. We streven ernaar dat er in de feedbackcultuur een permanente wisselwerking is van feedback geven en krijgen tussen alle betrokken partijen op de werkvloer. Dit betekent dat er niet wordt gewacht op bepaalde geijkte momenten maar dat er een voortdurend proces van feedback geven en ontvangen ontstaat. De personeelsdienst monitort het proces en biedt, waar nodig, ondersteuning zodat het permanente feedbackgebeuren kan groeien in de organisatie.</w:t>
      </w:r>
    </w:p>
    <w:p w14:paraId="2A359444" w14:textId="7378F8A4" w:rsidR="005E5B08" w:rsidRPr="005E5B08" w:rsidRDefault="005E5B08" w:rsidP="005E5B08">
      <w:pPr>
        <w:pStyle w:val="Kop5"/>
      </w:pPr>
      <w:r w:rsidRPr="005E5B08">
        <w:t xml:space="preserve">Artikel </w:t>
      </w:r>
      <w:r w:rsidR="009D47D0">
        <w:t>30</w:t>
      </w:r>
    </w:p>
    <w:p w14:paraId="6485B3DE" w14:textId="5E4DB0C2" w:rsidR="005E5B08" w:rsidRDefault="005E5B08" w:rsidP="00661F4E">
      <w:pPr>
        <w:pStyle w:val="StandaardUitvullen"/>
        <w:ind w:left="0"/>
      </w:pPr>
      <w:r>
        <w:t xml:space="preserve">Op regelmatige basis gebeuren feedbackgesprekken binnen de organisatie. Er is minimaal één formeel geregistreerd gesprek per kalenderjaar. Dit om te stimuleren en te garanderen dat de leidinggevende minstens éénmaal per jaar de tijd neemt om uitgebreider in te gaan op het functioneren, de verdere ontwikkeling, de loopbaan, het welzijn, … van de personeelsleden. De inhoud van de gesprekken komt in onderling overleg tussen de rechtstreekse leidinggevende en het personeelslid tot stand. De neerslag van </w:t>
      </w:r>
      <w:r w:rsidR="00DA4072">
        <w:t>dit</w:t>
      </w:r>
      <w:r>
        <w:t xml:space="preserve"> gesprek wordt door beide partijen getekend </w:t>
      </w:r>
      <w:r w:rsidR="00DA4072">
        <w:t>en bezorgd aan de personeelsdienst</w:t>
      </w:r>
      <w:r>
        <w:t xml:space="preserve">. Voor informele gesprekken geldt er geen verplichting naar registratie toe, doch </w:t>
      </w:r>
      <w:r w:rsidR="00E0628E">
        <w:t>worden deze</w:t>
      </w:r>
      <w:r>
        <w:t xml:space="preserve"> minstens even belangrijk</w:t>
      </w:r>
      <w:r w:rsidR="00E0628E">
        <w:t xml:space="preserve"> geacht</w:t>
      </w:r>
      <w:r>
        <w:t>, zo niet belangrijker voor de ontwikkeling van het personeelslid. De hogere leidinggevende bewaakt het globale feedbackproces voor de eigen dienst, afdeling en/of directie en verzamelt feedback over het leidinggeven van de eigen leidinggevenden.</w:t>
      </w:r>
    </w:p>
    <w:p w14:paraId="78522A34" w14:textId="2E3B43E2" w:rsidR="005E5B08" w:rsidRPr="005E5B08" w:rsidRDefault="005E5B08" w:rsidP="005E5B08">
      <w:pPr>
        <w:pStyle w:val="Kop5"/>
      </w:pPr>
      <w:r w:rsidRPr="005E5B08">
        <w:t xml:space="preserve">Artikel </w:t>
      </w:r>
      <w:r w:rsidR="009D47D0">
        <w:t>31</w:t>
      </w:r>
    </w:p>
    <w:p w14:paraId="1D0582F5" w14:textId="4D229D72" w:rsidR="000A55D5" w:rsidRDefault="005E5B08" w:rsidP="00661F4E">
      <w:pPr>
        <w:pStyle w:val="StandaardUitvullen"/>
        <w:ind w:left="0"/>
      </w:pPr>
      <w:r>
        <w:t xml:space="preserve">Indien het functioneren van een personeelslid niet naar verwachting is, wordt het personeelslid ondersteund met informele en formele gesprekken. Blijft het functioneren van het personeelslid ondanks deze ondersteuning en bijsturing ontoereikend, dan kan beslist worden om een knipperlichtprocedure zoals bepaald </w:t>
      </w:r>
      <w:r w:rsidRPr="00ED79CE">
        <w:t xml:space="preserve">in </w:t>
      </w:r>
      <w:r w:rsidR="00ED79CE" w:rsidRPr="00D91EFA">
        <w:t>artikels</w:t>
      </w:r>
      <w:r w:rsidRPr="00D91EFA">
        <w:t xml:space="preserve"> </w:t>
      </w:r>
      <w:r w:rsidR="00ED79CE" w:rsidRPr="00D91EFA">
        <w:t>32-</w:t>
      </w:r>
      <w:r w:rsidR="006E0EC3" w:rsidRPr="00D91EFA">
        <w:t>36</w:t>
      </w:r>
      <w:r>
        <w:t xml:space="preserve"> ev. op te starten met het oog op een eventueel ontslag wegens </w:t>
      </w:r>
      <w:r w:rsidR="00915589">
        <w:t>beroepsongeschiktheid</w:t>
      </w:r>
      <w:r>
        <w:t>.</w:t>
      </w:r>
    </w:p>
    <w:p w14:paraId="7B2DAECB" w14:textId="7607B155" w:rsidR="005E5B08" w:rsidRPr="00D0356C" w:rsidRDefault="00E1524D" w:rsidP="00D0356C">
      <w:pPr>
        <w:pStyle w:val="Kop3"/>
      </w:pPr>
      <w:bookmarkStart w:id="80" w:name="_Toc215738955"/>
      <w:r w:rsidRPr="00D0356C">
        <w:t>Afdeling 2. ev</w:t>
      </w:r>
      <w:r w:rsidR="00D0356C" w:rsidRPr="00D0356C">
        <w:t>aluatie: de knipperlichtprocedure – procedure beroepsongeschiktheid</w:t>
      </w:r>
      <w:bookmarkEnd w:id="80"/>
    </w:p>
    <w:p w14:paraId="3372C281" w14:textId="6A76456E" w:rsidR="00500959" w:rsidRPr="00500959" w:rsidRDefault="00500959" w:rsidP="00500959">
      <w:pPr>
        <w:pStyle w:val="Kop5"/>
      </w:pPr>
      <w:r w:rsidRPr="00500959">
        <w:t xml:space="preserve">Artikel </w:t>
      </w:r>
      <w:r w:rsidR="009D47D0">
        <w:t>32</w:t>
      </w:r>
    </w:p>
    <w:p w14:paraId="549C9585" w14:textId="45B26E5F" w:rsidR="00500959" w:rsidRPr="00500959" w:rsidRDefault="00500959" w:rsidP="00BC72D3">
      <w:pPr>
        <w:pStyle w:val="StandaardUitvullen"/>
        <w:ind w:left="0"/>
      </w:pPr>
      <w:r w:rsidRPr="00500959">
        <w:t>Indien het functioneren van een personeelslid op een bepaald moment ontoereikend is, wordt een knipperlichtprocedure opgestart</w:t>
      </w:r>
      <w:r w:rsidR="00FC3C9E">
        <w:t>.</w:t>
      </w:r>
      <w:r w:rsidRPr="00500959">
        <w:t xml:space="preserve"> </w:t>
      </w:r>
    </w:p>
    <w:p w14:paraId="1620F42C" w14:textId="77777777" w:rsidR="00500959" w:rsidRPr="00500959" w:rsidRDefault="00500959" w:rsidP="00BC72D3">
      <w:pPr>
        <w:pStyle w:val="StandaardUitvullen"/>
        <w:ind w:left="0"/>
      </w:pPr>
      <w:r w:rsidRPr="00500959">
        <w:t xml:space="preserve">Het doel is een ultieme kans geven aan het personeelslid om zijn/haar prestaties te verbeteren. </w:t>
      </w:r>
    </w:p>
    <w:p w14:paraId="09440232" w14:textId="77777777" w:rsidR="00500959" w:rsidRPr="00500959" w:rsidRDefault="00500959" w:rsidP="00BC72D3">
      <w:pPr>
        <w:pStyle w:val="StandaardUitvullen"/>
        <w:ind w:left="0"/>
      </w:pPr>
      <w:r w:rsidRPr="00500959">
        <w:t xml:space="preserve">De evaluator heeft enerzijds de wens om er samen met het personeelslid uit te geraken en zal de nodige ondersteuning bieden zodat hij/zij kan groeien. </w:t>
      </w:r>
    </w:p>
    <w:p w14:paraId="1114F336" w14:textId="3D7A30F1" w:rsidR="00500959" w:rsidRPr="00500959" w:rsidRDefault="00500959" w:rsidP="00BC72D3">
      <w:pPr>
        <w:pStyle w:val="StandaardUitvullen"/>
        <w:ind w:left="0"/>
      </w:pPr>
      <w:r w:rsidRPr="00500959">
        <w:t>Anderzijds zorgt de knipperlichtprocedure ook voor de nodige documentatie van de genomen acties zodat kan worden overgegaan tot een ontslag wegens beroepsongeschiktheid als de nodige verbeteringen niet worden gerealiseerd.</w:t>
      </w:r>
    </w:p>
    <w:p w14:paraId="6BC31730" w14:textId="77777777" w:rsidR="00500959" w:rsidRDefault="00500959" w:rsidP="00BC72D3">
      <w:pPr>
        <w:pStyle w:val="StandaardUitvullen"/>
        <w:ind w:left="0"/>
      </w:pPr>
      <w:r w:rsidRPr="00500959">
        <w:t xml:space="preserve">Het is belangrijk dat de procedure eerlijk, respectvol en constructief verloopt. </w:t>
      </w:r>
    </w:p>
    <w:p w14:paraId="2E3D45BD" w14:textId="77777777" w:rsidR="00855674" w:rsidRPr="00500959" w:rsidRDefault="00855674" w:rsidP="00BC72D3">
      <w:pPr>
        <w:pStyle w:val="StandaardUitvullen"/>
        <w:ind w:left="0"/>
      </w:pPr>
    </w:p>
    <w:p w14:paraId="365D6B99" w14:textId="5AB29369" w:rsidR="00500959" w:rsidRPr="00500959" w:rsidRDefault="00500959" w:rsidP="00500959">
      <w:pPr>
        <w:pStyle w:val="Kop5"/>
      </w:pPr>
      <w:r w:rsidRPr="00500959">
        <w:lastRenderedPageBreak/>
        <w:t xml:space="preserve">Artikel </w:t>
      </w:r>
      <w:r w:rsidR="009D47D0">
        <w:t>33</w:t>
      </w:r>
    </w:p>
    <w:p w14:paraId="38F59A6F" w14:textId="71593938" w:rsidR="00500959" w:rsidRPr="003E04C6" w:rsidRDefault="00500959" w:rsidP="00BC72D3">
      <w:pPr>
        <w:pStyle w:val="StandaardUitvullen"/>
        <w:ind w:left="0"/>
      </w:pPr>
      <w:r w:rsidRPr="003E04C6">
        <w:t xml:space="preserve">§1. De knipperlichtprocedure met het oog op ontslag wegens </w:t>
      </w:r>
      <w:r w:rsidR="00915589" w:rsidRPr="003E04C6">
        <w:t>beroepsongeschiktheid</w:t>
      </w:r>
      <w:r w:rsidRPr="003E04C6">
        <w:t xml:space="preserve"> is van toepassing op personeelsleden buiten de inwerkperiode.</w:t>
      </w:r>
    </w:p>
    <w:p w14:paraId="41326399" w14:textId="22A00781" w:rsidR="00500959" w:rsidRPr="00500959" w:rsidRDefault="00500959" w:rsidP="00BC72D3">
      <w:pPr>
        <w:pStyle w:val="StandaardUitvullen"/>
        <w:ind w:left="0"/>
      </w:pPr>
      <w:r w:rsidRPr="003E04C6">
        <w:t xml:space="preserve">§2. De knipperlichtprocedure met het oog op ontslag wegens </w:t>
      </w:r>
      <w:r w:rsidR="00915589" w:rsidRPr="003E04C6">
        <w:t>beroepsongeschiktheid</w:t>
      </w:r>
      <w:r w:rsidRPr="003E04C6">
        <w:t xml:space="preserve"> moet niet gevolgd</w:t>
      </w:r>
      <w:r w:rsidRPr="00500959">
        <w:t xml:space="preserve"> worden indien het personeelslid niet beantwoord aan de voorwaarden zoals bepaald in §1 of indien het bestuur wil overgaan tot ontslag:</w:t>
      </w:r>
    </w:p>
    <w:p w14:paraId="4523C52A" w14:textId="77777777" w:rsidR="00500959" w:rsidRPr="00500959" w:rsidRDefault="00500959" w:rsidP="00500959">
      <w:pPr>
        <w:pStyle w:val="StandaardUitvullen"/>
      </w:pPr>
      <w:r w:rsidRPr="00500959">
        <w:t>1.</w:t>
      </w:r>
      <w:r w:rsidRPr="00500959">
        <w:tab/>
        <w:t>wegens houding of gedrag van het personeelslid (niet gelinkt aan het (dis)functioneren);</w:t>
      </w:r>
    </w:p>
    <w:p w14:paraId="084FBB45" w14:textId="77777777" w:rsidR="00500959" w:rsidRPr="00500959" w:rsidRDefault="00500959" w:rsidP="00500959">
      <w:pPr>
        <w:pStyle w:val="StandaardUitvullen"/>
      </w:pPr>
      <w:r w:rsidRPr="00500959">
        <w:t>2.</w:t>
      </w:r>
      <w:r w:rsidRPr="00500959">
        <w:tab/>
        <w:t>omwille van dringende redenen;</w:t>
      </w:r>
    </w:p>
    <w:p w14:paraId="75D005D4" w14:textId="76B4C06A" w:rsidR="00500959" w:rsidRPr="00500959" w:rsidRDefault="00500959" w:rsidP="00500959">
      <w:pPr>
        <w:pStyle w:val="StandaardUitvullen"/>
      </w:pPr>
      <w:r w:rsidRPr="00500959">
        <w:t>3.</w:t>
      </w:r>
      <w:r w:rsidRPr="00500959">
        <w:tab/>
        <w:t>wegens dienstnoodwendigheden (en herplaatsing of ter beschikkingstelling niet mogelijk is).</w:t>
      </w:r>
    </w:p>
    <w:p w14:paraId="487C85F5" w14:textId="0C07CE81" w:rsidR="00500959" w:rsidRPr="00500959" w:rsidRDefault="00500959" w:rsidP="00500959">
      <w:pPr>
        <w:pStyle w:val="Kop5"/>
      </w:pPr>
      <w:r w:rsidRPr="00500959">
        <w:t xml:space="preserve">Artikel </w:t>
      </w:r>
      <w:r w:rsidR="009D47D0">
        <w:t>34</w:t>
      </w:r>
    </w:p>
    <w:p w14:paraId="4F69D263" w14:textId="77777777" w:rsidR="00EE321B" w:rsidRDefault="00EE321B" w:rsidP="00BC72D3">
      <w:pPr>
        <w:pStyle w:val="StandaardUitvullen"/>
        <w:ind w:left="0"/>
      </w:pPr>
    </w:p>
    <w:p w14:paraId="3BB55E95" w14:textId="7CE8D601" w:rsidR="00EE321B" w:rsidRPr="00EE321B" w:rsidRDefault="00EE321B" w:rsidP="00BC72D3">
      <w:pPr>
        <w:pStyle w:val="StandaardUitvullen"/>
        <w:ind w:left="0"/>
      </w:pPr>
      <w:r w:rsidRPr="00FC3C9E">
        <w:t>Na een evaluatiegesprek</w:t>
      </w:r>
      <w:r w:rsidR="009D4C40" w:rsidRPr="00FC3C9E">
        <w:t xml:space="preserve"> met een negatief resultaat</w:t>
      </w:r>
      <w:r w:rsidRPr="00FC3C9E">
        <w:t>, bespreekt de evaluator met de algemeen directeur en de personeelsdienst de intentie om de knipperlichtprocedure op te starten. Ook alternatieve opties worden verkend en besproken.</w:t>
      </w:r>
      <w:r w:rsidRPr="00B60A3C">
        <w:t xml:space="preserve"> </w:t>
      </w:r>
    </w:p>
    <w:p w14:paraId="6CABD44F" w14:textId="292E9E27" w:rsidR="00500959" w:rsidRPr="00B60A3C" w:rsidRDefault="00500959" w:rsidP="00BC72D3">
      <w:pPr>
        <w:pStyle w:val="StandaardUitvullen"/>
        <w:ind w:left="0"/>
      </w:pPr>
      <w:r w:rsidRPr="00B60A3C">
        <w:t xml:space="preserve">Na dit gesprek </w:t>
      </w:r>
      <w:r w:rsidR="009369F9">
        <w:t xml:space="preserve">beslist </w:t>
      </w:r>
      <w:r w:rsidRPr="00B60A3C">
        <w:t>de algemeen directeur</w:t>
      </w:r>
      <w:r w:rsidR="009369F9">
        <w:t xml:space="preserve"> </w:t>
      </w:r>
      <w:r w:rsidRPr="00B60A3C">
        <w:t xml:space="preserve">om de knipperlichtprocedure </w:t>
      </w:r>
      <w:r w:rsidR="00BE710F">
        <w:t xml:space="preserve">al dan niet </w:t>
      </w:r>
      <w:r w:rsidR="009369F9">
        <w:t xml:space="preserve">op </w:t>
      </w:r>
      <w:r w:rsidRPr="00B60A3C">
        <w:t>te starten.</w:t>
      </w:r>
    </w:p>
    <w:p w14:paraId="79C34B90" w14:textId="6DE25CB9" w:rsidR="00500959" w:rsidRPr="00FC3C9E" w:rsidRDefault="00500959" w:rsidP="00BC72D3">
      <w:pPr>
        <w:pStyle w:val="StandaardUitvullen"/>
        <w:ind w:left="0"/>
      </w:pPr>
      <w:r w:rsidRPr="00B60A3C">
        <w:t xml:space="preserve">De evaluator maakt een actieplan op dat gericht is op het verbeteren van de prestaties van de </w:t>
      </w:r>
      <w:r w:rsidRPr="00FC3C9E">
        <w:t xml:space="preserve">medewerker. </w:t>
      </w:r>
    </w:p>
    <w:p w14:paraId="5436D28A" w14:textId="626B23D2" w:rsidR="00500959" w:rsidRPr="00B60A3C" w:rsidRDefault="00500959" w:rsidP="00BC72D3">
      <w:pPr>
        <w:pStyle w:val="StandaardUitvullen"/>
        <w:ind w:left="0"/>
      </w:pPr>
      <w:r w:rsidRPr="00FC3C9E">
        <w:t xml:space="preserve">Het gesprek </w:t>
      </w:r>
      <w:r w:rsidR="00EE321B" w:rsidRPr="00FC3C9E">
        <w:t xml:space="preserve">om het actieplan te bespreken </w:t>
      </w:r>
      <w:r w:rsidRPr="00FC3C9E">
        <w:t>zal ingepland worden maximaal één week na de uitnodiging. In onderling overleg kan beslist worden om het gesprek</w:t>
      </w:r>
      <w:r w:rsidRPr="00B60A3C">
        <w:t xml:space="preserve"> sneller te laten doorgaan. </w:t>
      </w:r>
    </w:p>
    <w:p w14:paraId="5637E274" w14:textId="43B84A95" w:rsidR="00500959" w:rsidRPr="00B60A3C" w:rsidRDefault="00500959" w:rsidP="00BC72D3">
      <w:pPr>
        <w:pStyle w:val="StandaardUitvullen"/>
        <w:ind w:left="0"/>
      </w:pPr>
      <w:r w:rsidRPr="00B60A3C">
        <w:t xml:space="preserve">Aanwezig zijn het personeelslid en de eerste evaluator. Op eenvoudig verzoek van één van beiden kan een tweede evaluator aansluiten. </w:t>
      </w:r>
      <w:r w:rsidRPr="003E04C6">
        <w:t xml:space="preserve">Als dit gebeurt op vraag van de eerste evaluator wordt dit gemeld aan het personeelslid bij de uitnodiging voor het gesprek. </w:t>
      </w:r>
      <w:r w:rsidR="00244B49" w:rsidRPr="003E04C6">
        <w:t>Op verzoek van de medewerker, kan hij ook een persoon naar keuze uitnodigen voor deelname aan het gesprek.</w:t>
      </w:r>
    </w:p>
    <w:p w14:paraId="38F772AE" w14:textId="77777777" w:rsidR="00500959" w:rsidRPr="00B60A3C" w:rsidRDefault="00500959" w:rsidP="00BC72D3">
      <w:pPr>
        <w:pStyle w:val="StandaardUitvullen"/>
        <w:ind w:left="0"/>
      </w:pPr>
      <w:r w:rsidRPr="00B60A3C">
        <w:t xml:space="preserve">Het gesprek start met het verduidelijken van wat een knipperlichtprocedure precies is: wat dit inhoudt, wat er gaat gebeuren en wat de consequenties ervan (kunnen) zijn.  </w:t>
      </w:r>
    </w:p>
    <w:p w14:paraId="07F73E54" w14:textId="77777777" w:rsidR="00500959" w:rsidRPr="00B60A3C" w:rsidRDefault="00500959" w:rsidP="00BC72D3">
      <w:pPr>
        <w:pStyle w:val="StandaardUitvullen"/>
        <w:ind w:left="0"/>
      </w:pPr>
      <w:r w:rsidRPr="00B60A3C">
        <w:t xml:space="preserve">Vervolgens duidt de evaluator het probleem dat werd vastgesteld. Dit kan zowel gaan over specifieke prestatieproblemen, tekortkomingen op het vlak van nodige competenties voor het uitoefenen van de functie en/of over onwenselijk gedrag dat gesteld wordt door het personeelslid. </w:t>
      </w:r>
    </w:p>
    <w:p w14:paraId="331ECA13" w14:textId="77777777" w:rsidR="00500959" w:rsidRPr="00B60A3C" w:rsidRDefault="00500959" w:rsidP="00BC72D3">
      <w:pPr>
        <w:pStyle w:val="StandaardUitvullen"/>
        <w:ind w:left="0"/>
      </w:pPr>
      <w:r w:rsidRPr="00B60A3C">
        <w:t xml:space="preserve">De tekortkomingen worden aangetoond aan de hand van concrete en tastbare voorbeelden. </w:t>
      </w:r>
    </w:p>
    <w:p w14:paraId="3F3AFF2A" w14:textId="77777777" w:rsidR="00500959" w:rsidRPr="00B60A3C" w:rsidRDefault="00500959" w:rsidP="00BC72D3">
      <w:pPr>
        <w:pStyle w:val="StandaardUitvullen"/>
        <w:ind w:left="0"/>
      </w:pPr>
      <w:r w:rsidRPr="00B60A3C">
        <w:t xml:space="preserve">Daarna duidt de evaluator welke verbeteringen hij/zij verwacht van de medewerker aan de hand van het opgemaakte actieplan. </w:t>
      </w:r>
    </w:p>
    <w:p w14:paraId="555BB3F1" w14:textId="77777777" w:rsidR="00500959" w:rsidRPr="00B60A3C" w:rsidRDefault="00500959" w:rsidP="00BC72D3">
      <w:pPr>
        <w:pStyle w:val="StandaardUitvullen"/>
        <w:ind w:left="0"/>
      </w:pPr>
      <w:r w:rsidRPr="00B60A3C">
        <w:t>Het actieplan wordt door de evaluator overlopen met de medewerker tijdens het gesprek, eventueel wordt dit tijdens het gesprek nog verder aangevuld, dit wordt ten laatste één week na het gesprek per mail bezorgd aan het personeelslid. Het personeelslid dient het actieplan voor ontvangst te tekenen.</w:t>
      </w:r>
    </w:p>
    <w:p w14:paraId="3A12FB8B" w14:textId="4980F5C8" w:rsidR="00500959" w:rsidRPr="00B60A3C" w:rsidRDefault="00500959" w:rsidP="00BC72D3">
      <w:pPr>
        <w:pStyle w:val="StandaardUitvullen"/>
        <w:ind w:left="0"/>
      </w:pPr>
      <w:r w:rsidRPr="00B60A3C">
        <w:t xml:space="preserve">De volledige doorlooptijd van het actieplan is maximaal </w:t>
      </w:r>
      <w:r w:rsidR="00C57185">
        <w:t>6</w:t>
      </w:r>
      <w:r w:rsidRPr="00B60A3C">
        <w:t xml:space="preserve"> maande</w:t>
      </w:r>
      <w:r w:rsidR="00244B49">
        <w:t xml:space="preserve">n </w:t>
      </w:r>
      <w:r w:rsidRPr="00B60A3C">
        <w:t xml:space="preserve">en start op de datum van ondertekening. </w:t>
      </w:r>
      <w:r w:rsidR="00244B49">
        <w:t>Indien nodig, kan het verbetertraject deze maximale termijn overschrijden. Dit kan bijvoorbeeld wanneer een opleidingstraject langer dan 6 maanden duurt.</w:t>
      </w:r>
    </w:p>
    <w:p w14:paraId="0548D8EB" w14:textId="77777777" w:rsidR="00500959" w:rsidRPr="00B60A3C" w:rsidRDefault="00500959" w:rsidP="00BC72D3">
      <w:pPr>
        <w:pStyle w:val="StandaardUitvullen"/>
        <w:ind w:left="0"/>
      </w:pPr>
      <w:r w:rsidRPr="00B60A3C">
        <w:t xml:space="preserve">Wanneer de doorlooptijd van de knipperlichtprocedure voor de helft verstreken is gebeurt er een tussentijdse evaluatie. </w:t>
      </w:r>
    </w:p>
    <w:p w14:paraId="56B6658B" w14:textId="77777777" w:rsidR="00500959" w:rsidRPr="00B60A3C" w:rsidRDefault="00500959" w:rsidP="00BC72D3">
      <w:pPr>
        <w:pStyle w:val="StandaardUitvullen"/>
        <w:ind w:left="0"/>
      </w:pPr>
      <w:r w:rsidRPr="00B60A3C">
        <w:t xml:space="preserve">Aan de hand van het actieplan wordt besproken welke inspanningen zijn geleverd door de medewerker en welke stappen zijn gezet. De evaluator geeft duiding bij wat al goed loopt en wat (nog) verbeterd moet worden. </w:t>
      </w:r>
    </w:p>
    <w:p w14:paraId="2E626BD9" w14:textId="77777777" w:rsidR="00500959" w:rsidRPr="00B60A3C" w:rsidRDefault="00500959" w:rsidP="00BC72D3">
      <w:pPr>
        <w:pStyle w:val="StandaardUitvullen"/>
        <w:ind w:left="0"/>
      </w:pPr>
      <w:r w:rsidRPr="00B60A3C">
        <w:lastRenderedPageBreak/>
        <w:t xml:space="preserve">Indien nodig kan de evaluator het actieplan bijsturen en bijkomende afspraken maken. </w:t>
      </w:r>
    </w:p>
    <w:p w14:paraId="10D04252" w14:textId="77777777" w:rsidR="00500959" w:rsidRPr="00B60A3C" w:rsidRDefault="00500959" w:rsidP="00BC72D3">
      <w:pPr>
        <w:pStyle w:val="StandaardUitvullen"/>
        <w:ind w:left="0"/>
      </w:pPr>
      <w:r w:rsidRPr="00B60A3C">
        <w:t>Er wordt een verslag gemaakt van de tussentijdse evaluatie door de evaluator. Het verslag van de tussentijdse evaluatie wordt aan het personeelslid bezorgd.</w:t>
      </w:r>
    </w:p>
    <w:p w14:paraId="208CF924" w14:textId="77777777" w:rsidR="00500959" w:rsidRPr="00B60A3C" w:rsidRDefault="00500959" w:rsidP="00BC72D3">
      <w:pPr>
        <w:pStyle w:val="StandaardUitvullen"/>
        <w:ind w:left="0"/>
      </w:pPr>
      <w:r w:rsidRPr="00B60A3C">
        <w:t xml:space="preserve">Op het einde van de doorlooptijd van de knipperlichtprocedure gebeurt de eindevaluatie. </w:t>
      </w:r>
    </w:p>
    <w:p w14:paraId="5B3E9A24" w14:textId="77777777" w:rsidR="00500959" w:rsidRPr="00B60A3C" w:rsidRDefault="00500959" w:rsidP="00BC72D3">
      <w:pPr>
        <w:pStyle w:val="StandaardUitvullen"/>
        <w:ind w:left="0"/>
      </w:pPr>
      <w:r w:rsidRPr="00B60A3C">
        <w:t xml:space="preserve">Bij een positieve eindevaluatie eindigt de knipperlichtprocedure. Mogelijk wordt er nog een vervolgtraject afgesproken waarbij er concrete verwachtingen worden geformuleerd naar het personeelslid en afspraken over hoe deze worden opgevolgd. </w:t>
      </w:r>
    </w:p>
    <w:p w14:paraId="720B4A65" w14:textId="77777777" w:rsidR="00A55ABF" w:rsidRDefault="00500959" w:rsidP="00BC72D3">
      <w:pPr>
        <w:pStyle w:val="StandaardUitvullen"/>
        <w:ind w:left="0"/>
      </w:pPr>
      <w:r w:rsidRPr="00B60A3C">
        <w:t xml:space="preserve">Bij een negatieve eindevaluatie zal de algemeen directeur </w:t>
      </w:r>
      <w:r w:rsidR="00A55ABF">
        <w:t>kunnen overgaan tot ontslag wegens beroepsongeschiktheid van het personeelslid.</w:t>
      </w:r>
    </w:p>
    <w:p w14:paraId="699B04FF" w14:textId="77777777" w:rsidR="00500959" w:rsidRPr="00B60A3C" w:rsidRDefault="00500959" w:rsidP="00BC72D3">
      <w:pPr>
        <w:pStyle w:val="StandaardUitvullen"/>
        <w:ind w:left="0"/>
      </w:pPr>
      <w:r w:rsidRPr="00B60A3C">
        <w:t xml:space="preserve">Het verslag wordt bewaard in het dossier van het personeelslid. </w:t>
      </w:r>
    </w:p>
    <w:p w14:paraId="7B1B916F" w14:textId="77777777" w:rsidR="00500959" w:rsidRPr="00B60A3C" w:rsidRDefault="00500959" w:rsidP="00BC72D3">
      <w:pPr>
        <w:pStyle w:val="StandaardUitvullen"/>
        <w:ind w:left="0"/>
      </w:pPr>
      <w:r w:rsidRPr="00B60A3C">
        <w:t>Indien er een herval wordt opgemerkt in een periode van 12 maanden na de beëindiging van de knipperlichtprocedure zal er geen nieuwe procedure worden opgestart maar kan onmiddellijk een advies tot ontslag wegens beroepsongeschiktheid worden overgemaakt aan de aanstellende overheid.</w:t>
      </w:r>
    </w:p>
    <w:p w14:paraId="6BA7579E" w14:textId="2F71F3C0" w:rsidR="00500959" w:rsidRPr="00500959" w:rsidRDefault="00500959" w:rsidP="00500959">
      <w:pPr>
        <w:pStyle w:val="Kop5"/>
      </w:pPr>
      <w:r w:rsidRPr="00500959">
        <w:t xml:space="preserve">Artikel </w:t>
      </w:r>
      <w:r w:rsidR="009D47D0">
        <w:t>35</w:t>
      </w:r>
    </w:p>
    <w:p w14:paraId="0DD931D3" w14:textId="77777777" w:rsidR="00500959" w:rsidRPr="00FC3C9E" w:rsidRDefault="00500959" w:rsidP="00BC72D3">
      <w:pPr>
        <w:pStyle w:val="StandaardUitvullen"/>
        <w:ind w:left="0"/>
      </w:pPr>
      <w:r w:rsidRPr="00B60A3C">
        <w:t xml:space="preserve">§1. Het personeelslid kan beroep aantekenen tegen de eindevaluatie na het doorlopen van de </w:t>
      </w:r>
      <w:r w:rsidRPr="00FC3C9E">
        <w:t>knipperlichtprocedure met het evaluatieresultaat ongunstig.</w:t>
      </w:r>
    </w:p>
    <w:p w14:paraId="60593501" w14:textId="39285158" w:rsidR="00500959" w:rsidRPr="00B60A3C" w:rsidRDefault="00500959" w:rsidP="00BC72D3">
      <w:pPr>
        <w:pStyle w:val="StandaardUitvullen"/>
        <w:ind w:left="0"/>
      </w:pPr>
      <w:r w:rsidRPr="00FC3C9E">
        <w:t xml:space="preserve">§2. </w:t>
      </w:r>
      <w:r w:rsidR="00DE1AEF" w:rsidRPr="00FC3C9E">
        <w:t xml:space="preserve">Bij een negatieve evaluatie wordt aan het personeelslid meegedeeld waar hij in beroep kan gaan. Het beroep wordt schriftelijk ingediend door het personeelslid bij de algemeen directeur en/of teamverantwoordelijke personeel. Het personeelslid krijgt een gedateerde ontvangstmelding van zijn beroep. </w:t>
      </w:r>
      <w:r w:rsidRPr="00FC3C9E">
        <w:t xml:space="preserve">De uiterlijke termijn voor de indiening van het beroep is 15 kalenderdagen te rekenen vanaf de datum van de ondertekening voor kennisneming van de evaluatie. Bij weigering van het personeelslid om het evaluatieverslag te ondertekenen, loopt de beroepstermijn vanaf de datum van de aangetekende zending. </w:t>
      </w:r>
      <w:r w:rsidR="00DE1AEF" w:rsidRPr="00FC3C9E">
        <w:t xml:space="preserve">Het beroep wordt behandeld door de beroepsinstantie. </w:t>
      </w:r>
    </w:p>
    <w:p w14:paraId="595360E5" w14:textId="77777777" w:rsidR="00500959" w:rsidRPr="00B60A3C" w:rsidRDefault="00500959" w:rsidP="00BC72D3">
      <w:pPr>
        <w:pStyle w:val="StandaardUitvullen"/>
        <w:ind w:left="0"/>
      </w:pPr>
      <w:r w:rsidRPr="00B60A3C">
        <w:t>§3. Leden van de raad en van het college van burgemeester en schepenen en de evaluatoren van het personeelslid dat beroep aantekent, mogen geen deel uitmaken van de beroepsinstantie. De beroepsinstantie bestaat bij voorkeur uit leden van verschillend geslacht. Aanverwanten tot in de tweede graad van de persoon die beroep aantekent, worden geweerd.</w:t>
      </w:r>
    </w:p>
    <w:p w14:paraId="6EB922DB" w14:textId="77777777" w:rsidR="00500959" w:rsidRPr="00B60A3C" w:rsidRDefault="00500959" w:rsidP="00BC72D3">
      <w:pPr>
        <w:pStyle w:val="StandaardUitvullen"/>
        <w:ind w:left="0"/>
      </w:pPr>
      <w:r w:rsidRPr="00B60A3C">
        <w:t>Voor elke behandeling van een beroep bestaat de beroepsinstantie minimaal uit:</w:t>
      </w:r>
    </w:p>
    <w:p w14:paraId="4F7B1A74" w14:textId="77777777" w:rsidR="00500959" w:rsidRPr="00B60A3C" w:rsidRDefault="00500959" w:rsidP="00B60A3C">
      <w:pPr>
        <w:pStyle w:val="StandaardUitvullen"/>
      </w:pPr>
      <w:r w:rsidRPr="00B60A3C">
        <w:t>1. 3 deskundigen met expertise in personeelsevaluatie;</w:t>
      </w:r>
    </w:p>
    <w:p w14:paraId="40B2A763" w14:textId="77777777" w:rsidR="00500959" w:rsidRPr="00B60A3C" w:rsidRDefault="00500959" w:rsidP="00B60A3C">
      <w:pPr>
        <w:pStyle w:val="StandaardUitvullen"/>
      </w:pPr>
      <w:r w:rsidRPr="00B60A3C">
        <w:t xml:space="preserve">2. een secretaris-notulist die niet deelneemt aan de besprekingen en aan de eindbeoordeling over het beroep. </w:t>
      </w:r>
    </w:p>
    <w:p w14:paraId="20CC533D" w14:textId="77777777" w:rsidR="00500959" w:rsidRPr="00B60A3C" w:rsidRDefault="00500959" w:rsidP="00BC72D3">
      <w:pPr>
        <w:pStyle w:val="StandaardUitvullen"/>
        <w:ind w:left="0"/>
      </w:pPr>
      <w:r w:rsidRPr="00B60A3C">
        <w:t>De beroepsinstantie wijst in haar midden een voorzitter aan.</w:t>
      </w:r>
    </w:p>
    <w:p w14:paraId="59A20F92" w14:textId="77777777" w:rsidR="00500959" w:rsidRPr="00B60A3C" w:rsidRDefault="00500959" w:rsidP="00BC72D3">
      <w:pPr>
        <w:pStyle w:val="StandaardUitvullen"/>
        <w:ind w:left="0"/>
      </w:pPr>
      <w:r w:rsidRPr="00B60A3C">
        <w:t>De leden bekleden een functie van minstens dezelfde graad dan het personeelslid dat hoger beroep aantekent.</w:t>
      </w:r>
    </w:p>
    <w:p w14:paraId="393C27A9" w14:textId="06FDBE31" w:rsidR="00500959" w:rsidRPr="00B60A3C" w:rsidRDefault="00500959" w:rsidP="00BC72D3">
      <w:pPr>
        <w:pStyle w:val="StandaardUitvullen"/>
        <w:ind w:left="0"/>
      </w:pPr>
      <w:r w:rsidRPr="00B60A3C">
        <w:t>De leden van de beroepsinstantie (en hun vervangers) worden nominatief aangesteld door het college van burgemeester en schepenen</w:t>
      </w:r>
      <w:r w:rsidR="00950818">
        <w:t xml:space="preserve"> of het vast bureau</w:t>
      </w:r>
      <w:r w:rsidRPr="00B60A3C">
        <w:t>.</w:t>
      </w:r>
    </w:p>
    <w:p w14:paraId="53CA4D25" w14:textId="77777777" w:rsidR="00500959" w:rsidRPr="003E04C6" w:rsidRDefault="00500959" w:rsidP="00BC72D3">
      <w:pPr>
        <w:pStyle w:val="StandaardUitvullen"/>
        <w:ind w:left="0"/>
      </w:pPr>
      <w:r w:rsidRPr="00B60A3C">
        <w:t xml:space="preserve">§4. De beroepsinstantie moet voltallig zijn voor de behandeling van een beroep. De voorzitter leidt de werkzaamheden van de beroepsinstantie. De beroepsinstantie onderzoekt het beroep en hoort de evaluator(en) en het personeelslid binnen een termijn van 30 kalenderdagen na de gedateerde </w:t>
      </w:r>
      <w:r w:rsidRPr="003E04C6">
        <w:t>ontvangstmelding van het beroep.</w:t>
      </w:r>
    </w:p>
    <w:p w14:paraId="12FE5A9D" w14:textId="4E864D4C" w:rsidR="00500959" w:rsidRPr="00B60A3C" w:rsidRDefault="00500959" w:rsidP="00BC72D3">
      <w:pPr>
        <w:pStyle w:val="StandaardUitvullen"/>
        <w:ind w:left="0"/>
      </w:pPr>
      <w:r w:rsidRPr="003E04C6">
        <w:t xml:space="preserve">§5. Het personeelslid en de evaluator(en) worden gehoord (live-zitting, online, schriftelijk, …) onder leiding van de voorzitter van de beroepsinstantie. Het personeelslid </w:t>
      </w:r>
      <w:r w:rsidR="00BE4562" w:rsidRPr="003E04C6">
        <w:t xml:space="preserve">kan zelf aangeven op welke wijze er gehoord wordt en </w:t>
      </w:r>
      <w:r w:rsidRPr="003E04C6">
        <w:t>kan zich laten bijstaan door een persoon naar zijn keuze. Het personeelslid wordt als laatste gehoord in zijn verdediging.</w:t>
      </w:r>
    </w:p>
    <w:p w14:paraId="42E6E82A" w14:textId="77777777" w:rsidR="00500959" w:rsidRPr="00B60A3C" w:rsidRDefault="00500959" w:rsidP="00BC72D3">
      <w:pPr>
        <w:pStyle w:val="StandaardUitvullen"/>
        <w:ind w:left="0"/>
      </w:pPr>
      <w:r w:rsidRPr="00B60A3C">
        <w:lastRenderedPageBreak/>
        <w:t>Van de hoorzitting wordt een verslag gemaakt. Het verslag geeft de standpunten van de evaluatoren en van het personeelslid weer. De leden van de beroepsinstantie ondertekenen het verslag. Het verslag maakt deel uit van het beroepsdossier.</w:t>
      </w:r>
    </w:p>
    <w:p w14:paraId="2F6576C4" w14:textId="77777777" w:rsidR="00500959" w:rsidRPr="00B60A3C" w:rsidRDefault="00500959" w:rsidP="00BC72D3">
      <w:pPr>
        <w:pStyle w:val="StandaardUitvullen"/>
        <w:ind w:left="0"/>
      </w:pPr>
      <w:r w:rsidRPr="00B60A3C">
        <w:t>§6. De beroepsinstantie beraadslaagt over haar bevindingen en formuleert eenparig een gemotiveerd advies aan de algemeen directeur tot bevestiging of tot aanpassing van de evaluatie en het evaluatieresultaat.</w:t>
      </w:r>
    </w:p>
    <w:p w14:paraId="6289F912" w14:textId="77777777" w:rsidR="00500959" w:rsidRPr="00B60A3C" w:rsidRDefault="00500959" w:rsidP="00BC72D3">
      <w:pPr>
        <w:pStyle w:val="StandaardUitvullen"/>
        <w:ind w:left="0"/>
      </w:pPr>
      <w:r w:rsidRPr="00B60A3C">
        <w:t>Als er geen eenparig gemotiveerd advies tot stand komt, worden de verschillende standpunten weergegeven en ter stemming aan de leden van de beroepsinstantie voorgelegd. Alle leden, behalve de secretaris-notulist, zijn daarbij stemgerechtigd. De stemming is geheim. Het meerderheidsstandpunt bepaalt het gemotiveerd advies.</w:t>
      </w:r>
    </w:p>
    <w:p w14:paraId="62250666" w14:textId="77777777" w:rsidR="00500959" w:rsidRPr="00B60A3C" w:rsidRDefault="00500959" w:rsidP="00BC72D3">
      <w:pPr>
        <w:pStyle w:val="StandaardUitvullen"/>
        <w:ind w:left="0"/>
      </w:pPr>
      <w:r w:rsidRPr="00B60A3C">
        <w:t>Het gemotiveerd advies wordt schriftelijk aan de algemeen directeur bezorgd binnen een termijn van uiterlijk 45 kalenderdagen te rekenen vanaf de datum van de ontvangstmededeling door het bestuur van het hoger beroep van de klager. De algemeen directeur tekent het advies voor ontvangst.</w:t>
      </w:r>
    </w:p>
    <w:p w14:paraId="41734F3F" w14:textId="77777777" w:rsidR="00500959" w:rsidRPr="00B60A3C" w:rsidRDefault="00500959" w:rsidP="00BC72D3">
      <w:pPr>
        <w:pStyle w:val="StandaardUitvullen"/>
        <w:ind w:left="0"/>
      </w:pPr>
      <w:r w:rsidRPr="00B60A3C">
        <w:t>§7. Binnen een termijn van 15 kalenderdagen te rekenen vanaf de datum van ontvangst van het gemotiveerd advies beslist de algemeen directeur over de bevestiging of de aanpassing van de evaluatie en van het evaluatieresultaat en deelt hij zijn gemotiveerde beslissing mee aan het personeelslid, aan de voorzitter van de beroepsinstantie en aan de evaluator(en). De kennisgeving gebeurt schriftelijk.</w:t>
      </w:r>
    </w:p>
    <w:p w14:paraId="7FB3F5B4" w14:textId="77777777" w:rsidR="00500959" w:rsidRPr="00B60A3C" w:rsidRDefault="00500959" w:rsidP="00BC72D3">
      <w:pPr>
        <w:pStyle w:val="StandaardUitvullen"/>
        <w:ind w:left="0"/>
      </w:pPr>
      <w:r w:rsidRPr="00B60A3C">
        <w:t>Bij bevestiging van de bestaande evaluatie wordt de bevestigingsbeslissing voor kennisneming door het personeelslid en door de evaluator(en) ondertekend binnen een termijn van tien kalenderdagen. De beslissing maakt deel uit van het evaluatiedossier. Bij aanpassing van de evaluatie en van het evaluatieresultaat wordt de aangepaste evaluatie voor kennisneming door het personeelslid en door de evaluatoren ondertekend binnen een termijn van tien kalenderdagen.</w:t>
      </w:r>
    </w:p>
    <w:p w14:paraId="35E60815" w14:textId="77777777" w:rsidR="00500959" w:rsidRPr="00B60A3C" w:rsidRDefault="00500959" w:rsidP="00BC72D3">
      <w:pPr>
        <w:pStyle w:val="StandaardUitvullen"/>
        <w:ind w:left="0"/>
      </w:pPr>
      <w:r w:rsidRPr="00B60A3C">
        <w:t>De aangepaste evaluatie komt in de plaats van de eerdere evaluatie die het voorwerp was van het beroep en vervangt de eerdere evaluatie in het evaluatiedossier en in het personeelsdossier.</w:t>
      </w:r>
    </w:p>
    <w:p w14:paraId="54D0D3B0" w14:textId="77777777" w:rsidR="00500959" w:rsidRPr="00B60A3C" w:rsidRDefault="00500959" w:rsidP="00BC72D3">
      <w:pPr>
        <w:pStyle w:val="StandaardUitvullen"/>
        <w:ind w:left="0"/>
      </w:pPr>
      <w:r w:rsidRPr="00B60A3C">
        <w:t>§8. Als de beroepsinstantie in een beroep geen advies formuleert binnen de termijn van 45 kalenderdagen vanaf de datum van de ontvangstmelding door het bestuur van het hoger beroep van de klager, dan is het evaluatieresultaat gunstig en past de algemeen directeur de evaluatie en het evaluatieresultaat in die zin aan.</w:t>
      </w:r>
    </w:p>
    <w:p w14:paraId="6A55DA68" w14:textId="77777777" w:rsidR="00500959" w:rsidRPr="00B60A3C" w:rsidRDefault="00500959" w:rsidP="00BC72D3">
      <w:pPr>
        <w:pStyle w:val="StandaardUitvullen"/>
        <w:ind w:left="0"/>
      </w:pPr>
      <w:r w:rsidRPr="00B60A3C">
        <w:t>Als de algemeen directeur geen beslissing neemt over de bevestiging of aanpassing van de evaluatie en van het evaluatieresultaat binnen de termijn van 15 kalenderdagen, dan is het evaluatieresultaat gunstig.</w:t>
      </w:r>
    </w:p>
    <w:p w14:paraId="7AA8AEF4" w14:textId="21232F33" w:rsidR="00500959" w:rsidRPr="00500959" w:rsidRDefault="00500959" w:rsidP="00500959">
      <w:pPr>
        <w:pStyle w:val="Kop5"/>
      </w:pPr>
      <w:r w:rsidRPr="00500959">
        <w:t xml:space="preserve">Artikel </w:t>
      </w:r>
      <w:r w:rsidR="009D47D0">
        <w:t>36</w:t>
      </w:r>
    </w:p>
    <w:p w14:paraId="2D4C831D" w14:textId="344CCB6A" w:rsidR="005E5B08" w:rsidRDefault="00500959" w:rsidP="00BC72D3">
      <w:pPr>
        <w:pStyle w:val="StandaardUitvullen"/>
        <w:ind w:left="0"/>
      </w:pPr>
      <w:r w:rsidRPr="00B60A3C">
        <w:t>De aanstellende overheid beslist over het ontslag wegens beroepsongeschiktheid nadat het personeelslid vooraf werd gehoord.</w:t>
      </w:r>
    </w:p>
    <w:p w14:paraId="43CF508C" w14:textId="3F0FDFD6" w:rsidR="000B7131" w:rsidRPr="000B7131" w:rsidRDefault="000B7131" w:rsidP="000B7131">
      <w:pPr>
        <w:pStyle w:val="Kop3"/>
      </w:pPr>
      <w:bookmarkStart w:id="81" w:name="_Toc215738956"/>
      <w:r w:rsidRPr="000B7131">
        <w:t>Afdeling 3. specifieke bepalingen voor de evaluatie van de decretale graden</w:t>
      </w:r>
      <w:bookmarkEnd w:id="81"/>
    </w:p>
    <w:p w14:paraId="1D7D0A9D" w14:textId="4052FD14" w:rsidR="00B3590A" w:rsidRDefault="00B3590A" w:rsidP="00B3590A">
      <w:pPr>
        <w:pStyle w:val="Kop5"/>
      </w:pPr>
      <w:r>
        <w:t>Artikel</w:t>
      </w:r>
      <w:r w:rsidR="00661F4E">
        <w:t xml:space="preserve"> </w:t>
      </w:r>
      <w:r w:rsidR="009D47D0">
        <w:t>37</w:t>
      </w:r>
    </w:p>
    <w:p w14:paraId="610CF337" w14:textId="09ED64B4" w:rsidR="00B3590A" w:rsidRDefault="00B3590A" w:rsidP="00BC72D3">
      <w:pPr>
        <w:pStyle w:val="StandaardUitvullen"/>
        <w:ind w:left="0"/>
      </w:pPr>
      <w:r>
        <w:t xml:space="preserve">De algemeen directeur en de financieel directeur worden geëvalueerd door een evaluatiecomité, dat bestaat uit het college van burgemeester en schepenen en de voorzitter van de gemeenteraad. Die evaluatie vindt plaats op basis van een voorbereidend rapport, opgesteld door externe deskundigen in het personeelsbeleid. Het voorbereidend rapport wordt minstens opgemaakt op basis van een evaluatiegesprek tussen de externe deskundigen en de functiehouder en op basis van een onderzoek over de wijze van functioneren van de functiehouder, waarbij de burgemeester, de voorzitter van het vast bureau, de leden van het managementteam en de voorzitter van de gemeenteraad betrokken worden. </w:t>
      </w:r>
    </w:p>
    <w:p w14:paraId="48DB6F14" w14:textId="77777777" w:rsidR="00B3590A" w:rsidRDefault="00B3590A" w:rsidP="00BC72D3">
      <w:pPr>
        <w:pStyle w:val="StandaardUitvullen"/>
        <w:ind w:left="0"/>
      </w:pPr>
      <w:r>
        <w:lastRenderedPageBreak/>
        <w:t>Het evaluatiecomité bepaalt of het evaluatieresultaat gunstig of ongunstig is. Bij staking van stemmen is het evaluatieresultaat gunstig.</w:t>
      </w:r>
    </w:p>
    <w:p w14:paraId="18D49E41" w14:textId="77777777" w:rsidR="00855674" w:rsidRDefault="00855674" w:rsidP="00BC72D3">
      <w:pPr>
        <w:pStyle w:val="StandaardUitvullen"/>
        <w:ind w:left="0"/>
      </w:pPr>
    </w:p>
    <w:p w14:paraId="254133E6" w14:textId="7C9B5D3E" w:rsidR="00B3590A" w:rsidRDefault="00B3590A" w:rsidP="00B3590A">
      <w:pPr>
        <w:pStyle w:val="Kop5"/>
      </w:pPr>
      <w:r>
        <w:t xml:space="preserve">Artikel </w:t>
      </w:r>
      <w:r w:rsidR="009D47D0">
        <w:t>38</w:t>
      </w:r>
    </w:p>
    <w:p w14:paraId="5170CC08" w14:textId="77777777" w:rsidR="00B3590A" w:rsidRPr="003E04C6" w:rsidRDefault="00B3590A" w:rsidP="00BC72D3">
      <w:pPr>
        <w:pStyle w:val="StandaardUitvullen"/>
        <w:ind w:left="0"/>
      </w:pPr>
      <w:r>
        <w:t xml:space="preserve">Indien het </w:t>
      </w:r>
      <w:r w:rsidRPr="003E04C6">
        <w:t>evaluatieresultaat ongunstig is kunnen de algemeen directeur en financieel directeur ontslagen worden wegens beroepsongeschiktheid.</w:t>
      </w:r>
    </w:p>
    <w:p w14:paraId="52EF9443" w14:textId="587B7AC1" w:rsidR="000B7131" w:rsidRPr="00B60A3C" w:rsidRDefault="00B3590A" w:rsidP="00BC72D3">
      <w:pPr>
        <w:pStyle w:val="StandaardUitvullen"/>
        <w:ind w:left="0"/>
      </w:pPr>
      <w:r w:rsidRPr="003E04C6">
        <w:t>De aanstellende overheid beslist over het ontslag wegens beroepsongeschiktheid nadat het personeelslid vooraf werd gehoord.</w:t>
      </w:r>
      <w:r w:rsidR="00BE4562" w:rsidRPr="003E04C6">
        <w:t xml:space="preserve"> Het personeelslid kan zich laten bijstaan door een persoon naar keuze.</w:t>
      </w:r>
    </w:p>
    <w:p w14:paraId="02CE8DB2" w14:textId="77777777" w:rsidR="003A11FB" w:rsidRPr="00037A46" w:rsidRDefault="003A11FB" w:rsidP="003A11FB">
      <w:pPr>
        <w:rPr>
          <w:b/>
        </w:rPr>
      </w:pPr>
    </w:p>
    <w:p w14:paraId="491E9A0A" w14:textId="3C36DC2A" w:rsidR="003A11FB" w:rsidRPr="00037A46" w:rsidRDefault="005B1D55" w:rsidP="00B44CF7">
      <w:pPr>
        <w:pStyle w:val="Kop2"/>
      </w:pPr>
      <w:r w:rsidRPr="00037A46">
        <w:br w:type="page"/>
      </w:r>
      <w:bookmarkStart w:id="82" w:name="_Toc110948143"/>
      <w:bookmarkStart w:id="83" w:name="_Toc215738957"/>
      <w:r w:rsidR="003A11FB" w:rsidRPr="00037A46">
        <w:lastRenderedPageBreak/>
        <w:t xml:space="preserve">Hoofdstuk </w:t>
      </w:r>
      <w:r w:rsidR="00B66F99">
        <w:t>VI</w:t>
      </w:r>
      <w:r w:rsidR="003A11FB" w:rsidRPr="00037A46">
        <w:t>. het vormingsreglement</w:t>
      </w:r>
      <w:bookmarkEnd w:id="82"/>
      <w:bookmarkEnd w:id="83"/>
    </w:p>
    <w:p w14:paraId="77136BD4" w14:textId="067A81AD" w:rsidR="003A11FB" w:rsidRPr="00037A46" w:rsidRDefault="003A11FB" w:rsidP="003A11FB">
      <w:pPr>
        <w:pStyle w:val="Kop5"/>
      </w:pPr>
      <w:r w:rsidRPr="00037A46">
        <w:t xml:space="preserve">Artikel </w:t>
      </w:r>
      <w:r w:rsidR="009D47D0">
        <w:t>39</w:t>
      </w:r>
    </w:p>
    <w:p w14:paraId="3F1C9409" w14:textId="77777777" w:rsidR="00851DE6" w:rsidRPr="00037A46" w:rsidRDefault="00851DE6" w:rsidP="00BC72D3">
      <w:pPr>
        <w:ind w:left="0"/>
      </w:pPr>
      <w:r w:rsidRPr="00037A46">
        <w:t>De personeelsleden hebben recht op informatie en vorming zowel met betrekking tot aspecten die nuttig zijn voor de uitoefening van de functie als om te kunnen voldoen aan de bevorderingsvereisten.</w:t>
      </w:r>
    </w:p>
    <w:p w14:paraId="4667E606" w14:textId="77777777" w:rsidR="00851DE6" w:rsidRPr="00037A46" w:rsidRDefault="00851DE6" w:rsidP="00D53CA3">
      <w:pPr>
        <w:ind w:left="0"/>
      </w:pPr>
      <w:r w:rsidRPr="00037A46">
        <w:t>De personeelsleden houden zich op de hoogte van de ontwikkelingen en de nieuwe inzichten in de materies waarmee zij beroepshalve belast zijn.</w:t>
      </w:r>
    </w:p>
    <w:p w14:paraId="1AF05C55" w14:textId="2AAF2A78" w:rsidR="00851DE6" w:rsidRPr="00037A46" w:rsidRDefault="00851DE6" w:rsidP="00D53CA3">
      <w:pPr>
        <w:ind w:left="0"/>
      </w:pPr>
      <w:r w:rsidRPr="00037A46">
        <w:t>De vorming is een plicht als ze noodzakelijk blijkt voor een betere uitoefening van de functie of het functioneren van een dienst, of als ze een onderdeel uitmaakt van een herstructurering of reorganisatie van een afdeling of een implementatie van nieuwe werkmethodes en infrastructuur (</w:t>
      </w:r>
      <w:r w:rsidR="00D91D0B">
        <w:t>a</w:t>
      </w:r>
      <w:r w:rsidRPr="00037A46">
        <w:t xml:space="preserve">rtikel </w:t>
      </w:r>
      <w:r w:rsidR="00AB0029" w:rsidRPr="00037A46">
        <w:t>192</w:t>
      </w:r>
      <w:r w:rsidR="00D91D0B">
        <w:t xml:space="preserve"> </w:t>
      </w:r>
      <w:r w:rsidR="00AB0029" w:rsidRPr="00037A46">
        <w:t>DLB</w:t>
      </w:r>
      <w:r w:rsidRPr="00037A46">
        <w:t>)</w:t>
      </w:r>
      <w:r w:rsidR="00D91D0B">
        <w:t>.</w:t>
      </w:r>
      <w:r w:rsidR="00D25EEA" w:rsidRPr="00037A46">
        <w:rPr>
          <w:vertAlign w:val="superscript"/>
        </w:rPr>
        <w:t xml:space="preserve">  </w:t>
      </w:r>
    </w:p>
    <w:p w14:paraId="1212EECA" w14:textId="3E0739B5" w:rsidR="003A11FB" w:rsidRPr="00037A46" w:rsidRDefault="00851DE6" w:rsidP="00D53CA3">
      <w:pPr>
        <w:pStyle w:val="StandaardUitvullen"/>
        <w:ind w:left="0"/>
      </w:pPr>
      <w:r w:rsidRPr="00037A46">
        <w:t xml:space="preserve">De nadere regels inzake vormingsrecht en – plicht worden vastgelegd in het vormingsreglement met als bijlage </w:t>
      </w:r>
      <w:r w:rsidR="007F5CBA" w:rsidRPr="00FC3C9E">
        <w:t>IV</w:t>
      </w:r>
      <w:r w:rsidRPr="00037A46">
        <w:t xml:space="preserve"> bij deze rechtspositieregeling.</w:t>
      </w:r>
    </w:p>
    <w:p w14:paraId="3F144F24" w14:textId="01A83A92" w:rsidR="003A11FB" w:rsidRPr="00037A46" w:rsidRDefault="005B1D55" w:rsidP="00B44CF7">
      <w:pPr>
        <w:pStyle w:val="Kop2"/>
      </w:pPr>
      <w:r w:rsidRPr="00037A46">
        <w:br w:type="page"/>
      </w:r>
      <w:bookmarkStart w:id="84" w:name="_Toc110948146"/>
      <w:bookmarkStart w:id="85" w:name="_Toc215738958"/>
      <w:r w:rsidR="003A11FB" w:rsidRPr="00037A46">
        <w:lastRenderedPageBreak/>
        <w:t xml:space="preserve">Hoofdstuk </w:t>
      </w:r>
      <w:r w:rsidR="00B66F99">
        <w:t>VII</w:t>
      </w:r>
      <w:r w:rsidR="002974DF">
        <w:t>I</w:t>
      </w:r>
      <w:r w:rsidR="003A11FB" w:rsidRPr="00037A46">
        <w:t>. de functionele loopbaan</w:t>
      </w:r>
      <w:bookmarkEnd w:id="84"/>
      <w:bookmarkEnd w:id="85"/>
    </w:p>
    <w:p w14:paraId="092CE1A9" w14:textId="79B7B1D4" w:rsidR="003A11FB" w:rsidRPr="00037A46" w:rsidRDefault="003A11FB" w:rsidP="003A11FB">
      <w:pPr>
        <w:pStyle w:val="Kop3"/>
      </w:pPr>
      <w:bookmarkStart w:id="86" w:name="_Toc110948147"/>
      <w:bookmarkStart w:id="87" w:name="_Toc215738959"/>
      <w:r w:rsidRPr="00037A46">
        <w:t>Afdeling 1. algemene bepalingen</w:t>
      </w:r>
      <w:bookmarkEnd w:id="86"/>
      <w:bookmarkEnd w:id="87"/>
    </w:p>
    <w:p w14:paraId="02E34FDA" w14:textId="3DF231E7" w:rsidR="00681802" w:rsidRPr="00B04CDD" w:rsidRDefault="00681802" w:rsidP="00681802">
      <w:pPr>
        <w:pStyle w:val="Kop5"/>
      </w:pPr>
      <w:r w:rsidRPr="00B04CDD">
        <w:t xml:space="preserve">Artikel </w:t>
      </w:r>
      <w:r w:rsidR="009D47D0" w:rsidRPr="00B04CDD">
        <w:t>40</w:t>
      </w:r>
    </w:p>
    <w:p w14:paraId="657B0934" w14:textId="77777777" w:rsidR="00681802" w:rsidRDefault="00681802" w:rsidP="00D53CA3">
      <w:pPr>
        <w:pStyle w:val="StandaardUitvullen"/>
        <w:ind w:left="0"/>
      </w:pPr>
      <w:r w:rsidRPr="00101E2D">
        <w:t>Dit hoofdstuk is niet van toepassing op de algemeen directeur, de financieel directeur en de personeelsleden met een IFIC-barema.</w:t>
      </w:r>
    </w:p>
    <w:p w14:paraId="19D9D21C" w14:textId="4A417D6F" w:rsidR="003A11FB" w:rsidRPr="00037A46" w:rsidRDefault="003A11FB" w:rsidP="003A11FB">
      <w:pPr>
        <w:pStyle w:val="Kop5"/>
      </w:pPr>
      <w:r w:rsidRPr="00037A46">
        <w:t xml:space="preserve">Artikel </w:t>
      </w:r>
      <w:r w:rsidR="009D47D0">
        <w:t>41</w:t>
      </w:r>
    </w:p>
    <w:p w14:paraId="545E3B1C" w14:textId="77777777" w:rsidR="003A11FB" w:rsidRPr="00037A46" w:rsidRDefault="003A11FB" w:rsidP="00D53CA3">
      <w:pPr>
        <w:pStyle w:val="StandaardUitvullen"/>
        <w:ind w:left="0"/>
      </w:pPr>
      <w:r w:rsidRPr="00037A46">
        <w:t>De functionele loopbaan bestaat uit de toekenning van opeenvo</w:t>
      </w:r>
      <w:r w:rsidR="00C0050A" w:rsidRPr="00037A46">
        <w:t>lgende salarisschalen die met éé</w:t>
      </w:r>
      <w:r w:rsidRPr="00037A46">
        <w:t>n en dezelfde graad verbonden zijn.</w:t>
      </w:r>
    </w:p>
    <w:p w14:paraId="3E0E9131" w14:textId="77777777" w:rsidR="003A11FB" w:rsidRPr="00037A46" w:rsidRDefault="003A11FB" w:rsidP="00D53CA3">
      <w:pPr>
        <w:pStyle w:val="StandaardUitvullen"/>
        <w:ind w:left="0"/>
      </w:pPr>
      <w:r w:rsidRPr="00037A46">
        <w:t>Bij elke aanstelling in een graad krijgt het personeelslid de eerste salarisschaal van de functionele loopbaan van die graad, tenzij anders bepaald.</w:t>
      </w:r>
    </w:p>
    <w:p w14:paraId="4FE4CD7B" w14:textId="77F32871" w:rsidR="003A11FB" w:rsidRPr="00037A46" w:rsidRDefault="003A11FB" w:rsidP="003A11FB">
      <w:pPr>
        <w:pStyle w:val="Kop3"/>
      </w:pPr>
      <w:bookmarkStart w:id="88" w:name="_Toc110948148"/>
      <w:bookmarkStart w:id="89" w:name="_Toc215738960"/>
      <w:r w:rsidRPr="00037A46">
        <w:t>Afdeling 2. de functionele loopbanen per niveau</w:t>
      </w:r>
      <w:bookmarkEnd w:id="88"/>
      <w:bookmarkEnd w:id="89"/>
    </w:p>
    <w:p w14:paraId="17ABC8DE" w14:textId="249A11E4" w:rsidR="007C560B" w:rsidRPr="00037A46" w:rsidRDefault="00837E99" w:rsidP="003A11FB">
      <w:pPr>
        <w:pStyle w:val="Kop5"/>
        <w:rPr>
          <w:b w:val="0"/>
        </w:rPr>
      </w:pPr>
      <w:r w:rsidRPr="00101E2D">
        <w:rPr>
          <w:b w:val="0"/>
        </w:rPr>
        <w:t xml:space="preserve">Zie overzicht van alle functies, graden en schalen in bijlage </w:t>
      </w:r>
      <w:r w:rsidR="00DE1AEF" w:rsidRPr="00FC3C9E">
        <w:rPr>
          <w:b w:val="0"/>
        </w:rPr>
        <w:t>III</w:t>
      </w:r>
      <w:r w:rsidRPr="00101E2D">
        <w:rPr>
          <w:b w:val="0"/>
        </w:rPr>
        <w:t>.</w:t>
      </w:r>
    </w:p>
    <w:p w14:paraId="3445B6AE" w14:textId="75B45B0F" w:rsidR="003A11FB" w:rsidRPr="00037A46" w:rsidRDefault="003A11FB" w:rsidP="008D380B">
      <w:pPr>
        <w:pStyle w:val="Kop5"/>
      </w:pPr>
      <w:r w:rsidRPr="00037A46">
        <w:t xml:space="preserve">Artikel </w:t>
      </w:r>
      <w:r w:rsidR="009D47D0">
        <w:t>42</w:t>
      </w:r>
    </w:p>
    <w:p w14:paraId="717DF65E" w14:textId="77777777" w:rsidR="003A11FB" w:rsidRPr="00037A46" w:rsidRDefault="003A11FB" w:rsidP="00D53CA3">
      <w:pPr>
        <w:pStyle w:val="StandaardUitvullen"/>
        <w:ind w:left="0"/>
      </w:pPr>
      <w:r w:rsidRPr="00037A46">
        <w:t>De functionele loopbanen en de voorwaarden voor doorstroming naar de volgende salarisschalen zijn voor het niveau A:</w:t>
      </w:r>
    </w:p>
    <w:p w14:paraId="1BBCA969" w14:textId="77777777" w:rsidR="003A11FB" w:rsidRPr="00037A46" w:rsidRDefault="003A11FB" w:rsidP="003A11FB">
      <w:pPr>
        <w:pStyle w:val="StandaardUitvullen"/>
        <w:rPr>
          <w:lang w:val="en-US"/>
        </w:rPr>
      </w:pPr>
      <w:r w:rsidRPr="00037A46">
        <w:rPr>
          <w:lang w:val="en-US"/>
        </w:rPr>
        <w:t>A1a-A2a-A3a:</w:t>
      </w:r>
    </w:p>
    <w:p w14:paraId="2FBBE2A2" w14:textId="210DA123" w:rsidR="003A11FB" w:rsidRPr="00037A46" w:rsidRDefault="003A11FB" w:rsidP="00E80C0C">
      <w:pPr>
        <w:pStyle w:val="StandaardUitvullen"/>
        <w:numPr>
          <w:ilvl w:val="0"/>
          <w:numId w:val="2"/>
        </w:numPr>
      </w:pPr>
      <w:r w:rsidRPr="00037A46">
        <w:t xml:space="preserve">van A1a naar A2a na 4 jaar schaalanciënniteit in A1a en </w:t>
      </w:r>
      <w:r w:rsidR="00E83A0F">
        <w:t>g</w:t>
      </w:r>
      <w:r w:rsidRPr="00037A46">
        <w:t xml:space="preserve">een </w:t>
      </w:r>
      <w:r w:rsidR="00E83A0F">
        <w:t>on</w:t>
      </w:r>
      <w:r w:rsidRPr="00037A46">
        <w:t>gunstig evaluatieresultaat;</w:t>
      </w:r>
    </w:p>
    <w:p w14:paraId="55F23140" w14:textId="1F52B2D8" w:rsidR="003A11FB" w:rsidRDefault="003A11FB" w:rsidP="00E80C0C">
      <w:pPr>
        <w:pStyle w:val="StandaardUitvullen"/>
        <w:numPr>
          <w:ilvl w:val="0"/>
          <w:numId w:val="2"/>
        </w:numPr>
      </w:pPr>
      <w:r w:rsidRPr="00037A46">
        <w:t xml:space="preserve">van A2a naar A3a na 18 jaar gecumuleerde schaalanciënniteit in A1a en A2a en </w:t>
      </w:r>
      <w:r w:rsidR="00E83A0F">
        <w:t>g</w:t>
      </w:r>
      <w:r w:rsidRPr="00037A46">
        <w:t xml:space="preserve">een </w:t>
      </w:r>
      <w:r w:rsidR="00E83A0F">
        <w:t>on</w:t>
      </w:r>
      <w:r w:rsidRPr="00037A46">
        <w:t>gunstig ev</w:t>
      </w:r>
      <w:r w:rsidR="004100B1" w:rsidRPr="00037A46">
        <w:t>aluatieresultaat.</w:t>
      </w:r>
    </w:p>
    <w:p w14:paraId="6CDDA4C4" w14:textId="77777777" w:rsidR="00101E2D" w:rsidRPr="00101E2D" w:rsidRDefault="00101E2D" w:rsidP="00101E2D">
      <w:pPr>
        <w:pStyle w:val="StandaardUitvullen"/>
      </w:pPr>
      <w:r w:rsidRPr="00101E2D">
        <w:t>A4a-A4b:</w:t>
      </w:r>
    </w:p>
    <w:p w14:paraId="2D63E890" w14:textId="20693893" w:rsidR="00101E2D" w:rsidRPr="00101E2D" w:rsidRDefault="00101E2D" w:rsidP="009D4C40">
      <w:pPr>
        <w:pStyle w:val="StandaardUitvullen"/>
        <w:numPr>
          <w:ilvl w:val="0"/>
          <w:numId w:val="104"/>
        </w:numPr>
      </w:pPr>
      <w:r w:rsidRPr="00101E2D">
        <w:t xml:space="preserve">Van A4a naar A4b na 9 jaar schaalanciënniteit in A4a en </w:t>
      </w:r>
      <w:r>
        <w:t>g</w:t>
      </w:r>
      <w:r w:rsidRPr="00101E2D">
        <w:t xml:space="preserve">een </w:t>
      </w:r>
      <w:r>
        <w:t>on</w:t>
      </w:r>
      <w:r w:rsidRPr="00101E2D">
        <w:t>gunstig evaluatieresultaat;</w:t>
      </w:r>
    </w:p>
    <w:p w14:paraId="47583A44" w14:textId="44A822D3" w:rsidR="003A11FB" w:rsidRPr="00037A46" w:rsidRDefault="003A11FB" w:rsidP="003A11FB">
      <w:pPr>
        <w:pStyle w:val="Kop5"/>
      </w:pPr>
      <w:r w:rsidRPr="00037A46">
        <w:t xml:space="preserve">Artikel </w:t>
      </w:r>
      <w:r w:rsidR="009D47D0">
        <w:t>43</w:t>
      </w:r>
    </w:p>
    <w:p w14:paraId="1EC030A0" w14:textId="77777777" w:rsidR="003A11FB" w:rsidRPr="00037A46" w:rsidRDefault="003A11FB" w:rsidP="00D53CA3">
      <w:pPr>
        <w:pStyle w:val="StandaardUitvullen"/>
        <w:ind w:left="0"/>
      </w:pPr>
      <w:r w:rsidRPr="00037A46">
        <w:t>De functionele loopbanen en de voorwaarden voor doorstroming naar de volgende salarisschalen zijn voor het niveau B:</w:t>
      </w:r>
    </w:p>
    <w:p w14:paraId="44296FB5" w14:textId="77777777" w:rsidR="003A11FB" w:rsidRPr="00037A46" w:rsidRDefault="003A11FB" w:rsidP="003A11FB">
      <w:pPr>
        <w:pStyle w:val="StandaardUitvullen"/>
      </w:pPr>
      <w:r w:rsidRPr="00037A46">
        <w:t>B1-B2-B3:</w:t>
      </w:r>
    </w:p>
    <w:p w14:paraId="04AF58A9" w14:textId="54B6BBAE" w:rsidR="003A11FB" w:rsidRPr="00037A46" w:rsidRDefault="003A11FB" w:rsidP="00E80C0C">
      <w:pPr>
        <w:pStyle w:val="StandaardUitvullen"/>
        <w:numPr>
          <w:ilvl w:val="0"/>
          <w:numId w:val="3"/>
        </w:numPr>
      </w:pPr>
      <w:r w:rsidRPr="00037A46">
        <w:t xml:space="preserve">van B1 naar B2 na 4 jaar schaalanciënniteit in B1 en </w:t>
      </w:r>
      <w:r w:rsidR="00E83A0F">
        <w:t>g</w:t>
      </w:r>
      <w:r w:rsidRPr="00037A46">
        <w:t xml:space="preserve">een </w:t>
      </w:r>
      <w:r w:rsidR="00E83A0F">
        <w:t>on</w:t>
      </w:r>
      <w:r w:rsidRPr="00037A46">
        <w:t>gunstig evaluatieresultaat;</w:t>
      </w:r>
    </w:p>
    <w:p w14:paraId="55E90011" w14:textId="00C5E15F" w:rsidR="003A11FB" w:rsidRPr="00037A46" w:rsidRDefault="003A11FB" w:rsidP="00E80C0C">
      <w:pPr>
        <w:pStyle w:val="StandaardUitvullen"/>
        <w:numPr>
          <w:ilvl w:val="0"/>
          <w:numId w:val="3"/>
        </w:numPr>
      </w:pPr>
      <w:r w:rsidRPr="00037A46">
        <w:t>van B2 naar B3 na 18 jaar gecumuleerde schaalanciënniteit in B1 en B2 en</w:t>
      </w:r>
      <w:r w:rsidR="004100B1" w:rsidRPr="00037A46">
        <w:t xml:space="preserve"> </w:t>
      </w:r>
      <w:r w:rsidR="00E83A0F">
        <w:t>g</w:t>
      </w:r>
      <w:r w:rsidR="004100B1" w:rsidRPr="00037A46">
        <w:t xml:space="preserve">een </w:t>
      </w:r>
      <w:r w:rsidR="00E83A0F">
        <w:t>on</w:t>
      </w:r>
      <w:r w:rsidR="004100B1" w:rsidRPr="00037A46">
        <w:t>gunstig evaluatieresultaat.</w:t>
      </w:r>
    </w:p>
    <w:p w14:paraId="66B4809D" w14:textId="77777777" w:rsidR="00851DE6" w:rsidRPr="00037A46" w:rsidRDefault="00851DE6" w:rsidP="00851DE6">
      <w:pPr>
        <w:pStyle w:val="StandaardUitvullen"/>
        <w:rPr>
          <w:rFonts w:cs="Arial"/>
        </w:rPr>
      </w:pPr>
      <w:r w:rsidRPr="00037A46">
        <w:rPr>
          <w:rFonts w:cs="Arial"/>
        </w:rPr>
        <w:t>BV1-BV2-BV3:</w:t>
      </w:r>
    </w:p>
    <w:p w14:paraId="35B6EB37" w14:textId="75368CAC" w:rsidR="00851DE6" w:rsidRPr="00037A46" w:rsidRDefault="00851DE6" w:rsidP="009D4C40">
      <w:pPr>
        <w:pStyle w:val="StandaardUitvullen"/>
        <w:numPr>
          <w:ilvl w:val="0"/>
          <w:numId w:val="34"/>
        </w:numPr>
        <w:rPr>
          <w:rFonts w:cs="Arial"/>
        </w:rPr>
      </w:pPr>
      <w:r w:rsidRPr="00037A46">
        <w:rPr>
          <w:rFonts w:cs="Arial"/>
        </w:rPr>
        <w:t xml:space="preserve">van BV1 naar BV2 na 4 jaar schaalanciënniteit in BV1 en </w:t>
      </w:r>
      <w:r w:rsidR="00E83A0F">
        <w:rPr>
          <w:rFonts w:cs="Arial"/>
        </w:rPr>
        <w:t>g</w:t>
      </w:r>
      <w:r w:rsidRPr="00037A46">
        <w:rPr>
          <w:rFonts w:cs="Arial"/>
        </w:rPr>
        <w:t xml:space="preserve">een </w:t>
      </w:r>
      <w:r w:rsidR="00E83A0F">
        <w:rPr>
          <w:rFonts w:cs="Arial"/>
        </w:rPr>
        <w:t>on</w:t>
      </w:r>
      <w:r w:rsidRPr="00037A46">
        <w:rPr>
          <w:rFonts w:cs="Arial"/>
        </w:rPr>
        <w:t>gunstig evaluatieresultaat;</w:t>
      </w:r>
    </w:p>
    <w:p w14:paraId="456A7133" w14:textId="48BF92D7" w:rsidR="00851DE6" w:rsidRPr="00037A46" w:rsidRDefault="00851DE6" w:rsidP="009D4C40">
      <w:pPr>
        <w:pStyle w:val="StandaardUitvullen"/>
        <w:numPr>
          <w:ilvl w:val="0"/>
          <w:numId w:val="34"/>
        </w:numPr>
        <w:rPr>
          <w:rFonts w:cs="Arial"/>
        </w:rPr>
      </w:pPr>
      <w:r w:rsidRPr="00037A46">
        <w:rPr>
          <w:rFonts w:cs="Arial"/>
        </w:rPr>
        <w:t xml:space="preserve">van BV2 naar BV3 na 18 jaar gecumuleerde schaalanciënniteit in BV1 en BV2 en </w:t>
      </w:r>
      <w:r w:rsidR="00E83A0F">
        <w:rPr>
          <w:rFonts w:cs="Arial"/>
        </w:rPr>
        <w:t>g</w:t>
      </w:r>
      <w:r w:rsidRPr="00037A46">
        <w:rPr>
          <w:rFonts w:cs="Arial"/>
        </w:rPr>
        <w:t>een gunstig evaluatieresultaat;</w:t>
      </w:r>
    </w:p>
    <w:p w14:paraId="6231DBF5" w14:textId="0DABDB1A" w:rsidR="00851DE6" w:rsidRPr="00037A46" w:rsidRDefault="00851DE6" w:rsidP="00851DE6">
      <w:pPr>
        <w:pStyle w:val="StandaardUitvullen"/>
        <w:spacing w:before="180"/>
        <w:rPr>
          <w:rFonts w:cs="Arial"/>
        </w:rPr>
      </w:pPr>
      <w:r w:rsidRPr="00037A46">
        <w:rPr>
          <w:rFonts w:cs="Arial"/>
        </w:rPr>
        <w:t xml:space="preserve">B4-B5: van B4 naar B5 na 9 jaar schaalanciënniteit in B4 en </w:t>
      </w:r>
      <w:r w:rsidR="00E83A0F">
        <w:rPr>
          <w:rFonts w:cs="Arial"/>
        </w:rPr>
        <w:t>g</w:t>
      </w:r>
      <w:r w:rsidRPr="00037A46">
        <w:rPr>
          <w:rFonts w:cs="Arial"/>
        </w:rPr>
        <w:t xml:space="preserve">een </w:t>
      </w:r>
      <w:r w:rsidR="00E83A0F">
        <w:rPr>
          <w:rFonts w:cs="Arial"/>
        </w:rPr>
        <w:t>on</w:t>
      </w:r>
      <w:r w:rsidRPr="00037A46">
        <w:rPr>
          <w:rFonts w:cs="Arial"/>
        </w:rPr>
        <w:t>gunstig evaluatieresultaat.</w:t>
      </w:r>
    </w:p>
    <w:p w14:paraId="242EB578" w14:textId="2074A49E" w:rsidR="003A11FB" w:rsidRPr="00037A46" w:rsidRDefault="003A11FB" w:rsidP="003A11FB">
      <w:pPr>
        <w:pStyle w:val="Kop5"/>
      </w:pPr>
      <w:r w:rsidRPr="00037A46">
        <w:lastRenderedPageBreak/>
        <w:t xml:space="preserve">Artikel </w:t>
      </w:r>
      <w:r w:rsidR="009D47D0">
        <w:t>44</w:t>
      </w:r>
    </w:p>
    <w:p w14:paraId="2EF49370" w14:textId="77777777" w:rsidR="003A11FB" w:rsidRPr="00037A46" w:rsidRDefault="003A11FB" w:rsidP="00D53CA3">
      <w:pPr>
        <w:pStyle w:val="StandaardUitvullen"/>
        <w:ind w:left="0"/>
      </w:pPr>
      <w:r w:rsidRPr="00037A46">
        <w:t>De functionele loopbanen en de voorwaarden voor doorstroming naar de volgende salarisschalen zijn voor het niveau C:</w:t>
      </w:r>
    </w:p>
    <w:p w14:paraId="73BF1166" w14:textId="77777777" w:rsidR="003A11FB" w:rsidRPr="00037A46" w:rsidRDefault="003A11FB" w:rsidP="003A11FB">
      <w:pPr>
        <w:pStyle w:val="StandaardUitvullen"/>
      </w:pPr>
      <w:r w:rsidRPr="00037A46">
        <w:t>C1-C2-C3:</w:t>
      </w:r>
    </w:p>
    <w:p w14:paraId="040B5BBD" w14:textId="34B74C38" w:rsidR="003A11FB" w:rsidRPr="00037A46" w:rsidRDefault="003A11FB" w:rsidP="00E80C0C">
      <w:pPr>
        <w:pStyle w:val="StandaardUitvullen"/>
        <w:numPr>
          <w:ilvl w:val="0"/>
          <w:numId w:val="9"/>
        </w:numPr>
      </w:pPr>
      <w:r w:rsidRPr="00037A46">
        <w:t xml:space="preserve">van C1 naar C2 na 4 jaar schaalanciënniteit in C1 en </w:t>
      </w:r>
      <w:r w:rsidR="00E83A0F">
        <w:t>g</w:t>
      </w:r>
      <w:r w:rsidRPr="00037A46">
        <w:t xml:space="preserve">een </w:t>
      </w:r>
      <w:r w:rsidR="00E83A0F">
        <w:t>on</w:t>
      </w:r>
      <w:r w:rsidRPr="00037A46">
        <w:t>gunstig evaluatieresultaat;</w:t>
      </w:r>
    </w:p>
    <w:p w14:paraId="42CB0181" w14:textId="59F0491D" w:rsidR="003A11FB" w:rsidRPr="00037A46" w:rsidRDefault="003A11FB" w:rsidP="00E80C0C">
      <w:pPr>
        <w:pStyle w:val="StandaardUitvullen"/>
        <w:numPr>
          <w:ilvl w:val="0"/>
          <w:numId w:val="9"/>
        </w:numPr>
      </w:pPr>
      <w:r w:rsidRPr="00037A46">
        <w:t>van C2 naar C3 na 18 jaar gecumuleerde schaalanciënniteit in C1 en C2 en</w:t>
      </w:r>
      <w:r w:rsidR="004100B1" w:rsidRPr="00037A46">
        <w:t xml:space="preserve"> </w:t>
      </w:r>
      <w:r w:rsidR="00E83A0F">
        <w:t>g</w:t>
      </w:r>
      <w:r w:rsidR="004100B1" w:rsidRPr="00037A46">
        <w:t xml:space="preserve">een </w:t>
      </w:r>
      <w:r w:rsidR="00E83A0F">
        <w:t>on</w:t>
      </w:r>
      <w:r w:rsidR="004100B1" w:rsidRPr="00037A46">
        <w:t>gunstig evaluatieresultaat.</w:t>
      </w:r>
    </w:p>
    <w:p w14:paraId="4DEF9D00" w14:textId="1CA1E160" w:rsidR="003A11FB" w:rsidRPr="00037A46" w:rsidRDefault="003A11FB" w:rsidP="003A11FB">
      <w:pPr>
        <w:pStyle w:val="StandaardUitvullen"/>
      </w:pPr>
      <w:r w:rsidRPr="00037A46">
        <w:t xml:space="preserve">C4-C5: van C4 naar C5 na 9 jaar schaalanciënniteit in C4 en </w:t>
      </w:r>
      <w:r w:rsidR="00E83A0F">
        <w:t>g</w:t>
      </w:r>
      <w:r w:rsidRPr="00037A46">
        <w:t xml:space="preserve">een </w:t>
      </w:r>
      <w:r w:rsidR="00E83A0F">
        <w:t>on</w:t>
      </w:r>
      <w:r w:rsidRPr="00037A46">
        <w:t>gunstig evaluatieresultaat.</w:t>
      </w:r>
    </w:p>
    <w:p w14:paraId="16ABB919" w14:textId="325E79A2" w:rsidR="002812BB" w:rsidRPr="00FC3C9E" w:rsidRDefault="002812BB" w:rsidP="002812BB">
      <w:pPr>
        <w:pStyle w:val="StandaardUitvullen"/>
        <w:rPr>
          <w:rFonts w:cs="Arial"/>
        </w:rPr>
      </w:pPr>
      <w:r w:rsidRPr="00FC3C9E">
        <w:rPr>
          <w:rFonts w:cs="Arial"/>
        </w:rPr>
        <w:t>CV1-CV2:</w:t>
      </w:r>
    </w:p>
    <w:p w14:paraId="5076DE03" w14:textId="1D1FED40" w:rsidR="002812BB" w:rsidRPr="00FC3C9E" w:rsidRDefault="002812BB" w:rsidP="009D4C40">
      <w:pPr>
        <w:pStyle w:val="StandaardUitvullen"/>
        <w:numPr>
          <w:ilvl w:val="0"/>
          <w:numId w:val="113"/>
        </w:numPr>
      </w:pPr>
      <w:r w:rsidRPr="00FC3C9E">
        <w:t>C1-C2: van C1 naar C2 na 4 jaar schaalanciënniteit in C1 en geen ongunstig evaluatieresultaat.</w:t>
      </w:r>
    </w:p>
    <w:p w14:paraId="046466F4" w14:textId="62B5D88F" w:rsidR="002812BB" w:rsidRPr="00FC3C9E" w:rsidRDefault="002812BB" w:rsidP="002812BB">
      <w:pPr>
        <w:pStyle w:val="StandaardUitvullen"/>
        <w:rPr>
          <w:rFonts w:cs="Arial"/>
        </w:rPr>
      </w:pPr>
      <w:r w:rsidRPr="00FC3C9E">
        <w:rPr>
          <w:rFonts w:cs="Arial"/>
        </w:rPr>
        <w:t>CV3-CV4:</w:t>
      </w:r>
    </w:p>
    <w:p w14:paraId="7B300A3A" w14:textId="7A6450A0" w:rsidR="002812BB" w:rsidRPr="00FC3C9E" w:rsidRDefault="002812BB" w:rsidP="009D4C40">
      <w:pPr>
        <w:pStyle w:val="StandaardUitvullen"/>
        <w:numPr>
          <w:ilvl w:val="0"/>
          <w:numId w:val="112"/>
        </w:numPr>
        <w:rPr>
          <w:rFonts w:cs="Arial"/>
        </w:rPr>
      </w:pPr>
      <w:r w:rsidRPr="00FC3C9E">
        <w:rPr>
          <w:rFonts w:cs="Arial"/>
        </w:rPr>
        <w:t>C3-C4: van C3 naar C4 na 9 jaar schaalanciënniteit in C3 en geen ongunstig evaluatieresultaat.</w:t>
      </w:r>
    </w:p>
    <w:p w14:paraId="02E1E936" w14:textId="7D055DE9" w:rsidR="00851DE6" w:rsidRPr="002812BB" w:rsidRDefault="00851DE6" w:rsidP="00851DE6">
      <w:pPr>
        <w:pStyle w:val="StandaardUitvullen"/>
        <w:rPr>
          <w:rFonts w:cs="Arial"/>
          <w:strike/>
        </w:rPr>
      </w:pPr>
    </w:p>
    <w:p w14:paraId="2FBC7F3B" w14:textId="5EC1F8D2" w:rsidR="003A11FB" w:rsidRPr="00037A46" w:rsidRDefault="003A11FB" w:rsidP="003A11FB">
      <w:pPr>
        <w:pStyle w:val="Kop5"/>
      </w:pPr>
      <w:r w:rsidRPr="00037A46">
        <w:t xml:space="preserve">Artikel </w:t>
      </w:r>
      <w:r w:rsidR="009D47D0">
        <w:t>45</w:t>
      </w:r>
    </w:p>
    <w:p w14:paraId="6D69CBC3" w14:textId="77777777" w:rsidR="003A11FB" w:rsidRPr="00037A46" w:rsidRDefault="003A11FB" w:rsidP="00D53CA3">
      <w:pPr>
        <w:pStyle w:val="StandaardUitvullen"/>
        <w:ind w:left="0"/>
      </w:pPr>
      <w:r w:rsidRPr="00037A46">
        <w:t>De functionele loopbaan en de voorwaarden voor doorstroming naar de volgende salarisschalen zijn voor het niveau D:</w:t>
      </w:r>
    </w:p>
    <w:p w14:paraId="36337AFC" w14:textId="77777777" w:rsidR="003A11FB" w:rsidRPr="00037A46" w:rsidRDefault="003A11FB" w:rsidP="003A11FB">
      <w:pPr>
        <w:pStyle w:val="StandaardUitvullen"/>
      </w:pPr>
      <w:r w:rsidRPr="00037A46">
        <w:t>D1-D2-D3:</w:t>
      </w:r>
    </w:p>
    <w:p w14:paraId="7001F574" w14:textId="6665FA0C" w:rsidR="003A11FB" w:rsidRPr="00037A46" w:rsidRDefault="003A11FB" w:rsidP="00E80C0C">
      <w:pPr>
        <w:pStyle w:val="StandaardUitvullen"/>
        <w:numPr>
          <w:ilvl w:val="0"/>
          <w:numId w:val="10"/>
        </w:numPr>
      </w:pPr>
      <w:r w:rsidRPr="00037A46">
        <w:t xml:space="preserve">van D1 naar D2 na 4 jaar schaalanciënniteit in D1 en </w:t>
      </w:r>
      <w:r w:rsidR="00E83A0F">
        <w:t>g</w:t>
      </w:r>
      <w:r w:rsidRPr="00037A46">
        <w:t xml:space="preserve">een </w:t>
      </w:r>
      <w:r w:rsidR="00E83A0F">
        <w:t>on</w:t>
      </w:r>
      <w:r w:rsidRPr="00037A46">
        <w:t>gunstig evaluatieresultaat;</w:t>
      </w:r>
    </w:p>
    <w:p w14:paraId="1632502A" w14:textId="290B2684" w:rsidR="003A11FB" w:rsidRPr="00037A46" w:rsidRDefault="003A11FB" w:rsidP="00E80C0C">
      <w:pPr>
        <w:pStyle w:val="StandaardUitvullen"/>
        <w:numPr>
          <w:ilvl w:val="0"/>
          <w:numId w:val="10"/>
        </w:numPr>
      </w:pPr>
      <w:r w:rsidRPr="00037A46">
        <w:t xml:space="preserve">van D2 naar D3 na 18 jaar gecumuleerde schaalanciënniteit in D1 en D2 en </w:t>
      </w:r>
      <w:r w:rsidR="00E83A0F">
        <w:t>g</w:t>
      </w:r>
      <w:r w:rsidRPr="00037A46">
        <w:t xml:space="preserve">een </w:t>
      </w:r>
      <w:r w:rsidR="00E83A0F">
        <w:t>on</w:t>
      </w:r>
      <w:r w:rsidRPr="00037A46">
        <w:t>gunstig evaluatieresultaat.</w:t>
      </w:r>
    </w:p>
    <w:p w14:paraId="06FD80D5" w14:textId="6E43DDF9" w:rsidR="003A11FB" w:rsidRPr="00037A46" w:rsidRDefault="003A11FB" w:rsidP="008C67E6">
      <w:pPr>
        <w:pStyle w:val="StandaardUitvullen"/>
      </w:pPr>
      <w:r w:rsidRPr="00037A46">
        <w:t xml:space="preserve">D4-D5: van D4 naar D5 na 9 jaar schaalanciënniteit in D4 en </w:t>
      </w:r>
      <w:r w:rsidR="00E83A0F">
        <w:t>g</w:t>
      </w:r>
      <w:r w:rsidRPr="00037A46">
        <w:t xml:space="preserve">een </w:t>
      </w:r>
      <w:r w:rsidR="00E83A0F">
        <w:t>on</w:t>
      </w:r>
      <w:r w:rsidRPr="00037A46">
        <w:t>gunstig evaluatieresultaat.</w:t>
      </w:r>
    </w:p>
    <w:p w14:paraId="0B0D82BE" w14:textId="22753D76" w:rsidR="003A11FB" w:rsidRPr="00037A46" w:rsidRDefault="005B1D55" w:rsidP="00B44CF7">
      <w:pPr>
        <w:pStyle w:val="Kop2"/>
      </w:pPr>
      <w:r w:rsidRPr="00037A46">
        <w:br w:type="page"/>
      </w:r>
    </w:p>
    <w:p w14:paraId="5E29FB52" w14:textId="7D1CAEEC" w:rsidR="00164D00" w:rsidRPr="00037A46" w:rsidRDefault="00164D00" w:rsidP="00B44CF7">
      <w:pPr>
        <w:pStyle w:val="Kop2"/>
      </w:pPr>
      <w:bookmarkStart w:id="90" w:name="_Toc215738961"/>
      <w:r w:rsidRPr="00037A46">
        <w:lastRenderedPageBreak/>
        <w:t xml:space="preserve">Hoofdstuk </w:t>
      </w:r>
      <w:r w:rsidR="002974DF">
        <w:t>IX</w:t>
      </w:r>
      <w:r w:rsidRPr="00037A46">
        <w:t>. de bevordering</w:t>
      </w:r>
      <w:bookmarkEnd w:id="90"/>
    </w:p>
    <w:p w14:paraId="76EB7C94" w14:textId="12A65838" w:rsidR="00C250AA" w:rsidRPr="00661F4E" w:rsidRDefault="006D1A58" w:rsidP="00357AB7">
      <w:pPr>
        <w:ind w:left="0"/>
        <w:rPr>
          <w:rFonts w:eastAsia="Calibri" w:cs="Arial"/>
          <w:b/>
          <w:bCs/>
          <w:kern w:val="2"/>
          <w:lang w:val="nl-BE" w:eastAsia="en-US"/>
          <w14:ligatures w14:val="standardContextual"/>
        </w:rPr>
      </w:pPr>
      <w:r w:rsidRPr="00661F4E">
        <w:rPr>
          <w:rFonts w:eastAsia="Calibri" w:cs="Arial"/>
          <w:b/>
          <w:bCs/>
          <w:kern w:val="2"/>
          <w:lang w:val="nl-BE" w:eastAsia="en-US"/>
          <w14:ligatures w14:val="standardContextual"/>
        </w:rPr>
        <w:t xml:space="preserve">Artikel </w:t>
      </w:r>
      <w:r w:rsidR="009D47D0" w:rsidRPr="00661F4E">
        <w:rPr>
          <w:rFonts w:eastAsia="Calibri" w:cs="Arial"/>
          <w:b/>
          <w:bCs/>
          <w:kern w:val="2"/>
          <w:lang w:val="nl-BE" w:eastAsia="en-US"/>
          <w14:ligatures w14:val="standardContextual"/>
        </w:rPr>
        <w:t>4</w:t>
      </w:r>
      <w:r w:rsidR="007A1CE8">
        <w:rPr>
          <w:rFonts w:eastAsia="Calibri" w:cs="Arial"/>
          <w:b/>
          <w:bCs/>
          <w:kern w:val="2"/>
          <w:lang w:val="nl-BE" w:eastAsia="en-US"/>
          <w14:ligatures w14:val="standardContextual"/>
        </w:rPr>
        <w:t>6</w:t>
      </w:r>
    </w:p>
    <w:p w14:paraId="0E24B235" w14:textId="59824DB2" w:rsidR="00357AB7" w:rsidRPr="00357AB7" w:rsidRDefault="00357AB7" w:rsidP="00357AB7">
      <w:pPr>
        <w:ind w:left="0"/>
        <w:rPr>
          <w:rFonts w:eastAsia="Calibri" w:cs="Arial"/>
          <w:kern w:val="2"/>
          <w:lang w:val="nl-BE" w:eastAsia="en-US"/>
          <w14:ligatures w14:val="standardContextual"/>
        </w:rPr>
      </w:pPr>
      <w:r w:rsidRPr="00357AB7">
        <w:rPr>
          <w:rFonts w:eastAsia="Calibri" w:cs="Arial"/>
          <w:kern w:val="2"/>
          <w:lang w:val="nl-BE" w:eastAsia="en-US"/>
          <w14:ligatures w14:val="standardContextual"/>
        </w:rPr>
        <w:t>De bevordering is de aanstelling van een personeelslid in een functie:</w:t>
      </w:r>
    </w:p>
    <w:p w14:paraId="30D55C25" w14:textId="77777777" w:rsidR="00357AB7" w:rsidRPr="00357AB7" w:rsidRDefault="00357AB7" w:rsidP="00357AB7">
      <w:pPr>
        <w:ind w:left="0"/>
        <w:rPr>
          <w:rFonts w:eastAsia="Calibri" w:cs="Arial"/>
          <w:kern w:val="2"/>
          <w:lang w:val="nl-BE" w:eastAsia="en-US"/>
          <w14:ligatures w14:val="standardContextual"/>
        </w:rPr>
      </w:pPr>
      <w:r w:rsidRPr="00357AB7">
        <w:rPr>
          <w:rFonts w:eastAsia="Calibri" w:cs="Arial"/>
          <w:kern w:val="2"/>
          <w:lang w:val="nl-BE" w:eastAsia="en-US"/>
          <w14:ligatures w14:val="standardContextual"/>
        </w:rPr>
        <w:t>1.</w:t>
      </w:r>
      <w:r w:rsidRPr="00357AB7">
        <w:rPr>
          <w:rFonts w:eastAsia="Calibri" w:cs="Arial"/>
          <w:kern w:val="2"/>
          <w:lang w:val="nl-BE" w:eastAsia="en-US"/>
          <w14:ligatures w14:val="standardContextual"/>
        </w:rPr>
        <w:tab/>
        <w:t xml:space="preserve">van een hogere graad (binnen hetzelfde niveau) of </w:t>
      </w:r>
    </w:p>
    <w:p w14:paraId="043CB676" w14:textId="77777777" w:rsidR="00357AB7" w:rsidRPr="00357AB7" w:rsidRDefault="00357AB7" w:rsidP="00357AB7">
      <w:pPr>
        <w:ind w:left="0"/>
        <w:rPr>
          <w:rFonts w:eastAsia="Calibri" w:cs="Arial"/>
          <w:kern w:val="2"/>
          <w:lang w:val="nl-BE" w:eastAsia="en-US"/>
          <w14:ligatures w14:val="standardContextual"/>
        </w:rPr>
      </w:pPr>
      <w:r w:rsidRPr="00357AB7">
        <w:rPr>
          <w:rFonts w:eastAsia="Calibri" w:cs="Arial"/>
          <w:kern w:val="2"/>
          <w:lang w:val="nl-BE" w:eastAsia="en-US"/>
          <w14:ligatures w14:val="standardContextual"/>
        </w:rPr>
        <w:t>2.</w:t>
      </w:r>
      <w:r w:rsidRPr="00357AB7">
        <w:rPr>
          <w:rFonts w:eastAsia="Calibri" w:cs="Arial"/>
          <w:kern w:val="2"/>
          <w:lang w:val="nl-BE" w:eastAsia="en-US"/>
          <w14:ligatures w14:val="standardContextual"/>
        </w:rPr>
        <w:tab/>
        <w:t>van een hoger niveau;</w:t>
      </w:r>
    </w:p>
    <w:p w14:paraId="4AFAD78C" w14:textId="2CC1E5BB" w:rsidR="00357AB7" w:rsidRPr="00037A46" w:rsidRDefault="000B17AD" w:rsidP="00357AB7">
      <w:pPr>
        <w:ind w:left="0"/>
        <w:rPr>
          <w:rFonts w:eastAsia="Calibri" w:cs="Arial"/>
          <w:kern w:val="2"/>
          <w:lang w:val="nl-BE" w:eastAsia="en-US"/>
          <w14:ligatures w14:val="standardContextual"/>
        </w:rPr>
      </w:pPr>
      <w:r w:rsidRPr="00357AB7">
        <w:rPr>
          <w:rFonts w:eastAsia="Calibri" w:cs="Arial"/>
          <w:kern w:val="2"/>
          <w:lang w:val="nl-BE" w:eastAsia="en-US"/>
          <w14:ligatures w14:val="standardContextual"/>
        </w:rPr>
        <w:t>In</w:t>
      </w:r>
      <w:r w:rsidR="00357AB7" w:rsidRPr="00357AB7">
        <w:rPr>
          <w:rFonts w:eastAsia="Calibri" w:cs="Arial"/>
          <w:kern w:val="2"/>
          <w:lang w:val="nl-BE" w:eastAsia="en-US"/>
          <w14:ligatures w14:val="standardContextual"/>
        </w:rPr>
        <w:t xml:space="preserve"> overeenstemming met de indeling en rangschikking van de niveaus en graden zoals bepaald in </w:t>
      </w:r>
      <w:r w:rsidR="00357AB7" w:rsidRPr="00FA4AAB">
        <w:rPr>
          <w:rFonts w:eastAsia="Calibri" w:cs="Arial"/>
          <w:kern w:val="2"/>
          <w:lang w:val="nl-BE" w:eastAsia="en-US"/>
          <w14:ligatures w14:val="standardContextual"/>
        </w:rPr>
        <w:t xml:space="preserve">artikel </w:t>
      </w:r>
      <w:r w:rsidR="00FA4AAB" w:rsidRPr="00FA4AAB">
        <w:rPr>
          <w:rFonts w:eastAsia="Calibri" w:cs="Arial"/>
          <w:kern w:val="2"/>
          <w:lang w:val="nl-BE" w:eastAsia="en-US"/>
          <w14:ligatures w14:val="standardContextual"/>
        </w:rPr>
        <w:t>4</w:t>
      </w:r>
      <w:r w:rsidR="00357AB7" w:rsidRPr="00FA4AAB">
        <w:rPr>
          <w:rFonts w:eastAsia="Calibri" w:cs="Arial"/>
          <w:kern w:val="2"/>
          <w:lang w:val="nl-BE" w:eastAsia="en-US"/>
          <w14:ligatures w14:val="standardContextual"/>
        </w:rPr>
        <w:t>.</w:t>
      </w:r>
    </w:p>
    <w:p w14:paraId="11DC7801" w14:textId="18502588" w:rsidR="00F801D2" w:rsidRPr="00037A46" w:rsidRDefault="00F801D2" w:rsidP="00F801D2">
      <w:pPr>
        <w:pStyle w:val="Kop3"/>
      </w:pPr>
      <w:bookmarkStart w:id="91" w:name="_Toc215738962"/>
      <w:r w:rsidRPr="00037A46">
        <w:t>Afdeling 1. toepassingsgebied</w:t>
      </w:r>
      <w:bookmarkStart w:id="92" w:name="_Hlk152835897"/>
      <w:bookmarkEnd w:id="91"/>
    </w:p>
    <w:bookmarkEnd w:id="92"/>
    <w:p w14:paraId="1A4B2149" w14:textId="18502588" w:rsidR="006D1A58" w:rsidRDefault="006D1A58" w:rsidP="006D1A58">
      <w:pPr>
        <w:spacing w:before="0" w:after="160" w:line="259" w:lineRule="auto"/>
        <w:ind w:left="0"/>
        <w:jc w:val="left"/>
        <w:rPr>
          <w:rFonts w:eastAsia="Calibri" w:cs="Arial"/>
          <w:kern w:val="2"/>
          <w:lang w:val="nl-BE" w:eastAsia="en-US"/>
          <w14:ligatures w14:val="standardContextual"/>
        </w:rPr>
      </w:pPr>
    </w:p>
    <w:p w14:paraId="1BE9437A" w14:textId="2C2BE9EC" w:rsidR="00472ADB" w:rsidRPr="00472ADB" w:rsidRDefault="00472ADB" w:rsidP="006D1A58">
      <w:pPr>
        <w:spacing w:before="0" w:after="160" w:line="259" w:lineRule="auto"/>
        <w:ind w:left="0"/>
        <w:jc w:val="left"/>
        <w:rPr>
          <w:rFonts w:eastAsia="Calibri" w:cs="Arial"/>
          <w:b/>
          <w:bCs/>
          <w:kern w:val="2"/>
          <w:lang w:val="nl-BE" w:eastAsia="en-US"/>
          <w14:ligatures w14:val="standardContextual"/>
        </w:rPr>
      </w:pPr>
      <w:r w:rsidRPr="00661F4E">
        <w:rPr>
          <w:rFonts w:eastAsia="Calibri" w:cs="Arial"/>
          <w:b/>
          <w:bCs/>
          <w:kern w:val="2"/>
          <w:lang w:val="nl-BE" w:eastAsia="en-US"/>
          <w14:ligatures w14:val="standardContextual"/>
        </w:rPr>
        <w:t>Artikel</w:t>
      </w:r>
      <w:r w:rsidR="00661F4E" w:rsidRPr="00661F4E">
        <w:rPr>
          <w:rFonts w:eastAsia="Calibri" w:cs="Arial"/>
          <w:b/>
          <w:bCs/>
          <w:kern w:val="2"/>
          <w:lang w:val="nl-BE" w:eastAsia="en-US"/>
          <w14:ligatures w14:val="standardContextual"/>
        </w:rPr>
        <w:t xml:space="preserve"> </w:t>
      </w:r>
      <w:r w:rsidR="009D47D0" w:rsidRPr="00661F4E">
        <w:rPr>
          <w:rFonts w:eastAsia="Calibri" w:cs="Arial"/>
          <w:b/>
          <w:bCs/>
          <w:kern w:val="2"/>
          <w:lang w:val="nl-BE" w:eastAsia="en-US"/>
          <w14:ligatures w14:val="standardContextual"/>
        </w:rPr>
        <w:t>4</w:t>
      </w:r>
      <w:r w:rsidR="007A1CE8">
        <w:rPr>
          <w:rFonts w:eastAsia="Calibri" w:cs="Arial"/>
          <w:b/>
          <w:bCs/>
          <w:kern w:val="2"/>
          <w:lang w:val="nl-BE" w:eastAsia="en-US"/>
          <w14:ligatures w14:val="standardContextual"/>
        </w:rPr>
        <w:t>7</w:t>
      </w:r>
    </w:p>
    <w:p w14:paraId="3506B240" w14:textId="5AC56114" w:rsidR="006D1A58"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Bij de bevorderingsprocedure worden zowel personeelsleden van de gemeente</w:t>
      </w:r>
      <w:r w:rsidR="000A40D7">
        <w:rPr>
          <w:rFonts w:eastAsia="Calibri" w:cs="Arial"/>
          <w:kern w:val="2"/>
          <w:lang w:val="nl-BE" w:eastAsia="en-US"/>
          <w14:ligatures w14:val="standardContextual"/>
        </w:rPr>
        <w:t xml:space="preserve"> en</w:t>
      </w:r>
      <w:r w:rsidRPr="00037A46">
        <w:rPr>
          <w:rFonts w:eastAsia="Calibri" w:cs="Arial"/>
          <w:kern w:val="2"/>
          <w:lang w:val="nl-BE" w:eastAsia="en-US"/>
          <w14:ligatures w14:val="standardContextual"/>
        </w:rPr>
        <w:t xml:space="preserve"> het OCMW</w:t>
      </w:r>
      <w:r w:rsidRPr="00FC3C9E">
        <w:rPr>
          <w:rFonts w:eastAsia="Calibri" w:cs="Arial"/>
          <w:kern w:val="2"/>
          <w:lang w:val="nl-BE" w:eastAsia="en-US"/>
          <w14:ligatures w14:val="standardContextual"/>
        </w:rPr>
        <w:t xml:space="preserve">, </w:t>
      </w:r>
      <w:r w:rsidRPr="00037A46">
        <w:rPr>
          <w:rFonts w:eastAsia="Calibri" w:cs="Arial"/>
          <w:kern w:val="2"/>
          <w:lang w:val="nl-BE" w:eastAsia="en-US"/>
          <w14:ligatures w14:val="standardContextual"/>
        </w:rPr>
        <w:t xml:space="preserve">uitgenodigd om zich voor de vacante functie kandidaat te stellen. </w:t>
      </w:r>
    </w:p>
    <w:p w14:paraId="553E3DD4" w14:textId="77777777" w:rsidR="007A1CE8" w:rsidRPr="007A1CE8" w:rsidRDefault="007A1CE8" w:rsidP="006D1A58">
      <w:pPr>
        <w:spacing w:before="0" w:after="160" w:line="259" w:lineRule="auto"/>
        <w:ind w:left="0"/>
        <w:jc w:val="left"/>
        <w:rPr>
          <w:rFonts w:eastAsia="Calibri" w:cs="Arial"/>
          <w:b/>
          <w:bCs/>
          <w:kern w:val="2"/>
          <w:lang w:val="nl-BE" w:eastAsia="en-US"/>
          <w14:ligatures w14:val="standardContextual"/>
        </w:rPr>
      </w:pPr>
      <w:r w:rsidRPr="007A1CE8">
        <w:rPr>
          <w:rFonts w:eastAsia="Calibri" w:cs="Arial"/>
          <w:b/>
          <w:bCs/>
          <w:kern w:val="2"/>
          <w:lang w:val="nl-BE" w:eastAsia="en-US"/>
          <w14:ligatures w14:val="standardContextual"/>
        </w:rPr>
        <w:t>Artikel 48</w:t>
      </w:r>
    </w:p>
    <w:p w14:paraId="20D4CB9C" w14:textId="071F44B6" w:rsidR="00BE4562" w:rsidRPr="00037A46" w:rsidRDefault="0055378A" w:rsidP="006D1A58">
      <w:pPr>
        <w:spacing w:before="0" w:after="160" w:line="259" w:lineRule="auto"/>
        <w:ind w:left="0"/>
        <w:jc w:val="left"/>
        <w:rPr>
          <w:rFonts w:eastAsia="Calibri" w:cs="Arial"/>
          <w:kern w:val="2"/>
          <w:lang w:val="nl-BE" w:eastAsia="en-US"/>
          <w14:ligatures w14:val="standardContextual"/>
        </w:rPr>
      </w:pPr>
      <w:r w:rsidRPr="003E04C6">
        <w:rPr>
          <w:rFonts w:eastAsia="Calibri" w:cs="Arial"/>
          <w:kern w:val="2"/>
          <w:lang w:val="nl-BE" w:eastAsia="en-US"/>
          <w14:ligatures w14:val="standardContextual"/>
        </w:rPr>
        <w:t>Indien een statutair personeelslid deelneemt aan de procedure en uiteindelijk wordt aangesteld in een contractuele functie, behoudt deze zijn statuut ter persoonlijke titel.</w:t>
      </w:r>
    </w:p>
    <w:p w14:paraId="39379321" w14:textId="6D3B9DE1" w:rsidR="00F33F07" w:rsidRPr="00037A46" w:rsidRDefault="00F33F07" w:rsidP="00F33F07">
      <w:pPr>
        <w:pStyle w:val="Kop3"/>
      </w:pPr>
      <w:bookmarkStart w:id="93" w:name="_Toc215738963"/>
      <w:r w:rsidRPr="00037A46">
        <w:t xml:space="preserve">Afdeling </w:t>
      </w:r>
      <w:r w:rsidR="00FC3C9E">
        <w:t>2</w:t>
      </w:r>
      <w:r w:rsidRPr="00037A46">
        <w:t>. bevorderingsvoorwaarden</w:t>
      </w:r>
      <w:bookmarkEnd w:id="93"/>
    </w:p>
    <w:p w14:paraId="77F9FFBC" w14:textId="77777777" w:rsidR="00F33F07" w:rsidRDefault="00F33F07" w:rsidP="006D1A58">
      <w:pPr>
        <w:ind w:left="0"/>
        <w:rPr>
          <w:rFonts w:cs="Arial"/>
          <w:lang w:eastAsia="en-US"/>
        </w:rPr>
      </w:pPr>
    </w:p>
    <w:p w14:paraId="6FA305FA" w14:textId="465EC452" w:rsidR="00472ADB" w:rsidRPr="00472ADB" w:rsidRDefault="00472ADB" w:rsidP="00472ADB">
      <w:pPr>
        <w:spacing w:before="0" w:after="160" w:line="259" w:lineRule="auto"/>
        <w:ind w:left="0"/>
        <w:jc w:val="left"/>
        <w:rPr>
          <w:rFonts w:eastAsia="Calibri" w:cs="Arial"/>
          <w:b/>
          <w:bCs/>
          <w:kern w:val="2"/>
          <w:lang w:val="nl-BE" w:eastAsia="en-US"/>
          <w14:ligatures w14:val="standardContextual"/>
        </w:rPr>
      </w:pPr>
      <w:r w:rsidRPr="00661F4E">
        <w:rPr>
          <w:rFonts w:eastAsia="Calibri" w:cs="Arial"/>
          <w:b/>
          <w:bCs/>
          <w:kern w:val="2"/>
          <w:lang w:val="nl-BE" w:eastAsia="en-US"/>
          <w14:ligatures w14:val="standardContextual"/>
        </w:rPr>
        <w:t xml:space="preserve">Artikel </w:t>
      </w:r>
      <w:r w:rsidR="008C18B6" w:rsidRPr="00FC3C9E">
        <w:rPr>
          <w:rFonts w:eastAsia="Calibri" w:cs="Arial"/>
          <w:b/>
          <w:bCs/>
          <w:kern w:val="2"/>
          <w:lang w:val="nl-BE" w:eastAsia="en-US"/>
          <w14:ligatures w14:val="standardContextual"/>
        </w:rPr>
        <w:t>49</w:t>
      </w:r>
    </w:p>
    <w:p w14:paraId="6F1FF889" w14:textId="2324AEF6" w:rsidR="00FB4128" w:rsidRPr="00FC3C9E" w:rsidRDefault="00FB44D9" w:rsidP="00FB4128">
      <w:pPr>
        <w:ind w:left="0"/>
        <w:rPr>
          <w:rFonts w:cs="Arial"/>
          <w:lang w:eastAsia="en-US"/>
        </w:rPr>
      </w:pPr>
      <w:r>
        <w:rPr>
          <w:rFonts w:cs="Arial"/>
          <w:lang w:eastAsia="en-US"/>
        </w:rPr>
        <w:t xml:space="preserve">§1. </w:t>
      </w:r>
      <w:r w:rsidR="00FB4128" w:rsidRPr="00FB4128">
        <w:rPr>
          <w:rFonts w:cs="Arial"/>
          <w:lang w:eastAsia="en-US"/>
        </w:rPr>
        <w:t xml:space="preserve">Voor de deelname aan een bevorderingsprocedure komen zowel de personeelsleden van de gemeente </w:t>
      </w:r>
      <w:r w:rsidR="00EE743E">
        <w:rPr>
          <w:rFonts w:cs="Arial"/>
          <w:lang w:eastAsia="en-US"/>
        </w:rPr>
        <w:t>en</w:t>
      </w:r>
      <w:r w:rsidR="00FB4128" w:rsidRPr="00FB4128">
        <w:rPr>
          <w:rFonts w:cs="Arial"/>
          <w:lang w:eastAsia="en-US"/>
        </w:rPr>
        <w:t xml:space="preserve"> van het openbaar centrum voor maatschappelijk welzijn in aanmerking die voldoen aan </w:t>
      </w:r>
      <w:r w:rsidR="00FB4128" w:rsidRPr="00FC3C9E">
        <w:rPr>
          <w:rFonts w:cs="Arial"/>
          <w:lang w:eastAsia="en-US"/>
        </w:rPr>
        <w:t>de volgende voorwaarden:</w:t>
      </w:r>
    </w:p>
    <w:p w14:paraId="388EA119" w14:textId="6E9AB941" w:rsidR="00FB4128" w:rsidRPr="00FC3C9E" w:rsidRDefault="00FB4128" w:rsidP="009D4C40">
      <w:pPr>
        <w:pStyle w:val="Lijstalinea"/>
        <w:numPr>
          <w:ilvl w:val="0"/>
          <w:numId w:val="102"/>
        </w:numPr>
        <w:rPr>
          <w:rFonts w:cs="Arial"/>
          <w:lang w:eastAsia="en-US"/>
        </w:rPr>
      </w:pPr>
      <w:r w:rsidRPr="00FC3C9E">
        <w:rPr>
          <w:rFonts w:cs="Arial"/>
          <w:lang w:eastAsia="en-US"/>
        </w:rPr>
        <w:t>ze beantwoorden aan de competentievereisten die vastgesteld zijn in de functiebeschrijving voor de functie;</w:t>
      </w:r>
    </w:p>
    <w:p w14:paraId="52C70357" w14:textId="30AE8AA3" w:rsidR="00FB4128" w:rsidRPr="00FC3C9E" w:rsidRDefault="00FB4128" w:rsidP="009D4C40">
      <w:pPr>
        <w:pStyle w:val="Lijstalinea"/>
        <w:numPr>
          <w:ilvl w:val="0"/>
          <w:numId w:val="102"/>
        </w:numPr>
        <w:rPr>
          <w:rFonts w:cs="Arial"/>
          <w:lang w:eastAsia="en-US"/>
        </w:rPr>
      </w:pPr>
      <w:r w:rsidRPr="00FC3C9E">
        <w:rPr>
          <w:rFonts w:cs="Arial"/>
          <w:lang w:eastAsia="en-US"/>
        </w:rPr>
        <w:t>ze vervullen de eventuele (</w:t>
      </w:r>
      <w:r w:rsidR="00D97801" w:rsidRPr="00FC3C9E">
        <w:rPr>
          <w:rFonts w:cs="Arial"/>
          <w:lang w:eastAsia="en-US"/>
        </w:rPr>
        <w:t xml:space="preserve">door de hogere overheid </w:t>
      </w:r>
      <w:r w:rsidRPr="00FC3C9E">
        <w:rPr>
          <w:rFonts w:cs="Arial"/>
          <w:lang w:eastAsia="en-US"/>
        </w:rPr>
        <w:t>verplichte) diplomavereiste voor de functie;</w:t>
      </w:r>
    </w:p>
    <w:p w14:paraId="1DE8BF48" w14:textId="04FEDC5D" w:rsidR="00A95C72" w:rsidRPr="00FC3C9E" w:rsidRDefault="00A95C72" w:rsidP="009D4C40">
      <w:pPr>
        <w:pStyle w:val="Lijstalinea"/>
        <w:numPr>
          <w:ilvl w:val="0"/>
          <w:numId w:val="102"/>
        </w:numPr>
        <w:rPr>
          <w:rFonts w:cs="Arial"/>
          <w:lang w:eastAsia="en-US"/>
        </w:rPr>
      </w:pPr>
      <w:r w:rsidRPr="00FC3C9E">
        <w:rPr>
          <w:rFonts w:eastAsia="Calibri" w:cs="Arial"/>
          <w:kern w:val="2"/>
          <w:lang w:val="nl-BE" w:eastAsia="en-US"/>
          <w14:ligatures w14:val="standardContextual"/>
        </w:rPr>
        <w:t>ze zijn in het bestuur aangesteld na een externe bekendmaking als vermeld in artikel 9 en voldoen aan de voorwaarden zoals opgenomen in artikel 5 en artikel 6.</w:t>
      </w:r>
    </w:p>
    <w:p w14:paraId="37D7F07B" w14:textId="78E85901" w:rsidR="00FB4128" w:rsidRPr="00CE2C3A" w:rsidRDefault="00FB4128" w:rsidP="009D4C40">
      <w:pPr>
        <w:pStyle w:val="Lijstalinea"/>
        <w:numPr>
          <w:ilvl w:val="0"/>
          <w:numId w:val="102"/>
        </w:numPr>
        <w:rPr>
          <w:rFonts w:cs="Arial"/>
          <w:lang w:eastAsia="en-US"/>
        </w:rPr>
      </w:pPr>
      <w:r w:rsidRPr="00CE2C3A">
        <w:rPr>
          <w:rFonts w:cs="Arial"/>
          <w:lang w:eastAsia="en-US"/>
        </w:rPr>
        <w:t xml:space="preserve">een minimale anciënniteit bij het bestuur van </w:t>
      </w:r>
      <w:r w:rsidR="00FA4A43" w:rsidRPr="00CE2C3A">
        <w:rPr>
          <w:rFonts w:cs="Arial"/>
          <w:lang w:eastAsia="en-US"/>
        </w:rPr>
        <w:t>2</w:t>
      </w:r>
      <w:r w:rsidRPr="00CE2C3A">
        <w:rPr>
          <w:rFonts w:cs="Arial"/>
          <w:lang w:eastAsia="en-US"/>
        </w:rPr>
        <w:t xml:space="preserve"> jaar hebben</w:t>
      </w:r>
      <w:r w:rsidR="00FA4A43" w:rsidRPr="00CE2C3A">
        <w:rPr>
          <w:rFonts w:cs="Arial"/>
          <w:lang w:eastAsia="en-US"/>
        </w:rPr>
        <w:t>, behalve bij bevordering naar een decretale graad (daar is de vereiste</w:t>
      </w:r>
      <w:r w:rsidR="00774D52" w:rsidRPr="00CE2C3A">
        <w:rPr>
          <w:rFonts w:cs="Arial"/>
          <w:lang w:eastAsia="en-US"/>
        </w:rPr>
        <w:t xml:space="preserve"> </w:t>
      </w:r>
      <w:r w:rsidR="00FA4A43" w:rsidRPr="00CE2C3A">
        <w:rPr>
          <w:rFonts w:cs="Arial"/>
          <w:lang w:eastAsia="en-US"/>
        </w:rPr>
        <w:t xml:space="preserve">anciënniteit </w:t>
      </w:r>
      <w:r w:rsidR="00774D52" w:rsidRPr="00CE2C3A">
        <w:rPr>
          <w:rFonts w:cs="Arial"/>
          <w:lang w:eastAsia="en-US"/>
        </w:rPr>
        <w:t>bepaald op 4 jaar</w:t>
      </w:r>
      <w:r w:rsidR="00CB2DF0" w:rsidRPr="00CE2C3A">
        <w:rPr>
          <w:rFonts w:cs="Arial"/>
          <w:lang w:eastAsia="en-US"/>
        </w:rPr>
        <w:t xml:space="preserve"> niveauanciënniteit</w:t>
      </w:r>
      <w:r w:rsidR="00774D52" w:rsidRPr="00CE2C3A">
        <w:rPr>
          <w:rFonts w:cs="Arial"/>
          <w:lang w:eastAsia="en-US"/>
        </w:rPr>
        <w:t>)</w:t>
      </w:r>
      <w:r w:rsidRPr="00CE2C3A">
        <w:rPr>
          <w:rFonts w:cs="Arial"/>
          <w:lang w:eastAsia="en-US"/>
        </w:rPr>
        <w:t>;</w:t>
      </w:r>
    </w:p>
    <w:p w14:paraId="72316A49" w14:textId="209D7461" w:rsidR="00FB4128" w:rsidRPr="00CE2C3A" w:rsidRDefault="00FB4128" w:rsidP="009D4C40">
      <w:pPr>
        <w:pStyle w:val="Lijstalinea"/>
        <w:numPr>
          <w:ilvl w:val="0"/>
          <w:numId w:val="102"/>
        </w:numPr>
        <w:rPr>
          <w:rFonts w:cs="Arial"/>
          <w:lang w:eastAsia="en-US"/>
        </w:rPr>
      </w:pPr>
      <w:r w:rsidRPr="00CE2C3A">
        <w:rPr>
          <w:rFonts w:cs="Arial"/>
          <w:lang w:eastAsia="en-US"/>
        </w:rPr>
        <w:t xml:space="preserve">bij een niveau overschrijdende bevordering dient de kandidaat aangesteld te zijn slechts </w:t>
      </w:r>
      <w:r w:rsidR="006B5715" w:rsidRPr="00CE2C3A">
        <w:rPr>
          <w:rFonts w:cs="Arial"/>
          <w:lang w:eastAsia="en-US"/>
        </w:rPr>
        <w:t>2</w:t>
      </w:r>
      <w:r w:rsidRPr="00CE2C3A">
        <w:rPr>
          <w:rFonts w:cs="Arial"/>
          <w:lang w:eastAsia="en-US"/>
        </w:rPr>
        <w:t xml:space="preserve"> niveau</w:t>
      </w:r>
      <w:r w:rsidR="006B5715" w:rsidRPr="00CE2C3A">
        <w:rPr>
          <w:rFonts w:cs="Arial"/>
          <w:lang w:eastAsia="en-US"/>
        </w:rPr>
        <w:t>s</w:t>
      </w:r>
      <w:r w:rsidRPr="00CE2C3A">
        <w:rPr>
          <w:rFonts w:cs="Arial"/>
          <w:lang w:eastAsia="en-US"/>
        </w:rPr>
        <w:t xml:space="preserve"> lager dan het bevorderingsniveau</w:t>
      </w:r>
      <w:r w:rsidR="00561EBF" w:rsidRPr="00CE2C3A">
        <w:rPr>
          <w:rFonts w:cs="Arial"/>
          <w:lang w:eastAsia="en-US"/>
        </w:rPr>
        <w:t>, behalve bij bevordering naar een decretale graad (daar dient de kandidaat</w:t>
      </w:r>
      <w:r w:rsidR="00E80693" w:rsidRPr="00CE2C3A">
        <w:rPr>
          <w:rFonts w:cs="Arial"/>
          <w:lang w:eastAsia="en-US"/>
        </w:rPr>
        <w:t xml:space="preserve"> aangesteld </w:t>
      </w:r>
      <w:r w:rsidR="00D16E48" w:rsidRPr="00CE2C3A">
        <w:rPr>
          <w:rFonts w:cs="Arial"/>
          <w:lang w:eastAsia="en-US"/>
        </w:rPr>
        <w:t xml:space="preserve">te </w:t>
      </w:r>
      <w:r w:rsidR="00E80693" w:rsidRPr="00CE2C3A">
        <w:rPr>
          <w:rFonts w:cs="Arial"/>
          <w:lang w:eastAsia="en-US"/>
        </w:rPr>
        <w:t>zijn slechts 1 niveau lager dan de bevorderingsgraad</w:t>
      </w:r>
      <w:r w:rsidR="00D16E48" w:rsidRPr="00CE2C3A">
        <w:rPr>
          <w:rFonts w:cs="Arial"/>
          <w:lang w:eastAsia="en-US"/>
        </w:rPr>
        <w:t>)</w:t>
      </w:r>
      <w:r w:rsidRPr="00CE2C3A">
        <w:rPr>
          <w:rFonts w:cs="Arial"/>
          <w:lang w:eastAsia="en-US"/>
        </w:rPr>
        <w:t xml:space="preserve">; </w:t>
      </w:r>
    </w:p>
    <w:p w14:paraId="4EADF625" w14:textId="7D395EC2" w:rsidR="00CE2C3A" w:rsidRPr="00CE2C3A" w:rsidRDefault="007371AD" w:rsidP="009D4C40">
      <w:pPr>
        <w:pStyle w:val="Lijstalinea"/>
        <w:numPr>
          <w:ilvl w:val="0"/>
          <w:numId w:val="102"/>
        </w:numPr>
        <w:rPr>
          <w:rFonts w:cs="Arial"/>
          <w:lang w:eastAsia="en-US"/>
        </w:rPr>
      </w:pPr>
      <w:r w:rsidRPr="00CE2C3A">
        <w:rPr>
          <w:rFonts w:cs="Arial"/>
          <w:lang w:eastAsia="en-US"/>
        </w:rPr>
        <w:t xml:space="preserve">indien het personeelslid </w:t>
      </w:r>
      <w:r w:rsidR="00CE2C3A">
        <w:rPr>
          <w:rFonts w:cs="Arial"/>
          <w:lang w:eastAsia="en-US"/>
        </w:rPr>
        <w:t xml:space="preserve">beschikt over </w:t>
      </w:r>
      <w:r w:rsidR="0030157A">
        <w:rPr>
          <w:rFonts w:cs="Arial"/>
          <w:lang w:eastAsia="en-US"/>
        </w:rPr>
        <w:t xml:space="preserve">het </w:t>
      </w:r>
      <w:r w:rsidR="00CE2C3A">
        <w:rPr>
          <w:rFonts w:cs="Arial"/>
          <w:lang w:eastAsia="en-US"/>
        </w:rPr>
        <w:t>d</w:t>
      </w:r>
      <w:r w:rsidR="00135E66">
        <w:rPr>
          <w:rFonts w:cs="Arial"/>
          <w:lang w:eastAsia="en-US"/>
        </w:rPr>
        <w:t xml:space="preserve">iploma </w:t>
      </w:r>
      <w:r w:rsidR="0030157A">
        <w:rPr>
          <w:rFonts w:cs="Arial"/>
          <w:lang w:eastAsia="en-US"/>
        </w:rPr>
        <w:t xml:space="preserve">gekoppeld aan het </w:t>
      </w:r>
      <w:r w:rsidR="007D03E9">
        <w:rPr>
          <w:rFonts w:cs="Arial"/>
          <w:lang w:eastAsia="en-US"/>
        </w:rPr>
        <w:t xml:space="preserve">niveau van de </w:t>
      </w:r>
      <w:r w:rsidRPr="00CE2C3A">
        <w:rPr>
          <w:rFonts w:cs="Arial"/>
          <w:lang w:eastAsia="en-US"/>
        </w:rPr>
        <w:t xml:space="preserve">functie die via bevordering wordt ingevuld, dient de minimale anciënniteit bij het bestuur slechts 1 jaar te bedragen (in dit geval geldt </w:t>
      </w:r>
      <w:r w:rsidR="00FB44D9">
        <w:rPr>
          <w:rFonts w:cs="Arial"/>
          <w:lang w:eastAsia="en-US"/>
        </w:rPr>
        <w:t xml:space="preserve">ook </w:t>
      </w:r>
      <w:r w:rsidRPr="00CE2C3A">
        <w:rPr>
          <w:rFonts w:cs="Arial"/>
          <w:lang w:eastAsia="en-US"/>
        </w:rPr>
        <w:t>de gestelde voorwaarde van punt 4 niet);</w:t>
      </w:r>
    </w:p>
    <w:p w14:paraId="6CC756EC" w14:textId="24AD444F" w:rsidR="00FB4128" w:rsidRPr="00CE2C3A" w:rsidRDefault="00FB4128" w:rsidP="009D4C40">
      <w:pPr>
        <w:pStyle w:val="Lijstalinea"/>
        <w:numPr>
          <w:ilvl w:val="0"/>
          <w:numId w:val="102"/>
        </w:numPr>
        <w:rPr>
          <w:rFonts w:cs="Arial"/>
          <w:lang w:eastAsia="en-US"/>
        </w:rPr>
      </w:pPr>
      <w:r w:rsidRPr="00CE2C3A">
        <w:rPr>
          <w:rFonts w:cs="Arial"/>
          <w:lang w:eastAsia="en-US"/>
        </w:rPr>
        <w:t xml:space="preserve">indien het personeelslid </w:t>
      </w:r>
      <w:r w:rsidR="000239B7" w:rsidRPr="00CE2C3A">
        <w:rPr>
          <w:rFonts w:cs="Arial"/>
          <w:lang w:eastAsia="en-US"/>
        </w:rPr>
        <w:t xml:space="preserve">relevante ervaring kan voorleggen </w:t>
      </w:r>
      <w:r w:rsidRPr="00CE2C3A">
        <w:rPr>
          <w:rFonts w:cs="Arial"/>
          <w:lang w:eastAsia="en-US"/>
        </w:rPr>
        <w:t xml:space="preserve">voor de functie die via bevordering wordt ingevuld, dient de minimale anciënniteit bij het bestuur slechts </w:t>
      </w:r>
      <w:r w:rsidR="00EB5978">
        <w:rPr>
          <w:rFonts w:cs="Arial"/>
          <w:lang w:eastAsia="en-US"/>
        </w:rPr>
        <w:t>1</w:t>
      </w:r>
      <w:r w:rsidRPr="00CE2C3A">
        <w:rPr>
          <w:rFonts w:cs="Arial"/>
          <w:lang w:eastAsia="en-US"/>
        </w:rPr>
        <w:t xml:space="preserve"> jaar te bedrage</w:t>
      </w:r>
      <w:r w:rsidR="009637CB">
        <w:rPr>
          <w:rFonts w:cs="Arial"/>
          <w:lang w:eastAsia="en-US"/>
        </w:rPr>
        <w:t>n</w:t>
      </w:r>
      <w:r w:rsidRPr="00CE2C3A">
        <w:rPr>
          <w:rFonts w:cs="Arial"/>
          <w:lang w:eastAsia="en-US"/>
        </w:rPr>
        <w:t>;</w:t>
      </w:r>
    </w:p>
    <w:p w14:paraId="365E84DC" w14:textId="2495EBB3" w:rsidR="00FB4128" w:rsidRPr="00CE2C3A" w:rsidRDefault="00FB4128" w:rsidP="009D4C40">
      <w:pPr>
        <w:pStyle w:val="Lijstalinea"/>
        <w:numPr>
          <w:ilvl w:val="0"/>
          <w:numId w:val="102"/>
        </w:numPr>
        <w:rPr>
          <w:rFonts w:cs="Arial"/>
          <w:lang w:eastAsia="en-US"/>
        </w:rPr>
      </w:pPr>
      <w:r w:rsidRPr="00CE2C3A">
        <w:rPr>
          <w:rFonts w:cs="Arial"/>
          <w:lang w:eastAsia="en-US"/>
        </w:rPr>
        <w:t>geen ongunstig evaluatieresultaat gekregen hebben voor de laatste evaluatie;</w:t>
      </w:r>
    </w:p>
    <w:p w14:paraId="631BBFC4" w14:textId="6AFA1506" w:rsidR="00FB4128" w:rsidRPr="00CE2C3A" w:rsidRDefault="00FB4128" w:rsidP="009D4C40">
      <w:pPr>
        <w:pStyle w:val="Lijstalinea"/>
        <w:numPr>
          <w:ilvl w:val="0"/>
          <w:numId w:val="102"/>
        </w:numPr>
        <w:rPr>
          <w:rFonts w:cs="Arial"/>
          <w:lang w:eastAsia="en-US"/>
        </w:rPr>
      </w:pPr>
      <w:r w:rsidRPr="00CE2C3A">
        <w:rPr>
          <w:rFonts w:cs="Arial"/>
          <w:lang w:eastAsia="en-US"/>
        </w:rPr>
        <w:t>ze zijn in hun bestuur aangesteld na een externe bekendmaking zoals vermeld in artikel 9 van het besluit van de Vlaamse Regering tot vaststelling van de minimale voorwaarden van de rechtspositieregeling van het personeel van lokale en provinciale besturen en na de selectieprocedure.</w:t>
      </w:r>
    </w:p>
    <w:p w14:paraId="5E59E2B5" w14:textId="51A08D1C" w:rsidR="00643FF0" w:rsidRDefault="00FB4128" w:rsidP="00FB4128">
      <w:pPr>
        <w:ind w:left="0"/>
        <w:rPr>
          <w:rFonts w:cs="Arial"/>
          <w:lang w:eastAsia="en-US"/>
        </w:rPr>
      </w:pPr>
      <w:r w:rsidRPr="00FB4128">
        <w:rPr>
          <w:rFonts w:cs="Arial"/>
          <w:lang w:eastAsia="en-US"/>
        </w:rPr>
        <w:lastRenderedPageBreak/>
        <w:t>§</w:t>
      </w:r>
      <w:r w:rsidR="00FB44D9">
        <w:rPr>
          <w:rFonts w:cs="Arial"/>
          <w:lang w:eastAsia="en-US"/>
        </w:rPr>
        <w:t>2</w:t>
      </w:r>
      <w:r w:rsidRPr="00FB4128">
        <w:rPr>
          <w:rFonts w:cs="Arial"/>
          <w:lang w:eastAsia="en-US"/>
        </w:rPr>
        <w:t>. Zoals bepaald in artikel 75 van het Besluit van de Vlaamse Regering van 20 januari 2023 komen de personeelsleden die op 18 maart 2023 gedurende ten minste 5 jaar werkzaam zijn in het bestuur, ook in aanmerking om deel te nemen aan de bevorderingsprocedure.</w:t>
      </w:r>
    </w:p>
    <w:p w14:paraId="4E9EDA0C"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Personeelsleden die vallen onder de IFIC-functieclassificatie en bezoldigd worden volgens een IFIC-salarisschaal kunnen bevorderen voor een functiecategorie die maximaal 4 punten hoger is dan de functiecategorie waarin zij zijn aangesteld en op voorwaarde dat ze minimaal 2 jaar ervaring hebben in huidige functiecategorie.</w:t>
      </w:r>
    </w:p>
    <w:p w14:paraId="2E919EA3" w14:textId="104A9CC1" w:rsidR="00F33F07" w:rsidRPr="00037A46" w:rsidRDefault="00F33F07" w:rsidP="00F33F07">
      <w:pPr>
        <w:pStyle w:val="Kop3"/>
      </w:pPr>
      <w:bookmarkStart w:id="94" w:name="_Toc215738964"/>
      <w:r w:rsidRPr="00037A46">
        <w:t xml:space="preserve">Afdeling </w:t>
      </w:r>
      <w:r w:rsidR="00FC3C9E">
        <w:t>3</w:t>
      </w:r>
      <w:r w:rsidRPr="00037A46">
        <w:t>. wijze van bekendmaking</w:t>
      </w:r>
      <w:bookmarkEnd w:id="94"/>
    </w:p>
    <w:p w14:paraId="66A0B3E7" w14:textId="6C2471E2" w:rsidR="006D1A58" w:rsidRDefault="006D1A58" w:rsidP="006D1A58">
      <w:pPr>
        <w:spacing w:before="0" w:after="160" w:line="259" w:lineRule="auto"/>
        <w:ind w:left="0"/>
        <w:jc w:val="left"/>
        <w:rPr>
          <w:rFonts w:eastAsia="Calibri" w:cs="Arial"/>
          <w:b/>
          <w:bCs/>
          <w:kern w:val="2"/>
          <w:lang w:val="nl-BE" w:eastAsia="en-US"/>
          <w14:ligatures w14:val="standardContextual"/>
        </w:rPr>
      </w:pPr>
    </w:p>
    <w:p w14:paraId="101331FE" w14:textId="21219256" w:rsidR="00472ADB" w:rsidRPr="00037A46" w:rsidRDefault="00472ADB" w:rsidP="006D1A58">
      <w:pPr>
        <w:spacing w:before="0" w:after="160" w:line="259" w:lineRule="auto"/>
        <w:ind w:left="0"/>
        <w:jc w:val="left"/>
        <w:rPr>
          <w:rFonts w:eastAsia="Calibri" w:cs="Arial"/>
          <w:b/>
          <w:bCs/>
          <w:kern w:val="2"/>
          <w:lang w:val="nl-BE" w:eastAsia="en-US"/>
          <w14:ligatures w14:val="standardContextual"/>
        </w:rPr>
      </w:pPr>
      <w:r w:rsidRPr="00661F4E">
        <w:rPr>
          <w:rFonts w:eastAsia="Calibri" w:cs="Arial"/>
          <w:b/>
          <w:bCs/>
          <w:kern w:val="2"/>
          <w:lang w:val="nl-BE" w:eastAsia="en-US"/>
          <w14:ligatures w14:val="standardContextual"/>
        </w:rPr>
        <w:t xml:space="preserve">Artikel </w:t>
      </w:r>
      <w:r w:rsidR="009D47D0" w:rsidRPr="00FC3C9E">
        <w:rPr>
          <w:rFonts w:eastAsia="Calibri" w:cs="Arial"/>
          <w:b/>
          <w:bCs/>
          <w:kern w:val="2"/>
          <w:lang w:val="nl-BE" w:eastAsia="en-US"/>
          <w14:ligatures w14:val="standardContextual"/>
        </w:rPr>
        <w:t>5</w:t>
      </w:r>
      <w:r w:rsidR="008C18B6" w:rsidRPr="00FC3C9E">
        <w:rPr>
          <w:rFonts w:eastAsia="Calibri" w:cs="Arial"/>
          <w:b/>
          <w:bCs/>
          <w:kern w:val="2"/>
          <w:lang w:val="nl-BE" w:eastAsia="en-US"/>
          <w14:ligatures w14:val="standardContextual"/>
        </w:rPr>
        <w:t>0</w:t>
      </w:r>
    </w:p>
    <w:p w14:paraId="3E2287C0"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aanstellende overheid maakt de functie die bij bevordering wordt ingevuld, aan alle personeelsleden bekend. De aanstellende overheid brengt de potentiële kandidaten van de functie te begeven via bevordering op de hoogte van de vacature en doet een oproep tot kandidaatstelling met behulp:</w:t>
      </w:r>
    </w:p>
    <w:p w14:paraId="4DBE9AA1" w14:textId="77777777" w:rsidR="006D1A58" w:rsidRPr="00037A46" w:rsidRDefault="006D1A58" w:rsidP="009D4C40">
      <w:pPr>
        <w:numPr>
          <w:ilvl w:val="0"/>
          <w:numId w:val="6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e-mail; </w:t>
      </w:r>
    </w:p>
    <w:p w14:paraId="243EF013" w14:textId="2A8EE5AC" w:rsidR="006D1A58" w:rsidRPr="00037A46" w:rsidRDefault="00FC5163" w:rsidP="009D4C40">
      <w:pPr>
        <w:numPr>
          <w:ilvl w:val="0"/>
          <w:numId w:val="68"/>
        </w:numPr>
        <w:spacing w:before="0" w:after="160" w:line="259" w:lineRule="auto"/>
        <w:contextualSpacing/>
        <w:jc w:val="left"/>
        <w:rPr>
          <w:rFonts w:eastAsia="Calibri" w:cs="Arial"/>
          <w:kern w:val="2"/>
          <w:lang w:val="nl-BE" w:eastAsia="en-US"/>
          <w14:ligatures w14:val="standardContextual"/>
        </w:rPr>
      </w:pPr>
      <w:r>
        <w:rPr>
          <w:rFonts w:eastAsia="Calibri" w:cs="Arial"/>
          <w:kern w:val="2"/>
          <w:lang w:val="nl-BE" w:eastAsia="en-US"/>
          <w14:ligatures w14:val="standardContextual"/>
        </w:rPr>
        <w:t xml:space="preserve">digitale </w:t>
      </w:r>
      <w:r w:rsidR="006D1A58" w:rsidRPr="00037A46">
        <w:rPr>
          <w:rFonts w:eastAsia="Calibri" w:cs="Arial"/>
          <w:kern w:val="2"/>
          <w:lang w:val="nl-BE" w:eastAsia="en-US"/>
          <w14:ligatures w14:val="standardContextual"/>
        </w:rPr>
        <w:t>affiche op de werkplaatsen;</w:t>
      </w:r>
    </w:p>
    <w:p w14:paraId="4022CD5C" w14:textId="77777777" w:rsidR="006D1A58" w:rsidRPr="00037A46" w:rsidRDefault="006D1A58" w:rsidP="006D1A58">
      <w:pPr>
        <w:spacing w:before="100" w:beforeAutospacing="1" w:after="100" w:afterAutospacing="1"/>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aanstellende overheid doet een oproep tot kandidaten, ongeacht hun administratieve toestand.  Zo kunnen personeelsleden in de toestand van non-activiteit of in de toestand van disponibiliteit niet uitgesloten worden van deelname aan bevorderingsprocedure</w:t>
      </w:r>
    </w:p>
    <w:p w14:paraId="68B31BB9"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Het personeelslid dat vanwege zijn afwezigheid geen kennis heeft kunnen nemen van de vacature binnen de termijn nodig voor de indiening van de kandidaturen, worden per post en/of via het persoonlijk e-mailadres op de hoogte gebracht van de vacature. </w:t>
      </w:r>
    </w:p>
    <w:p w14:paraId="3A3B8018"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Het vacaturebericht vermeldt: </w:t>
      </w:r>
    </w:p>
    <w:p w14:paraId="17ADE42D"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1. de naam van de functie en salarisschaal; </w:t>
      </w:r>
    </w:p>
    <w:p w14:paraId="05174275"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2. de wijze van en termijn voor de kandidaatstelling;</w:t>
      </w:r>
    </w:p>
    <w:p w14:paraId="685D2724"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3. de vermelding of de functie in statutair dan wel in contractueel dienstverband vervuld wordt; </w:t>
      </w:r>
    </w:p>
    <w:p w14:paraId="58B38976"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4. de vermelding of de functie voltijds dan wel deeltijds vervuld wordt; </w:t>
      </w:r>
    </w:p>
    <w:p w14:paraId="7AAD5798" w14:textId="2B189F65"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5. de </w:t>
      </w:r>
      <w:r w:rsidR="000B17AD" w:rsidRPr="00037A46">
        <w:rPr>
          <w:rFonts w:eastAsia="Calibri" w:cs="Arial"/>
          <w:kern w:val="2"/>
          <w:lang w:val="nl-BE" w:eastAsia="en-US"/>
          <w14:ligatures w14:val="standardContextual"/>
        </w:rPr>
        <w:t>bevorderingsvoorwaarden;</w:t>
      </w:r>
      <w:r w:rsidRPr="00037A46">
        <w:rPr>
          <w:rFonts w:eastAsia="Calibri" w:cs="Arial"/>
          <w:kern w:val="2"/>
          <w:lang w:val="nl-BE" w:eastAsia="en-US"/>
          <w14:ligatures w14:val="standardContextual"/>
        </w:rPr>
        <w:t xml:space="preserve"> </w:t>
      </w:r>
    </w:p>
    <w:p w14:paraId="6706595A"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6. diplomavereiste of evenwaardige ervaring indien opgenomen in de openverklaring</w:t>
      </w:r>
    </w:p>
    <w:p w14:paraId="799ECAB4"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7. een beknopte weergave van de functievereisten op een wijze dat de kandidaten kunnen oordelen of ze in aanmerking komen; </w:t>
      </w:r>
    </w:p>
    <w:p w14:paraId="5BD342A4" w14:textId="6C390EE0"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7. de vermelding of al dan </w:t>
      </w:r>
      <w:r w:rsidRPr="00FC3C9E">
        <w:rPr>
          <w:rFonts w:eastAsia="Calibri" w:cs="Arial"/>
          <w:kern w:val="2"/>
          <w:lang w:val="nl-BE" w:eastAsia="en-US"/>
          <w14:ligatures w14:val="standardContextual"/>
        </w:rPr>
        <w:t xml:space="preserve">niet een </w:t>
      </w:r>
      <w:r w:rsidR="00551B39" w:rsidRPr="00FC3C9E">
        <w:rPr>
          <w:rFonts w:eastAsia="Calibri" w:cs="Arial"/>
          <w:kern w:val="2"/>
          <w:lang w:val="nl-BE" w:eastAsia="en-US"/>
          <w14:ligatures w14:val="standardContextual"/>
        </w:rPr>
        <w:t>wervings</w:t>
      </w:r>
      <w:r w:rsidRPr="00FC3C9E">
        <w:rPr>
          <w:rFonts w:eastAsia="Calibri" w:cs="Arial"/>
          <w:kern w:val="2"/>
          <w:lang w:val="nl-BE" w:eastAsia="en-US"/>
          <w14:ligatures w14:val="standardContextual"/>
        </w:rPr>
        <w:t>reserve wordt</w:t>
      </w:r>
      <w:r w:rsidRPr="00037A46">
        <w:rPr>
          <w:rFonts w:eastAsia="Calibri" w:cs="Arial"/>
          <w:kern w:val="2"/>
          <w:lang w:val="nl-BE" w:eastAsia="en-US"/>
          <w14:ligatures w14:val="standardContextual"/>
        </w:rPr>
        <w:t xml:space="preserve"> vastgesteld en de duur daarvan</w:t>
      </w:r>
    </w:p>
    <w:p w14:paraId="52B0731B"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8.  de vermelding van het contactpunt voor bijkomende informatie over de functie</w:t>
      </w:r>
    </w:p>
    <w:p w14:paraId="5C9C41FF" w14:textId="6C519DDE" w:rsidR="00010F7D" w:rsidRPr="00037A46" w:rsidRDefault="00010F7D" w:rsidP="00010F7D">
      <w:pPr>
        <w:pStyle w:val="Kop3"/>
      </w:pPr>
      <w:bookmarkStart w:id="95" w:name="_Toc215738965"/>
      <w:r w:rsidRPr="00037A46">
        <w:t xml:space="preserve">Afdeling </w:t>
      </w:r>
      <w:r w:rsidR="00FC3C9E">
        <w:t>4</w:t>
      </w:r>
      <w:r w:rsidRPr="00037A46">
        <w:t>. wijze van kandidaatstelling</w:t>
      </w:r>
      <w:bookmarkEnd w:id="95"/>
    </w:p>
    <w:p w14:paraId="2573BC28" w14:textId="77777777" w:rsidR="00010F7D" w:rsidRDefault="00010F7D" w:rsidP="006D1A58">
      <w:pPr>
        <w:spacing w:before="0" w:after="160" w:line="259" w:lineRule="auto"/>
        <w:ind w:left="0"/>
        <w:jc w:val="left"/>
        <w:rPr>
          <w:rFonts w:eastAsia="Calibri" w:cs="Arial"/>
          <w:kern w:val="2"/>
          <w:lang w:val="nl-BE" w:eastAsia="en-US"/>
          <w14:ligatures w14:val="standardContextual"/>
        </w:rPr>
      </w:pPr>
    </w:p>
    <w:p w14:paraId="73CEB2A3" w14:textId="7B8131A1" w:rsidR="00472ADB" w:rsidRPr="00472ADB" w:rsidRDefault="00472ADB" w:rsidP="006D1A58">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 xml:space="preserve">Artikel </w:t>
      </w:r>
      <w:r w:rsidR="009D47D0" w:rsidRPr="00FC3C9E">
        <w:rPr>
          <w:rFonts w:eastAsia="Calibri" w:cs="Arial"/>
          <w:b/>
          <w:bCs/>
          <w:kern w:val="2"/>
          <w:lang w:val="nl-BE" w:eastAsia="en-US"/>
          <w14:ligatures w14:val="standardContextual"/>
        </w:rPr>
        <w:t>5</w:t>
      </w:r>
      <w:r w:rsidR="008C18B6" w:rsidRPr="00FC3C9E">
        <w:rPr>
          <w:rFonts w:eastAsia="Calibri" w:cs="Arial"/>
          <w:b/>
          <w:bCs/>
          <w:kern w:val="2"/>
          <w:lang w:val="nl-BE" w:eastAsia="en-US"/>
          <w14:ligatures w14:val="standardContextual"/>
        </w:rPr>
        <w:t>1</w:t>
      </w:r>
    </w:p>
    <w:p w14:paraId="716D45D4" w14:textId="548FA32C"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lastRenderedPageBreak/>
        <w:t xml:space="preserve">De kandidaturen kunnen ingediend worden op de volgende manieren: </w:t>
      </w:r>
    </w:p>
    <w:p w14:paraId="081CB853" w14:textId="77777777" w:rsidR="006D1A58" w:rsidRPr="00037A46" w:rsidRDefault="006D1A58" w:rsidP="009D4C40">
      <w:pPr>
        <w:numPr>
          <w:ilvl w:val="0"/>
          <w:numId w:val="7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via e-mail</w:t>
      </w:r>
    </w:p>
    <w:p w14:paraId="50D8079E" w14:textId="77777777" w:rsidR="006D1A58" w:rsidRPr="00037A46" w:rsidRDefault="006D1A58" w:rsidP="009D4C40">
      <w:pPr>
        <w:numPr>
          <w:ilvl w:val="0"/>
          <w:numId w:val="7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via een elektronisch formulier op website</w:t>
      </w:r>
    </w:p>
    <w:p w14:paraId="0AA90C79" w14:textId="77777777" w:rsidR="006D1A58" w:rsidRPr="00037A46" w:rsidRDefault="006D1A58" w:rsidP="009D4C40">
      <w:pPr>
        <w:numPr>
          <w:ilvl w:val="0"/>
          <w:numId w:val="7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per post</w:t>
      </w:r>
    </w:p>
    <w:p w14:paraId="125029CB" w14:textId="77777777" w:rsidR="006D1A58" w:rsidRPr="00037A46" w:rsidRDefault="006D1A58" w:rsidP="009D4C40">
      <w:pPr>
        <w:numPr>
          <w:ilvl w:val="0"/>
          <w:numId w:val="7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via persoonlijke overhandiging</w:t>
      </w:r>
    </w:p>
    <w:p w14:paraId="28600E30" w14:textId="77777777" w:rsidR="006D1A58" w:rsidRPr="00037A46" w:rsidRDefault="006D1A58" w:rsidP="006D1A58">
      <w:pPr>
        <w:spacing w:before="0" w:after="160" w:line="259" w:lineRule="auto"/>
        <w:ind w:left="720"/>
        <w:contextualSpacing/>
        <w:jc w:val="left"/>
        <w:rPr>
          <w:rFonts w:eastAsia="Calibri" w:cs="Arial"/>
          <w:kern w:val="2"/>
          <w:lang w:val="nl-BE" w:eastAsia="en-US"/>
          <w14:ligatures w14:val="standardContextual"/>
        </w:rPr>
      </w:pPr>
    </w:p>
    <w:p w14:paraId="080D1F2F"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Tussen de bekendmaking van een vacature en de uiterste datum voor de indiening van de kandidaturen, verlopen minstens 7 kalenderdagen. De dag van de bekendmaking van de vacature is niet in de termijn begrepen, de uiterste datum voor de indiening van de kandidaturen wel. </w:t>
      </w:r>
    </w:p>
    <w:p w14:paraId="7A71F615"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datum van de verzending van de kandidatuur wordt beschouwd als de datum waarop de kandidatuur is ingediend. </w:t>
      </w:r>
    </w:p>
    <w:p w14:paraId="00FA83AF" w14:textId="77777777" w:rsidR="006D1A58" w:rsidRPr="00037A46" w:rsidRDefault="006D1A58" w:rsidP="006D1A58">
      <w:pPr>
        <w:spacing w:before="0" w:after="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kandidaat is zelf verantwoordelijk voor het goed bereiken van zijn kandidatuur voor de datum van het afsluiten van de inschrijvingsperiode bij het bestuur. </w:t>
      </w:r>
    </w:p>
    <w:p w14:paraId="640616F5" w14:textId="471D4C72" w:rsidR="00010F7D" w:rsidRPr="00037A46" w:rsidRDefault="00010F7D" w:rsidP="00010F7D">
      <w:pPr>
        <w:pStyle w:val="Kop3"/>
      </w:pPr>
      <w:bookmarkStart w:id="96" w:name="_Toc215738966"/>
      <w:r w:rsidRPr="00037A46">
        <w:t xml:space="preserve">Afdeling </w:t>
      </w:r>
      <w:r w:rsidR="00FC3C9E">
        <w:t>5</w:t>
      </w:r>
      <w:r w:rsidRPr="00037A46">
        <w:t>. de selectieprocedure</w:t>
      </w:r>
      <w:bookmarkEnd w:id="96"/>
    </w:p>
    <w:p w14:paraId="363B5C34" w14:textId="06A30656" w:rsidR="006D1A58" w:rsidRDefault="006D1A58" w:rsidP="006D1A58">
      <w:pPr>
        <w:spacing w:before="0" w:after="160" w:line="259" w:lineRule="auto"/>
        <w:ind w:left="0"/>
        <w:jc w:val="left"/>
        <w:rPr>
          <w:rFonts w:eastAsia="Calibri" w:cs="Arial"/>
          <w:b/>
          <w:bCs/>
          <w:kern w:val="2"/>
          <w:lang w:val="nl-BE" w:eastAsia="en-US"/>
          <w14:ligatures w14:val="standardContextual"/>
        </w:rPr>
      </w:pPr>
    </w:p>
    <w:p w14:paraId="66CF9295" w14:textId="64C0DCDF" w:rsidR="00472ADB" w:rsidRPr="00037A46" w:rsidRDefault="00472ADB" w:rsidP="006D1A58">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w:t>
      </w:r>
      <w:r w:rsidR="009D47D0" w:rsidRPr="00FC3C9E">
        <w:rPr>
          <w:rFonts w:eastAsia="Calibri" w:cs="Arial"/>
          <w:b/>
          <w:bCs/>
          <w:kern w:val="2"/>
          <w:lang w:val="nl-BE" w:eastAsia="en-US"/>
          <w14:ligatures w14:val="standardContextual"/>
        </w:rPr>
        <w:t xml:space="preserve"> 5</w:t>
      </w:r>
      <w:r w:rsidR="008C18B6" w:rsidRPr="00FC3C9E">
        <w:rPr>
          <w:rFonts w:eastAsia="Calibri" w:cs="Arial"/>
          <w:b/>
          <w:bCs/>
          <w:kern w:val="2"/>
          <w:lang w:val="nl-BE" w:eastAsia="en-US"/>
          <w14:ligatures w14:val="standardContextual"/>
        </w:rPr>
        <w:t>2</w:t>
      </w:r>
    </w:p>
    <w:p w14:paraId="1E4D0BC0"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algemene bepalingen over de selectieprocedure bij aanwerving zoals opgenomen in art 10, zijn van toepassing op de selecties in het kader van een bevorderingsprocedure met uitzondering van de tussentijdse wervingsreserve.</w:t>
      </w:r>
    </w:p>
    <w:p w14:paraId="3736C338" w14:textId="10C0F778" w:rsidR="00010F7D" w:rsidRPr="00037A46" w:rsidRDefault="00010F7D" w:rsidP="00010F7D">
      <w:pPr>
        <w:pStyle w:val="Kop3"/>
      </w:pPr>
      <w:bookmarkStart w:id="97" w:name="_Toc215738967"/>
      <w:r w:rsidRPr="00037A46">
        <w:t xml:space="preserve">Afdeling </w:t>
      </w:r>
      <w:r w:rsidR="00FC3C9E">
        <w:t>6</w:t>
      </w:r>
      <w:r w:rsidRPr="00037A46">
        <w:t>. de bevorderingsreserve</w:t>
      </w:r>
      <w:bookmarkEnd w:id="97"/>
    </w:p>
    <w:p w14:paraId="0CC8803F" w14:textId="502ED388" w:rsidR="006D1A58" w:rsidRDefault="006D1A58" w:rsidP="006D1A58">
      <w:pPr>
        <w:spacing w:before="0" w:after="160" w:line="259" w:lineRule="auto"/>
        <w:ind w:left="0"/>
        <w:jc w:val="left"/>
        <w:rPr>
          <w:rFonts w:eastAsia="Calibri" w:cs="Arial"/>
          <w:b/>
          <w:bCs/>
          <w:kern w:val="2"/>
          <w:lang w:val="nl-BE" w:eastAsia="en-US"/>
          <w14:ligatures w14:val="standardContextual"/>
        </w:rPr>
      </w:pPr>
    </w:p>
    <w:p w14:paraId="07D7E4C3" w14:textId="7D4B7193" w:rsidR="00472ADB" w:rsidRPr="00037A46" w:rsidRDefault="00472ADB" w:rsidP="006D1A58">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 xml:space="preserve">Artikel </w:t>
      </w:r>
      <w:r w:rsidR="009D47D0" w:rsidRPr="00FC3C9E">
        <w:rPr>
          <w:rFonts w:eastAsia="Calibri" w:cs="Arial"/>
          <w:b/>
          <w:bCs/>
          <w:kern w:val="2"/>
          <w:lang w:val="nl-BE" w:eastAsia="en-US"/>
          <w14:ligatures w14:val="standardContextual"/>
        </w:rPr>
        <w:t>5</w:t>
      </w:r>
      <w:r w:rsidR="008C18B6" w:rsidRPr="00FC3C9E">
        <w:rPr>
          <w:rFonts w:eastAsia="Calibri" w:cs="Arial"/>
          <w:b/>
          <w:bCs/>
          <w:kern w:val="2"/>
          <w:lang w:val="nl-BE" w:eastAsia="en-US"/>
          <w14:ligatures w14:val="standardContextual"/>
        </w:rPr>
        <w:t>3</w:t>
      </w:r>
    </w:p>
    <w:p w14:paraId="02ECACE9" w14:textId="513284D8"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Alle geslaagde of geschikt bevonden kandidaten die niet onmiddellijk worden aangesteld, worden in de bevorderingsreserve opgenomen</w:t>
      </w:r>
      <w:r w:rsidRPr="00037A46">
        <w:rPr>
          <w:rFonts w:eastAsia="Calibri" w:cs="Arial"/>
          <w:i/>
          <w:kern w:val="2"/>
          <w:lang w:val="nl-BE" w:eastAsia="en-US"/>
          <w14:ligatures w14:val="standardContextual"/>
        </w:rPr>
        <w:t xml:space="preserve">. </w:t>
      </w:r>
      <w:r w:rsidRPr="00037A46">
        <w:rPr>
          <w:rFonts w:eastAsia="Calibri" w:cs="Arial"/>
          <w:kern w:val="2"/>
          <w:lang w:val="nl-BE" w:eastAsia="en-US"/>
          <w14:ligatures w14:val="standardContextual"/>
        </w:rPr>
        <w:t xml:space="preserve">De aanstellende overheid bepaalt bij de </w:t>
      </w:r>
      <w:r w:rsidR="00D346A2">
        <w:rPr>
          <w:rFonts w:eastAsia="Calibri" w:cs="Arial"/>
          <w:kern w:val="2"/>
          <w:lang w:val="nl-BE" w:eastAsia="en-US"/>
          <w14:ligatures w14:val="standardContextual"/>
        </w:rPr>
        <w:t>open</w:t>
      </w:r>
      <w:r w:rsidRPr="00037A46">
        <w:rPr>
          <w:rFonts w:eastAsia="Calibri" w:cs="Arial"/>
          <w:kern w:val="2"/>
          <w:lang w:val="nl-BE" w:eastAsia="en-US"/>
          <w14:ligatures w14:val="standardContextual"/>
        </w:rPr>
        <w:t>verklaring van een betrekking de geldigheidsduur van de bevorderingsreserve.</w:t>
      </w:r>
    </w:p>
    <w:p w14:paraId="4CB206B7" w14:textId="766C629C"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Deze is maximum vastgesteld op </w:t>
      </w:r>
      <w:r w:rsidR="00FC5163">
        <w:rPr>
          <w:rFonts w:eastAsia="Calibri" w:cs="Arial"/>
          <w:kern w:val="2"/>
          <w:lang w:val="nl-BE" w:eastAsia="en-US"/>
          <w14:ligatures w14:val="standardContextual"/>
        </w:rPr>
        <w:t>2</w:t>
      </w:r>
      <w:r w:rsidRPr="00037A46">
        <w:rPr>
          <w:rFonts w:eastAsia="Calibri" w:cs="Arial"/>
          <w:kern w:val="2"/>
          <w:lang w:val="nl-BE" w:eastAsia="en-US"/>
          <w14:ligatures w14:val="standardContextual"/>
        </w:rPr>
        <w:t xml:space="preserve"> jaar en kan met maximum 2 jaar worden verlengd. </w:t>
      </w:r>
    </w:p>
    <w:p w14:paraId="64B86A6E"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geldigheidsduur van de reserve vangt aan op de eerste dag van de maand volgend op de datum van het besluit van de aanstellende overheid houdende de samenstelling van de bevorderingsreserve. </w:t>
      </w:r>
    </w:p>
    <w:p w14:paraId="3C33CFD9" w14:textId="6D957D79" w:rsidR="00010F7D" w:rsidRPr="00037A46" w:rsidRDefault="00010F7D" w:rsidP="00010F7D">
      <w:pPr>
        <w:pStyle w:val="Kop3"/>
      </w:pPr>
      <w:bookmarkStart w:id="98" w:name="_Toc215738968"/>
      <w:r w:rsidRPr="00037A46">
        <w:t xml:space="preserve">Afdeling </w:t>
      </w:r>
      <w:r w:rsidR="00FC3C9E">
        <w:t>7</w:t>
      </w:r>
      <w:r w:rsidRPr="00037A46">
        <w:t>. administratieve anciënniteit en andere arbeidsvoorwaarden</w:t>
      </w:r>
      <w:bookmarkStart w:id="99" w:name="_Toc110948150"/>
      <w:bookmarkEnd w:id="98"/>
    </w:p>
    <w:p w14:paraId="11D7E78A" w14:textId="6E5F5CCE"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p>
    <w:p w14:paraId="27A33B8C" w14:textId="0D6A9AA5" w:rsidR="00472ADB" w:rsidRPr="00FC3C9E" w:rsidRDefault="00472ADB" w:rsidP="001A17AC">
      <w:pPr>
        <w:spacing w:before="0" w:after="160" w:line="259" w:lineRule="auto"/>
        <w:ind w:left="0"/>
        <w:jc w:val="left"/>
        <w:rPr>
          <w:rFonts w:eastAsia="Calibri" w:cs="Arial"/>
          <w:b/>
          <w:bCs/>
          <w:kern w:val="2"/>
          <w:lang w:val="nl-BE" w:eastAsia="en-US"/>
          <w14:ligatures w14:val="standardContextual"/>
        </w:rPr>
      </w:pPr>
      <w:r w:rsidRPr="00661F4E">
        <w:rPr>
          <w:rFonts w:eastAsia="Calibri" w:cs="Arial"/>
          <w:b/>
          <w:bCs/>
          <w:kern w:val="2"/>
          <w:lang w:val="nl-BE" w:eastAsia="en-US"/>
          <w14:ligatures w14:val="standardContextual"/>
        </w:rPr>
        <w:t>Artikel</w:t>
      </w:r>
      <w:r w:rsidR="009D47D0" w:rsidRPr="00661F4E">
        <w:rPr>
          <w:rFonts w:eastAsia="Calibri" w:cs="Arial"/>
          <w:b/>
          <w:bCs/>
          <w:kern w:val="2"/>
          <w:lang w:val="nl-BE" w:eastAsia="en-US"/>
          <w14:ligatures w14:val="standardContextual"/>
        </w:rPr>
        <w:t xml:space="preserve"> </w:t>
      </w:r>
      <w:r w:rsidR="009D47D0" w:rsidRPr="00FC3C9E">
        <w:rPr>
          <w:rFonts w:eastAsia="Calibri" w:cs="Arial"/>
          <w:b/>
          <w:bCs/>
          <w:kern w:val="2"/>
          <w:lang w:val="nl-BE" w:eastAsia="en-US"/>
          <w14:ligatures w14:val="standardContextual"/>
        </w:rPr>
        <w:t>5</w:t>
      </w:r>
      <w:r w:rsidR="008C18B6" w:rsidRPr="00FC3C9E">
        <w:rPr>
          <w:rFonts w:eastAsia="Calibri" w:cs="Arial"/>
          <w:b/>
          <w:bCs/>
          <w:kern w:val="2"/>
          <w:lang w:val="nl-BE" w:eastAsia="en-US"/>
          <w14:ligatures w14:val="standardContextual"/>
        </w:rPr>
        <w:t>4</w:t>
      </w:r>
    </w:p>
    <w:p w14:paraId="5A8A312D" w14:textId="7EAA40CE" w:rsidR="001A17AC" w:rsidRPr="00472ADB" w:rsidRDefault="001A17AC" w:rsidP="001A17AC">
      <w:pPr>
        <w:spacing w:before="0" w:after="160" w:line="259" w:lineRule="auto"/>
        <w:ind w:left="0"/>
        <w:jc w:val="left"/>
        <w:rPr>
          <w:rFonts w:eastAsia="Calibri" w:cs="Arial"/>
          <w:b/>
          <w:bCs/>
          <w:kern w:val="2"/>
          <w:lang w:val="nl-BE" w:eastAsia="en-US"/>
          <w14:ligatures w14:val="standardContextual"/>
        </w:rPr>
      </w:pPr>
      <w:r w:rsidRPr="00FC3C9E">
        <w:rPr>
          <w:rFonts w:eastAsia="Calibri" w:cs="Arial"/>
          <w:kern w:val="2"/>
          <w:lang w:val="nl-BE" w:eastAsia="en-US"/>
          <w14:ligatures w14:val="standardContextual"/>
        </w:rPr>
        <w:t>Het personeelslid dat bevorderd wordt, behoudt zijn geldelijke anciënniteit in de nieuwe functionele loopbaan. Schaalanciënniteit en eventueel bijkomende geldelijke anciënniteit (= geldelijke anciënniteit die niet meegenomen werd bij aanwerving) kunnen worden toegekend op basis van nuttige jaren ervaring relevant voor de nieuwe functie</w:t>
      </w:r>
      <w:r w:rsidR="00472ADB" w:rsidRPr="00FC3C9E">
        <w:rPr>
          <w:rFonts w:eastAsia="Calibri" w:cs="Arial"/>
          <w:kern w:val="2"/>
          <w:lang w:val="nl-BE" w:eastAsia="en-US"/>
          <w14:ligatures w14:val="standardContextual"/>
        </w:rPr>
        <w:t xml:space="preserve"> indien deze open werden verklaard als knelpuntberoep</w:t>
      </w:r>
      <w:r w:rsidRPr="00FC3C9E">
        <w:rPr>
          <w:rFonts w:eastAsia="Calibri" w:cs="Arial"/>
          <w:kern w:val="2"/>
          <w:lang w:val="nl-BE" w:eastAsia="en-US"/>
          <w14:ligatures w14:val="standardContextual"/>
        </w:rPr>
        <w:t xml:space="preserve"> (</w:t>
      </w:r>
      <w:proofErr w:type="spellStart"/>
      <w:r w:rsidRPr="00FC3C9E">
        <w:rPr>
          <w:rFonts w:eastAsia="Calibri" w:cs="Arial"/>
          <w:kern w:val="2"/>
          <w:lang w:val="nl-BE" w:eastAsia="en-US"/>
          <w14:ligatures w14:val="standardContextual"/>
        </w:rPr>
        <w:t>cfr</w:t>
      </w:r>
      <w:proofErr w:type="spellEnd"/>
      <w:r w:rsidRPr="00FC3C9E">
        <w:rPr>
          <w:rFonts w:eastAsia="Calibri" w:cs="Arial"/>
          <w:kern w:val="2"/>
          <w:lang w:val="nl-BE" w:eastAsia="en-US"/>
          <w14:ligatures w14:val="standardContextual"/>
        </w:rPr>
        <w:t xml:space="preserve">. de modaliteiten zoals bepaald in </w:t>
      </w:r>
      <w:r w:rsidR="006C28F4" w:rsidRPr="00FC3C9E">
        <w:rPr>
          <w:rFonts w:eastAsia="Calibri" w:cs="Arial"/>
          <w:kern w:val="2"/>
          <w:lang w:val="nl-BE" w:eastAsia="en-US"/>
          <w14:ligatures w14:val="standardContextual"/>
        </w:rPr>
        <w:t xml:space="preserve">artikel </w:t>
      </w:r>
      <w:r w:rsidR="00A807EB" w:rsidRPr="00FC3C9E">
        <w:rPr>
          <w:rFonts w:eastAsia="Calibri" w:cs="Arial"/>
          <w:kern w:val="2"/>
          <w:lang w:val="nl-BE" w:eastAsia="en-US"/>
          <w14:ligatures w14:val="standardContextual"/>
        </w:rPr>
        <w:t>101</w:t>
      </w:r>
      <w:r w:rsidRPr="00FC3C9E">
        <w:rPr>
          <w:rFonts w:eastAsia="Calibri" w:cs="Arial"/>
          <w:kern w:val="2"/>
          <w:lang w:val="nl-BE" w:eastAsia="en-US"/>
          <w14:ligatures w14:val="standardContextual"/>
        </w:rPr>
        <w:t xml:space="preserve"> van dit</w:t>
      </w:r>
      <w:r w:rsidRPr="00472ADB">
        <w:rPr>
          <w:rFonts w:eastAsia="Calibri" w:cs="Arial"/>
          <w:kern w:val="2"/>
          <w:lang w:val="nl-BE" w:eastAsia="en-US"/>
          <w14:ligatures w14:val="standardContextual"/>
        </w:rPr>
        <w:t xml:space="preserve"> rechtspositiebesluit).</w:t>
      </w:r>
    </w:p>
    <w:p w14:paraId="028D747A" w14:textId="77777777" w:rsidR="001A17AC" w:rsidRPr="00472ADB" w:rsidRDefault="001A17AC" w:rsidP="001A17AC">
      <w:pPr>
        <w:spacing w:before="0" w:after="160" w:line="259" w:lineRule="auto"/>
        <w:ind w:left="0"/>
        <w:jc w:val="left"/>
        <w:rPr>
          <w:rFonts w:eastAsia="Calibri" w:cs="Arial"/>
          <w:kern w:val="2"/>
          <w:lang w:val="nl-BE" w:eastAsia="en-US"/>
          <w14:ligatures w14:val="standardContextual"/>
        </w:rPr>
      </w:pPr>
      <w:r w:rsidRPr="00472ADB">
        <w:rPr>
          <w:rFonts w:eastAsia="Calibri" w:cs="Arial"/>
          <w:kern w:val="2"/>
          <w:lang w:val="nl-BE" w:eastAsia="en-US"/>
          <w14:ligatures w14:val="standardContextual"/>
        </w:rPr>
        <w:lastRenderedPageBreak/>
        <w:t>Het personeelslid dat via bevordering wordt aangesteld bij een andere juridische werkgever behoudt de eventuele rugzak in het kader van het eenheidsstatuut.</w:t>
      </w:r>
    </w:p>
    <w:p w14:paraId="380E044F" w14:textId="604CC83D" w:rsidR="001A17AC" w:rsidRDefault="001A17AC" w:rsidP="001A17AC">
      <w:pPr>
        <w:spacing w:before="0" w:after="160" w:line="259" w:lineRule="auto"/>
        <w:ind w:left="0"/>
        <w:jc w:val="left"/>
        <w:rPr>
          <w:rFonts w:eastAsia="Calibri" w:cs="Arial"/>
          <w:kern w:val="2"/>
          <w:lang w:val="nl-BE" w:eastAsia="en-US"/>
          <w14:ligatures w14:val="standardContextual"/>
        </w:rPr>
      </w:pPr>
      <w:r w:rsidRPr="00472ADB">
        <w:rPr>
          <w:rFonts w:eastAsia="Calibri" w:cs="Arial"/>
          <w:kern w:val="2"/>
          <w:lang w:val="nl-BE" w:eastAsia="en-US"/>
          <w14:ligatures w14:val="standardContextual"/>
        </w:rPr>
        <w:t xml:space="preserve">Het personeelslid heeft bij een niveau overschrijdende </w:t>
      </w:r>
      <w:r w:rsidRPr="00FC3C9E">
        <w:rPr>
          <w:rFonts w:eastAsia="Calibri" w:cs="Arial"/>
          <w:kern w:val="2"/>
          <w:lang w:val="nl-BE" w:eastAsia="en-US"/>
          <w14:ligatures w14:val="standardContextual"/>
        </w:rPr>
        <w:t xml:space="preserve">bevordering recht op de minimale salarisverhoging zoals bepaald in artikel </w:t>
      </w:r>
      <w:r w:rsidR="00EC5432" w:rsidRPr="00FC3C9E">
        <w:rPr>
          <w:rFonts w:eastAsia="Calibri" w:cs="Arial"/>
          <w:kern w:val="2"/>
          <w:lang w:val="nl-BE" w:eastAsia="en-US"/>
          <w14:ligatures w14:val="standardContextual"/>
        </w:rPr>
        <w:t>11</w:t>
      </w:r>
      <w:r w:rsidR="00A807EB" w:rsidRPr="00FC3C9E">
        <w:rPr>
          <w:rFonts w:eastAsia="Calibri" w:cs="Arial"/>
          <w:kern w:val="2"/>
          <w:lang w:val="nl-BE" w:eastAsia="en-US"/>
          <w14:ligatures w14:val="standardContextual"/>
        </w:rPr>
        <w:t>2</w:t>
      </w:r>
      <w:r w:rsidRPr="00FC3C9E">
        <w:rPr>
          <w:rFonts w:eastAsia="Calibri" w:cs="Arial"/>
          <w:kern w:val="2"/>
          <w:lang w:val="nl-BE" w:eastAsia="en-US"/>
          <w14:ligatures w14:val="standardContextual"/>
        </w:rPr>
        <w:t xml:space="preserve"> van</w:t>
      </w:r>
      <w:r w:rsidRPr="008017D3">
        <w:rPr>
          <w:rFonts w:eastAsia="Calibri" w:cs="Arial"/>
          <w:kern w:val="2"/>
          <w:lang w:val="nl-BE" w:eastAsia="en-US"/>
          <w14:ligatures w14:val="standardContextual"/>
        </w:rPr>
        <w:t xml:space="preserve"> dit rechtspositiebesluit</w:t>
      </w:r>
      <w:r w:rsidRPr="00472ADB">
        <w:rPr>
          <w:rFonts w:eastAsia="Calibri" w:cs="Arial"/>
          <w:kern w:val="2"/>
          <w:lang w:val="nl-BE" w:eastAsia="en-US"/>
          <w14:ligatures w14:val="standardContextual"/>
        </w:rPr>
        <w:t>.</w:t>
      </w:r>
    </w:p>
    <w:p w14:paraId="2B5532DF" w14:textId="5333248A" w:rsidR="006D1A58" w:rsidRPr="00152BF9" w:rsidRDefault="006D1A58" w:rsidP="006D1A58">
      <w:pPr>
        <w:spacing w:before="0" w:after="160" w:line="259" w:lineRule="auto"/>
        <w:ind w:left="0"/>
        <w:jc w:val="left"/>
        <w:rPr>
          <w:rFonts w:eastAsia="Calibri" w:cs="Arial"/>
          <w:kern w:val="2"/>
          <w:lang w:val="nl-BE" w:eastAsia="en-US"/>
          <w14:ligatures w14:val="standardContextual"/>
        </w:rPr>
      </w:pPr>
      <w:r w:rsidRPr="00152BF9">
        <w:rPr>
          <w:rFonts w:eastAsia="Calibri" w:cs="Arial"/>
          <w:kern w:val="2"/>
          <w:lang w:val="nl-BE" w:eastAsia="en-US"/>
          <w14:ligatures w14:val="standardContextual"/>
        </w:rPr>
        <w:t xml:space="preserve">Het personeelslid dat bevorderd wordt, is onderworpen aan een </w:t>
      </w:r>
      <w:r w:rsidR="003670C5" w:rsidRPr="00152BF9">
        <w:rPr>
          <w:rFonts w:eastAsia="Calibri" w:cs="Arial"/>
          <w:kern w:val="2"/>
          <w:lang w:val="nl-BE" w:eastAsia="en-US"/>
          <w14:ligatures w14:val="standardContextual"/>
        </w:rPr>
        <w:t>inwerkperiode</w:t>
      </w:r>
      <w:r w:rsidRPr="00152BF9">
        <w:rPr>
          <w:rFonts w:eastAsia="Calibri" w:cs="Arial"/>
          <w:kern w:val="2"/>
          <w:lang w:val="nl-BE" w:eastAsia="en-US"/>
          <w14:ligatures w14:val="standardContextual"/>
        </w:rPr>
        <w:t xml:space="preserve"> die dezelfde duur heeft als de </w:t>
      </w:r>
      <w:r w:rsidR="003670C5" w:rsidRPr="00152BF9">
        <w:rPr>
          <w:rFonts w:eastAsia="Calibri" w:cs="Arial"/>
          <w:kern w:val="2"/>
          <w:lang w:val="nl-BE" w:eastAsia="en-US"/>
          <w14:ligatures w14:val="standardContextual"/>
        </w:rPr>
        <w:t>inwerkperiode</w:t>
      </w:r>
      <w:r w:rsidRPr="00152BF9">
        <w:rPr>
          <w:rFonts w:eastAsia="Calibri" w:cs="Arial"/>
          <w:kern w:val="2"/>
          <w:lang w:val="nl-BE" w:eastAsia="en-US"/>
          <w14:ligatures w14:val="standardContextual"/>
        </w:rPr>
        <w:t xml:space="preserve"> bij aanstelling voor functies binnen hetzelfde niveau, zoals bepaald in </w:t>
      </w:r>
      <w:r w:rsidRPr="00EC4A0A">
        <w:rPr>
          <w:rFonts w:eastAsia="Calibri" w:cs="Arial"/>
          <w:kern w:val="2"/>
          <w:lang w:val="nl-BE" w:eastAsia="en-US"/>
          <w14:ligatures w14:val="standardContextual"/>
        </w:rPr>
        <w:t xml:space="preserve">artikel </w:t>
      </w:r>
      <w:r w:rsidR="00C81D27" w:rsidRPr="00EC4A0A">
        <w:rPr>
          <w:rFonts w:eastAsia="Calibri" w:cs="Arial"/>
          <w:kern w:val="2"/>
          <w:lang w:val="nl-BE" w:eastAsia="en-US"/>
          <w14:ligatures w14:val="standardContextual"/>
        </w:rPr>
        <w:t>22</w:t>
      </w:r>
      <w:r w:rsidRPr="00EC4A0A">
        <w:rPr>
          <w:rFonts w:eastAsia="Calibri" w:cs="Arial"/>
          <w:kern w:val="2"/>
          <w:lang w:val="nl-BE" w:eastAsia="en-US"/>
          <w14:ligatures w14:val="standardContextual"/>
        </w:rPr>
        <w:t>.</w:t>
      </w:r>
      <w:r w:rsidRPr="00152BF9">
        <w:rPr>
          <w:rFonts w:eastAsia="Calibri" w:cs="Arial"/>
          <w:kern w:val="2"/>
          <w:lang w:val="nl-BE" w:eastAsia="en-US"/>
          <w14:ligatures w14:val="standardContextual"/>
        </w:rPr>
        <w:t xml:space="preserve">  </w:t>
      </w:r>
    </w:p>
    <w:p w14:paraId="116FA38E" w14:textId="77777777" w:rsidR="006D1A58"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aanstellende overheid bepaalt de datum van de bevordering van het geselecteerde personeelslid.</w:t>
      </w:r>
    </w:p>
    <w:p w14:paraId="2C14CF7D" w14:textId="3A340DD3" w:rsidR="00A75193" w:rsidRPr="00037A46" w:rsidRDefault="00A75193" w:rsidP="00A75193">
      <w:pPr>
        <w:pStyle w:val="Kop3"/>
      </w:pPr>
      <w:bookmarkStart w:id="100" w:name="_Toc110948154"/>
      <w:bookmarkStart w:id="101" w:name="_Toc152937374"/>
      <w:bookmarkStart w:id="102" w:name="_Toc215738969"/>
      <w:r w:rsidRPr="00037A46">
        <w:t xml:space="preserve">Afdeling </w:t>
      </w:r>
      <w:r w:rsidR="00FC3C9E">
        <w:t>8</w:t>
      </w:r>
      <w:r w:rsidRPr="00037A46">
        <w:t>. de proeftijd van het personeelslid na bevordering</w:t>
      </w:r>
      <w:bookmarkEnd w:id="100"/>
      <w:bookmarkEnd w:id="101"/>
      <w:bookmarkEnd w:id="102"/>
    </w:p>
    <w:p w14:paraId="3568C4E1" w14:textId="0CB8A192" w:rsidR="00A75193" w:rsidRPr="00FC3C9E" w:rsidRDefault="00A75193" w:rsidP="00A75193">
      <w:pPr>
        <w:pStyle w:val="Kop5"/>
      </w:pPr>
      <w:r w:rsidRPr="00FC3C9E">
        <w:t>Artikel</w:t>
      </w:r>
      <w:r w:rsidR="009D47D0" w:rsidRPr="00FC3C9E">
        <w:t xml:space="preserve"> 5</w:t>
      </w:r>
      <w:r w:rsidR="008C18B6" w:rsidRPr="00FC3C9E">
        <w:t>5</w:t>
      </w:r>
    </w:p>
    <w:p w14:paraId="4D49EDA5" w14:textId="77777777" w:rsidR="0059274D" w:rsidRPr="00FC3C9E" w:rsidRDefault="0059274D" w:rsidP="0059274D">
      <w:pPr>
        <w:pStyle w:val="StandaardUitvullen"/>
        <w:ind w:left="0"/>
        <w:rPr>
          <w:lang w:eastAsia="en-US"/>
        </w:rPr>
      </w:pPr>
    </w:p>
    <w:p w14:paraId="0F55B6BF" w14:textId="2AB72571" w:rsidR="00A75193" w:rsidRPr="00FC3C9E" w:rsidRDefault="00A75193" w:rsidP="0059274D">
      <w:pPr>
        <w:pStyle w:val="StandaardUitvullen"/>
        <w:ind w:left="0"/>
        <w:rPr>
          <w:lang w:eastAsia="en-US"/>
        </w:rPr>
      </w:pPr>
      <w:r w:rsidRPr="00FC3C9E">
        <w:rPr>
          <w:lang w:eastAsia="en-US"/>
        </w:rPr>
        <w:t>De inwerkperiode na bevordering beoogt de inwerking van het personeelslid in zijn nieuwe functie en stelt de aanstellende overheid in staat de geschiktheid van het personeelslid voor de nieuwe functie te verifiëren. Hiervoor worden dezelfde modaliteiten zoals bepaald in artikel</w:t>
      </w:r>
      <w:r w:rsidR="0059274D" w:rsidRPr="00FC3C9E">
        <w:rPr>
          <w:lang w:eastAsia="en-US"/>
        </w:rPr>
        <w:t>s</w:t>
      </w:r>
      <w:r w:rsidRPr="00FC3C9E">
        <w:rPr>
          <w:lang w:eastAsia="en-US"/>
        </w:rPr>
        <w:t xml:space="preserve"> </w:t>
      </w:r>
      <w:r w:rsidR="00551B39" w:rsidRPr="00FC3C9E">
        <w:rPr>
          <w:lang w:eastAsia="en-US"/>
        </w:rPr>
        <w:t>22-28</w:t>
      </w:r>
      <w:r w:rsidRPr="00FC3C9E">
        <w:rPr>
          <w:lang w:eastAsia="en-US"/>
        </w:rPr>
        <w:t xml:space="preserve"> gevolgd.</w:t>
      </w:r>
    </w:p>
    <w:p w14:paraId="5C686893" w14:textId="58308613" w:rsidR="00687987" w:rsidRPr="00FC3C9E" w:rsidRDefault="00687987" w:rsidP="00B44CF7">
      <w:pPr>
        <w:pStyle w:val="Kop2"/>
      </w:pPr>
      <w:bookmarkStart w:id="103" w:name="_Toc215738970"/>
      <w:bookmarkEnd w:id="99"/>
      <w:r w:rsidRPr="00FC3C9E">
        <w:t>Hoofdstuk x. interne mobiliteit</w:t>
      </w:r>
      <w:bookmarkStart w:id="104" w:name="_Toc110948156"/>
      <w:bookmarkEnd w:id="103"/>
    </w:p>
    <w:bookmarkEnd w:id="104"/>
    <w:p w14:paraId="2A7E6849" w14:textId="5C0745D3" w:rsidR="003320AD" w:rsidRPr="00FC3C9E" w:rsidRDefault="003320AD" w:rsidP="003320AD">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w:t>
      </w:r>
      <w:r w:rsidR="00687987" w:rsidRPr="00FC3C9E">
        <w:rPr>
          <w:rFonts w:eastAsia="Calibri" w:cs="Arial"/>
          <w:b/>
          <w:bCs/>
          <w:kern w:val="2"/>
          <w:lang w:val="nl-BE" w:eastAsia="en-US"/>
          <w14:ligatures w14:val="standardContextual"/>
        </w:rPr>
        <w:t>ikel</w:t>
      </w:r>
      <w:r w:rsidR="009D47D0" w:rsidRPr="00FC3C9E">
        <w:rPr>
          <w:rFonts w:eastAsia="Calibri" w:cs="Arial"/>
          <w:b/>
          <w:bCs/>
          <w:kern w:val="2"/>
          <w:lang w:val="nl-BE" w:eastAsia="en-US"/>
          <w14:ligatures w14:val="standardContextual"/>
        </w:rPr>
        <w:t xml:space="preserve"> 5</w:t>
      </w:r>
      <w:r w:rsidR="008C18B6" w:rsidRPr="00FC3C9E">
        <w:rPr>
          <w:rFonts w:eastAsia="Calibri" w:cs="Arial"/>
          <w:b/>
          <w:bCs/>
          <w:kern w:val="2"/>
          <w:lang w:val="nl-BE" w:eastAsia="en-US"/>
          <w14:ligatures w14:val="standardContextual"/>
        </w:rPr>
        <w:t>6</w:t>
      </w:r>
    </w:p>
    <w:p w14:paraId="4E737A9B" w14:textId="22E11649" w:rsidR="003320AD" w:rsidRPr="00FC3C9E" w:rsidRDefault="003320AD" w:rsidP="003320AD">
      <w:pPr>
        <w:spacing w:before="100" w:beforeAutospacing="1" w:after="100" w:afterAutospacing="1"/>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 xml:space="preserve">In dit artikel wordt verstaan onder interne personeelsmobiliteit: de </w:t>
      </w:r>
      <w:proofErr w:type="spellStart"/>
      <w:r w:rsidRPr="00FC3C9E">
        <w:rPr>
          <w:rFonts w:eastAsia="Calibri" w:cs="Arial"/>
          <w:kern w:val="2"/>
          <w:lang w:val="nl-BE" w:eastAsia="en-US"/>
          <w14:ligatures w14:val="standardContextual"/>
        </w:rPr>
        <w:t>heraanstelling</w:t>
      </w:r>
      <w:proofErr w:type="spellEnd"/>
      <w:r w:rsidRPr="00FC3C9E">
        <w:rPr>
          <w:rFonts w:eastAsia="Calibri" w:cs="Arial"/>
          <w:kern w:val="2"/>
          <w:lang w:val="nl-BE" w:eastAsia="en-US"/>
          <w14:ligatures w14:val="standardContextual"/>
        </w:rPr>
        <w:t xml:space="preserve"> van een personeelslid in een functie in een graad, die gelijk is aan of lager is ingedeeld dan de graad van het personeelslid</w:t>
      </w:r>
      <w:r w:rsidR="00EF6914" w:rsidRPr="00FC3C9E">
        <w:rPr>
          <w:rFonts w:eastAsia="Calibri" w:cs="Arial"/>
          <w:kern w:val="2"/>
          <w:lang w:val="nl-BE" w:eastAsia="en-US"/>
          <w14:ligatures w14:val="standardContextual"/>
        </w:rPr>
        <w:t>.</w:t>
      </w:r>
    </w:p>
    <w:p w14:paraId="78FE7140" w14:textId="111C153E" w:rsidR="00010F7D" w:rsidRPr="00FC3C9E" w:rsidRDefault="00010F7D" w:rsidP="00010F7D">
      <w:pPr>
        <w:pStyle w:val="Kop3"/>
      </w:pPr>
      <w:bookmarkStart w:id="105" w:name="_Toc215738971"/>
      <w:r w:rsidRPr="00FC3C9E">
        <w:t>Afdeling 1. toepassingsgebied</w:t>
      </w:r>
      <w:bookmarkEnd w:id="105"/>
    </w:p>
    <w:p w14:paraId="713F1282" w14:textId="77777777" w:rsidR="00010F7D" w:rsidRPr="00FC3C9E" w:rsidRDefault="00010F7D" w:rsidP="003320AD">
      <w:pPr>
        <w:spacing w:before="0" w:after="160" w:line="259" w:lineRule="auto"/>
        <w:ind w:left="0"/>
        <w:jc w:val="left"/>
        <w:rPr>
          <w:rFonts w:eastAsia="Calibri" w:cs="Arial"/>
          <w:kern w:val="2"/>
          <w:lang w:val="nl-BE" w:eastAsia="en-US"/>
          <w14:ligatures w14:val="standardContextual"/>
        </w:rPr>
      </w:pPr>
    </w:p>
    <w:p w14:paraId="2A880ECE" w14:textId="3318C645" w:rsidR="00472ADB" w:rsidRPr="00472ADB" w:rsidRDefault="00472ADB" w:rsidP="003320AD">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w:t>
      </w:r>
      <w:r w:rsidR="009D47D0" w:rsidRPr="00FC3C9E">
        <w:rPr>
          <w:rFonts w:eastAsia="Calibri" w:cs="Arial"/>
          <w:b/>
          <w:bCs/>
          <w:kern w:val="2"/>
          <w:lang w:val="nl-BE" w:eastAsia="en-US"/>
          <w14:ligatures w14:val="standardContextual"/>
        </w:rPr>
        <w:t xml:space="preserve"> 5</w:t>
      </w:r>
      <w:r w:rsidR="008C18B6" w:rsidRPr="00FC3C9E">
        <w:rPr>
          <w:rFonts w:eastAsia="Calibri" w:cs="Arial"/>
          <w:b/>
          <w:bCs/>
          <w:kern w:val="2"/>
          <w:lang w:val="nl-BE" w:eastAsia="en-US"/>
          <w14:ligatures w14:val="standardContextual"/>
        </w:rPr>
        <w:t>7</w:t>
      </w:r>
    </w:p>
    <w:p w14:paraId="051BA720" w14:textId="0B8B1589" w:rsidR="003320AD" w:rsidRPr="00037A46" w:rsidRDefault="003320AD" w:rsidP="003320AD">
      <w:pPr>
        <w:spacing w:before="0" w:after="160" w:line="259" w:lineRule="auto"/>
        <w:ind w:left="0"/>
        <w:jc w:val="left"/>
        <w:rPr>
          <w:rFonts w:eastAsia="Calibri" w:cs="Arial"/>
          <w:strike/>
          <w:color w:val="BFBFBF"/>
          <w:kern w:val="2"/>
          <w:lang w:val="nl-BE" w:eastAsia="en-US"/>
          <w14:ligatures w14:val="standardContextual"/>
        </w:rPr>
      </w:pPr>
      <w:r w:rsidRPr="00037A46">
        <w:rPr>
          <w:rFonts w:eastAsia="Calibri" w:cs="Arial"/>
          <w:kern w:val="2"/>
          <w:lang w:val="nl-BE" w:eastAsia="en-US"/>
          <w14:ligatures w14:val="standardContextual"/>
        </w:rPr>
        <w:t>De personeelsleden werkzaam bij de gemeente</w:t>
      </w:r>
      <w:r w:rsidR="00FC3C9E">
        <w:rPr>
          <w:rFonts w:eastAsia="Calibri" w:cs="Arial"/>
          <w:kern w:val="2"/>
          <w:lang w:val="nl-BE" w:eastAsia="en-US"/>
          <w14:ligatures w14:val="standardContextual"/>
        </w:rPr>
        <w:t xml:space="preserve"> </w:t>
      </w:r>
      <w:r w:rsidR="00A75193">
        <w:rPr>
          <w:rFonts w:eastAsia="Calibri" w:cs="Arial"/>
          <w:kern w:val="2"/>
          <w:lang w:val="nl-BE" w:eastAsia="en-US"/>
          <w14:ligatures w14:val="standardContextual"/>
        </w:rPr>
        <w:t>en</w:t>
      </w:r>
      <w:r w:rsidRPr="00037A46">
        <w:rPr>
          <w:rFonts w:eastAsia="Calibri" w:cs="Arial"/>
          <w:kern w:val="2"/>
          <w:lang w:val="nl-BE" w:eastAsia="en-US"/>
          <w14:ligatures w14:val="standardContextual"/>
        </w:rPr>
        <w:t xml:space="preserve"> het openbaar centrum voor maatschappelijk welzijn komen in aanmerking.</w:t>
      </w:r>
    </w:p>
    <w:p w14:paraId="0261BFC1" w14:textId="77777777" w:rsidR="0055378A" w:rsidRPr="00FC3C9E" w:rsidRDefault="0055378A" w:rsidP="0055378A">
      <w:pPr>
        <w:spacing w:before="0" w:after="160" w:line="259" w:lineRule="auto"/>
        <w:ind w:left="0"/>
        <w:jc w:val="left"/>
        <w:rPr>
          <w:rFonts w:eastAsia="Calibri" w:cs="Arial"/>
          <w:kern w:val="2"/>
          <w:lang w:val="nl-BE" w:eastAsia="en-US"/>
          <w14:ligatures w14:val="standardContextual"/>
        </w:rPr>
      </w:pPr>
      <w:r w:rsidRPr="003E04C6">
        <w:rPr>
          <w:rFonts w:eastAsia="Calibri" w:cs="Arial"/>
          <w:kern w:val="2"/>
          <w:lang w:val="nl-BE" w:eastAsia="en-US"/>
          <w14:ligatures w14:val="standardContextual"/>
        </w:rPr>
        <w:t xml:space="preserve">Indien een statutair personeelslid deelneemt aan de procedure en uiteindelijk wordt aangesteld in een </w:t>
      </w:r>
      <w:r w:rsidRPr="00FC3C9E">
        <w:rPr>
          <w:rFonts w:eastAsia="Calibri" w:cs="Arial"/>
          <w:kern w:val="2"/>
          <w:lang w:val="nl-BE" w:eastAsia="en-US"/>
          <w14:ligatures w14:val="standardContextual"/>
        </w:rPr>
        <w:t>contractuele functie, behoudt deze zijn statuut ter persoonlijke titel.</w:t>
      </w:r>
    </w:p>
    <w:p w14:paraId="722CDE8D" w14:textId="4ECD89D3" w:rsidR="000A40D7" w:rsidRPr="00FC3C9E" w:rsidRDefault="000A40D7" w:rsidP="000A40D7">
      <w:pPr>
        <w:ind w:left="0"/>
        <w:rPr>
          <w:rFonts w:cs="Arial"/>
          <w:lang w:eastAsia="en-US"/>
        </w:rPr>
      </w:pPr>
      <w:r w:rsidRPr="00FC3C9E">
        <w:rPr>
          <w:rFonts w:cs="Arial"/>
          <w:lang w:eastAsia="en-US"/>
        </w:rPr>
        <w:t>Zoals bepaald in artikel 75 van het Besluit van de Vlaamse Regering van 20 januari 2023 komen de personeelsleden die op 18 maart 2023 gedurende ten minste 5 jaar werkzaam zijn in het bestuur, ook in aanmerking om deel te nemen aan de bevorderingsprocedure.</w:t>
      </w:r>
    </w:p>
    <w:p w14:paraId="334D2406" w14:textId="4EFAF67D" w:rsidR="00010F7D" w:rsidRPr="00037A46" w:rsidRDefault="00010F7D" w:rsidP="00010F7D">
      <w:pPr>
        <w:pStyle w:val="Kop3"/>
      </w:pPr>
      <w:bookmarkStart w:id="106" w:name="_Toc215738972"/>
      <w:r w:rsidRPr="003E04C6">
        <w:t>Afdeling 2. algemene toelatings- en aanwervingsvoorwaarden</w:t>
      </w:r>
      <w:bookmarkStart w:id="107" w:name="_Hlk152836517"/>
      <w:bookmarkEnd w:id="106"/>
    </w:p>
    <w:bookmarkEnd w:id="107"/>
    <w:p w14:paraId="0DBD2AD7" w14:textId="77777777" w:rsidR="003320AD" w:rsidRDefault="003320AD" w:rsidP="003320AD">
      <w:pPr>
        <w:spacing w:before="0" w:after="160" w:line="259" w:lineRule="auto"/>
        <w:ind w:left="0"/>
        <w:jc w:val="left"/>
        <w:rPr>
          <w:rFonts w:eastAsia="Calibri" w:cs="Arial"/>
          <w:kern w:val="2"/>
          <w:lang w:val="nl-BE" w:eastAsia="en-US"/>
          <w14:ligatures w14:val="standardContextual"/>
        </w:rPr>
      </w:pPr>
    </w:p>
    <w:p w14:paraId="211F0211" w14:textId="6CE9BC56" w:rsidR="00472ADB" w:rsidRPr="00472ADB" w:rsidRDefault="00472ADB" w:rsidP="003320AD">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w:t>
      </w:r>
      <w:r w:rsidR="009D47D0" w:rsidRPr="00FC3C9E">
        <w:rPr>
          <w:rFonts w:eastAsia="Calibri" w:cs="Arial"/>
          <w:b/>
          <w:bCs/>
          <w:kern w:val="2"/>
          <w:lang w:val="nl-BE" w:eastAsia="en-US"/>
          <w14:ligatures w14:val="standardContextual"/>
        </w:rPr>
        <w:t xml:space="preserve"> 5</w:t>
      </w:r>
      <w:r w:rsidR="008C18B6" w:rsidRPr="00FC3C9E">
        <w:rPr>
          <w:rFonts w:eastAsia="Calibri" w:cs="Arial"/>
          <w:b/>
          <w:bCs/>
          <w:kern w:val="2"/>
          <w:lang w:val="nl-BE" w:eastAsia="en-US"/>
          <w14:ligatures w14:val="standardContextual"/>
        </w:rPr>
        <w:t>8</w:t>
      </w:r>
    </w:p>
    <w:p w14:paraId="6B2C7254" w14:textId="14CEC9F6"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kandidaten voldoen aan de volgende voorwaarden:</w:t>
      </w:r>
    </w:p>
    <w:p w14:paraId="232AE260"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1° ze beantwoorden aan de competentievereisten die vastgesteld zijn in de functiebeschrijving voor de functie; </w:t>
      </w:r>
    </w:p>
    <w:p w14:paraId="3F3B390B"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lastRenderedPageBreak/>
        <w:t xml:space="preserve">2° ze vervullen de eventuele diplomavereiste voor de functie; </w:t>
      </w:r>
    </w:p>
    <w:p w14:paraId="5E082F5D"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3° ze zijn in het bestuur aangesteld na een externe </w:t>
      </w:r>
      <w:r w:rsidRPr="00E468F8">
        <w:rPr>
          <w:rFonts w:eastAsia="Calibri" w:cs="Arial"/>
          <w:kern w:val="2"/>
          <w:lang w:val="nl-BE" w:eastAsia="en-US"/>
          <w14:ligatures w14:val="standardContextual"/>
        </w:rPr>
        <w:t>bekendmaking zoals vermeld in artikel 9 en   voldoen aan de voorwaarden zoals opgenomen in artikel 5 en artikel 6.</w:t>
      </w:r>
    </w:p>
    <w:p w14:paraId="7B0DF0DA"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bookmarkStart w:id="108" w:name="_Hlk147225769"/>
      <w:r w:rsidRPr="00037A46">
        <w:rPr>
          <w:rFonts w:eastAsia="Calibri" w:cs="Arial"/>
          <w:kern w:val="2"/>
          <w:lang w:val="nl-BE" w:eastAsia="en-US"/>
          <w14:ligatures w14:val="standardContextual"/>
        </w:rPr>
        <w:t>De aanstellende overheid beoordeelt de geldigheid van de ingediende kandidaturen en de voorgelegde bewijzen, tenzij de raad de aanstellende overheid is. In dat geval beoordeelt het college van burgemeester en schepenen/vast bureau de geldigheid.</w:t>
      </w:r>
    </w:p>
    <w:p w14:paraId="60DDD4E1" w14:textId="77777777" w:rsidR="003320AD" w:rsidRPr="00037A46" w:rsidRDefault="003320AD" w:rsidP="003320AD">
      <w:pPr>
        <w:ind w:left="0"/>
        <w:rPr>
          <w:rFonts w:cs="Arial"/>
        </w:rPr>
      </w:pPr>
      <w:r w:rsidRPr="00037A46">
        <w:rPr>
          <w:rFonts w:eastAsia="Calibri" w:cs="Arial"/>
          <w:kern w:val="2"/>
          <w:lang w:val="nl-BE" w:eastAsia="en-US"/>
          <w14:ligatures w14:val="standardContextual"/>
        </w:rPr>
        <w:t>Alleen kandidaten die voldoen aan de voorwaarden, worden toegelaten tot de selectieprocedure. Voor de aanvang van de selectieprocedure worden de kandidaten die niet tot de selectieprocedure worden toegelaten er schriftelijk van op de hoogte gebracht met vermelding van de reden tot weigering.</w:t>
      </w:r>
    </w:p>
    <w:p w14:paraId="7E37C4AC" w14:textId="0FBDD851" w:rsidR="00010F7D" w:rsidRPr="00037A46" w:rsidRDefault="00010F7D" w:rsidP="00010F7D">
      <w:pPr>
        <w:pStyle w:val="Kop3"/>
      </w:pPr>
      <w:bookmarkStart w:id="109" w:name="_Toc215738973"/>
      <w:bookmarkEnd w:id="108"/>
      <w:r w:rsidRPr="00037A46">
        <w:t>Afdeling 3. wijze van bekendmaking</w:t>
      </w:r>
      <w:bookmarkEnd w:id="109"/>
    </w:p>
    <w:p w14:paraId="0C0CF2F5" w14:textId="77777777" w:rsidR="003320AD" w:rsidRDefault="003320AD" w:rsidP="003320AD">
      <w:pPr>
        <w:spacing w:before="0" w:after="160" w:line="259" w:lineRule="auto"/>
        <w:ind w:left="0"/>
        <w:jc w:val="left"/>
        <w:rPr>
          <w:rFonts w:eastAsia="Calibri" w:cs="Arial"/>
          <w:kern w:val="2"/>
          <w:lang w:val="nl-BE" w:eastAsia="en-US"/>
          <w14:ligatures w14:val="standardContextual"/>
        </w:rPr>
      </w:pPr>
    </w:p>
    <w:p w14:paraId="4E9D8F19" w14:textId="7E86BB48" w:rsidR="00472ADB" w:rsidRPr="00472ADB" w:rsidRDefault="00472ADB" w:rsidP="003320AD">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 xml:space="preserve">Artikel </w:t>
      </w:r>
      <w:r w:rsidR="008C18B6" w:rsidRPr="00FC3C9E">
        <w:rPr>
          <w:rFonts w:eastAsia="Calibri" w:cs="Arial"/>
          <w:b/>
          <w:bCs/>
          <w:kern w:val="2"/>
          <w:lang w:val="nl-BE" w:eastAsia="en-US"/>
          <w14:ligatures w14:val="standardContextual"/>
        </w:rPr>
        <w:t>59</w:t>
      </w:r>
    </w:p>
    <w:p w14:paraId="62723D92"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aanstellende overheid maakt de functie die wordt ingevuld aan alle personeelsleden bekend. </w:t>
      </w:r>
    </w:p>
    <w:p w14:paraId="53B107C5"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personeelsdienst maakt de vacature voor de in te vullen functie via interne personeelsmobiliteit bekend aan de personeelsleden en doet een oproep tot kandidaatstelling met behulp van ten minste één van volgende communicatiekanalen: </w:t>
      </w:r>
    </w:p>
    <w:p w14:paraId="4983E276" w14:textId="77777777" w:rsidR="003320AD" w:rsidRPr="00037A46" w:rsidRDefault="003320AD" w:rsidP="009D4C40">
      <w:pPr>
        <w:numPr>
          <w:ilvl w:val="0"/>
          <w:numId w:val="6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e-mail; </w:t>
      </w:r>
    </w:p>
    <w:p w14:paraId="6393B729" w14:textId="77777777" w:rsidR="003320AD" w:rsidRPr="00037A46" w:rsidRDefault="003320AD" w:rsidP="009D4C40">
      <w:pPr>
        <w:numPr>
          <w:ilvl w:val="0"/>
          <w:numId w:val="6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affiche op de werkplaatsen;</w:t>
      </w:r>
    </w:p>
    <w:p w14:paraId="34E6881F" w14:textId="77777777" w:rsidR="003320AD" w:rsidRPr="00037A46" w:rsidRDefault="003320AD" w:rsidP="009D4C40">
      <w:pPr>
        <w:numPr>
          <w:ilvl w:val="0"/>
          <w:numId w:val="6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(digitale) nieuwsbrief personeel; </w:t>
      </w:r>
    </w:p>
    <w:p w14:paraId="0B00DA24"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Het personeelslid dat door zijn werkomstandigheden geen toegang heeft tot e-mail of (digitale) nieuwsbrief of die er slechts onregelmatig toegang toe heeft, wordt op de hoogte gebracht met behulp van een brief of nieuwsbrief op papier. </w:t>
      </w:r>
    </w:p>
    <w:p w14:paraId="3ABD587E"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Het personeelslid dat vanwege zijn afwezigheid geen kennis kan nemen van de vacature binnen de vooropgestelde indieningstermijn van de kandidaturen, wordt per post en/of via het persoonlijk e-mailadres op de hoogte gebracht van de vacature. </w:t>
      </w:r>
    </w:p>
    <w:p w14:paraId="0CF8A335"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Het vacaturebericht vermeldt: </w:t>
      </w:r>
    </w:p>
    <w:p w14:paraId="3999DC08"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1. de naam van de functie; </w:t>
      </w:r>
    </w:p>
    <w:p w14:paraId="5E9AE616"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2. de vermelding of de functie in statutair dan wel in contractueel dienstverband vervuld wordt; </w:t>
      </w:r>
    </w:p>
    <w:p w14:paraId="7779C942"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3. de vermelding of de functie voltijds dan wel deeltijds vervuld wordt; </w:t>
      </w:r>
    </w:p>
    <w:p w14:paraId="162ADF11"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4. de aanstellingsvoorwaarden; </w:t>
      </w:r>
    </w:p>
    <w:p w14:paraId="05BC4CD8"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5. een beknopte weergave van de functievereisten op een wijze dat de kandidaten kunnen oordelen of ze in aanmerking komen; </w:t>
      </w:r>
    </w:p>
    <w:p w14:paraId="23DCC0C1"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6.  de wijze waarop de kandidaturen worden ingediend en de uiterste datum voor de indiening ervan;  </w:t>
      </w:r>
    </w:p>
    <w:p w14:paraId="66DB6E20"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7. de vermelding van het contactpunt voor meer informatie over de functie, de arbeidsvoorwaarden en de selectieprocedure. </w:t>
      </w:r>
    </w:p>
    <w:p w14:paraId="272B0C84" w14:textId="372E55B9" w:rsidR="00010F7D" w:rsidRPr="00037A46" w:rsidRDefault="00010F7D" w:rsidP="00010F7D">
      <w:pPr>
        <w:pStyle w:val="Kop3"/>
      </w:pPr>
      <w:bookmarkStart w:id="110" w:name="_Toc215738974"/>
      <w:r w:rsidRPr="00037A46">
        <w:t>Afdeling 4. wijze van kandidaatstelling</w:t>
      </w:r>
      <w:bookmarkEnd w:id="110"/>
    </w:p>
    <w:p w14:paraId="2912CBBD" w14:textId="77777777" w:rsidR="00010F7D" w:rsidRDefault="00010F7D" w:rsidP="003320AD">
      <w:pPr>
        <w:spacing w:before="0" w:after="160" w:line="259" w:lineRule="auto"/>
        <w:ind w:left="0"/>
        <w:jc w:val="left"/>
        <w:rPr>
          <w:rFonts w:eastAsia="Calibri" w:cs="Arial"/>
          <w:kern w:val="2"/>
          <w:lang w:val="nl-BE" w:eastAsia="en-US"/>
          <w14:ligatures w14:val="standardContextual"/>
        </w:rPr>
      </w:pPr>
      <w:bookmarkStart w:id="111" w:name="_Hlk146714295"/>
    </w:p>
    <w:p w14:paraId="151734E2" w14:textId="4F4DD346" w:rsidR="00472ADB" w:rsidRPr="00FC3C9E" w:rsidRDefault="00472ADB" w:rsidP="003320AD">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lastRenderedPageBreak/>
        <w:t xml:space="preserve">Artikel </w:t>
      </w:r>
      <w:r w:rsidR="009D47D0" w:rsidRPr="00FC3C9E">
        <w:rPr>
          <w:rFonts w:eastAsia="Calibri" w:cs="Arial"/>
          <w:b/>
          <w:bCs/>
          <w:kern w:val="2"/>
          <w:lang w:val="nl-BE" w:eastAsia="en-US"/>
          <w14:ligatures w14:val="standardContextual"/>
        </w:rPr>
        <w:t>6</w:t>
      </w:r>
      <w:r w:rsidR="008C18B6" w:rsidRPr="00FC3C9E">
        <w:rPr>
          <w:rFonts w:eastAsia="Calibri" w:cs="Arial"/>
          <w:b/>
          <w:bCs/>
          <w:kern w:val="2"/>
          <w:lang w:val="nl-BE" w:eastAsia="en-US"/>
          <w14:ligatures w14:val="standardContextual"/>
        </w:rPr>
        <w:t>0</w:t>
      </w:r>
    </w:p>
    <w:p w14:paraId="186DD8E4" w14:textId="760E990F" w:rsidR="003320AD" w:rsidRPr="00FC3C9E" w:rsidRDefault="003320AD" w:rsidP="003320AD">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 xml:space="preserve">De kandidaturen kunnen ingediend worden op de volgende manieren: </w:t>
      </w:r>
    </w:p>
    <w:p w14:paraId="49264F8F" w14:textId="77777777" w:rsidR="003320AD" w:rsidRPr="00FC3C9E" w:rsidRDefault="003320AD" w:rsidP="009D4C40">
      <w:pPr>
        <w:numPr>
          <w:ilvl w:val="0"/>
          <w:numId w:val="115"/>
        </w:numPr>
        <w:spacing w:before="0" w:after="160" w:line="259" w:lineRule="auto"/>
        <w:contextualSpacing/>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via e-mail</w:t>
      </w:r>
    </w:p>
    <w:p w14:paraId="5DC70BA5" w14:textId="77777777" w:rsidR="003320AD" w:rsidRPr="00FC3C9E" w:rsidRDefault="003320AD" w:rsidP="009D4C40">
      <w:pPr>
        <w:numPr>
          <w:ilvl w:val="0"/>
          <w:numId w:val="115"/>
        </w:numPr>
        <w:spacing w:before="0" w:after="160" w:line="259" w:lineRule="auto"/>
        <w:contextualSpacing/>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via een elektronisch formulier op website</w:t>
      </w:r>
    </w:p>
    <w:p w14:paraId="3816ABF5" w14:textId="77777777" w:rsidR="003320AD" w:rsidRPr="00FC3C9E" w:rsidRDefault="003320AD" w:rsidP="009D4C40">
      <w:pPr>
        <w:numPr>
          <w:ilvl w:val="0"/>
          <w:numId w:val="115"/>
        </w:numPr>
        <w:spacing w:before="0" w:after="160" w:line="259" w:lineRule="auto"/>
        <w:contextualSpacing/>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per post</w:t>
      </w:r>
    </w:p>
    <w:p w14:paraId="58CFA8E0" w14:textId="77777777" w:rsidR="003320AD" w:rsidRPr="00FC3C9E" w:rsidRDefault="003320AD" w:rsidP="009D4C40">
      <w:pPr>
        <w:numPr>
          <w:ilvl w:val="0"/>
          <w:numId w:val="115"/>
        </w:numPr>
        <w:spacing w:before="0" w:after="160" w:line="259" w:lineRule="auto"/>
        <w:contextualSpacing/>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via persoonlijke overhandiging</w:t>
      </w:r>
    </w:p>
    <w:bookmarkEnd w:id="111"/>
    <w:p w14:paraId="318E6F2B" w14:textId="77777777" w:rsidR="003320AD" w:rsidRPr="00FC3C9E" w:rsidRDefault="003320AD" w:rsidP="003320AD">
      <w:pPr>
        <w:spacing w:before="0" w:after="160" w:line="259" w:lineRule="auto"/>
        <w:ind w:left="720"/>
        <w:contextualSpacing/>
        <w:jc w:val="left"/>
        <w:rPr>
          <w:rFonts w:eastAsia="Calibri" w:cs="Arial"/>
          <w:kern w:val="2"/>
          <w:lang w:val="nl-BE" w:eastAsia="en-US"/>
          <w14:ligatures w14:val="standardContextual"/>
        </w:rPr>
      </w:pPr>
    </w:p>
    <w:p w14:paraId="404B9DA3" w14:textId="77777777" w:rsidR="003320AD" w:rsidRPr="00FC3C9E" w:rsidRDefault="003320AD" w:rsidP="003320AD">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 xml:space="preserve">Tussen de bekendmaking van een vacature en de uiterste datum voor de indiening van de kandidaturen, verlopen minstens 7 kalenderdagen. De dag van de bekendmaking van de vacature is niet in de termijn begrepen, de uiterste datum voor de indiening van de kandidaturen wel. </w:t>
      </w:r>
    </w:p>
    <w:p w14:paraId="2FEB47F7" w14:textId="77777777" w:rsidR="003320AD" w:rsidRPr="00FC3C9E" w:rsidRDefault="003320AD" w:rsidP="003320AD">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 xml:space="preserve">De datum van de verzending van de kandidatuur wordt beschouwd als de datum waarop de kandidatuur is ingediend. </w:t>
      </w:r>
    </w:p>
    <w:p w14:paraId="703488B9" w14:textId="77777777" w:rsidR="003320AD" w:rsidRPr="00FC3C9E" w:rsidRDefault="003320AD" w:rsidP="003320AD">
      <w:pPr>
        <w:spacing w:before="0" w:after="0" w:line="259" w:lineRule="auto"/>
        <w:ind w:left="0"/>
        <w:jc w:val="left"/>
        <w:rPr>
          <w:rFonts w:eastAsia="Calibri" w:cs="Arial"/>
          <w:kern w:val="2"/>
          <w:lang w:val="nl-BE" w:eastAsia="en-US"/>
          <w14:ligatures w14:val="standardContextual"/>
        </w:rPr>
      </w:pPr>
      <w:bookmarkStart w:id="112" w:name="_Hlk146699581"/>
      <w:r w:rsidRPr="00FC3C9E">
        <w:rPr>
          <w:rFonts w:eastAsia="Calibri" w:cs="Arial"/>
          <w:kern w:val="2"/>
          <w:lang w:val="nl-BE" w:eastAsia="en-US"/>
          <w14:ligatures w14:val="standardContextual"/>
        </w:rPr>
        <w:t>De kandidaat is zelf verantwoordelijk voor het goed bereiken van zijn kandidatuur voor de datum van het afsluiten van de inschrijvingsperiode bij het bestuur.</w:t>
      </w:r>
      <w:bookmarkEnd w:id="112"/>
    </w:p>
    <w:p w14:paraId="257A9602" w14:textId="4066D159" w:rsidR="00010F7D" w:rsidRPr="00FC3C9E" w:rsidRDefault="00010F7D" w:rsidP="00010F7D">
      <w:pPr>
        <w:pStyle w:val="Kop3"/>
      </w:pPr>
      <w:bookmarkStart w:id="113" w:name="_Toc215738975"/>
      <w:r w:rsidRPr="00FC3C9E">
        <w:t>Afdeling 5. de selectieprocedure</w:t>
      </w:r>
      <w:bookmarkEnd w:id="113"/>
    </w:p>
    <w:p w14:paraId="538F2A2C" w14:textId="77777777" w:rsidR="00010F7D" w:rsidRPr="00FC3C9E" w:rsidRDefault="00010F7D" w:rsidP="003320AD">
      <w:pPr>
        <w:spacing w:before="0" w:after="160" w:line="259" w:lineRule="auto"/>
        <w:ind w:left="0"/>
        <w:jc w:val="left"/>
        <w:rPr>
          <w:rFonts w:eastAsia="Calibri" w:cs="Arial"/>
          <w:kern w:val="2"/>
          <w:lang w:val="nl-BE" w:eastAsia="en-US"/>
          <w14:ligatures w14:val="standardContextual"/>
        </w:rPr>
      </w:pPr>
    </w:p>
    <w:p w14:paraId="3648E372" w14:textId="0DEA9F6D" w:rsidR="00472ADB" w:rsidRPr="00661F4E" w:rsidRDefault="00472ADB" w:rsidP="003320AD">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w:t>
      </w:r>
      <w:r w:rsidR="00661F4E" w:rsidRPr="00FC3C9E">
        <w:rPr>
          <w:rFonts w:eastAsia="Calibri" w:cs="Arial"/>
          <w:b/>
          <w:bCs/>
          <w:kern w:val="2"/>
          <w:lang w:val="nl-BE" w:eastAsia="en-US"/>
          <w14:ligatures w14:val="standardContextual"/>
        </w:rPr>
        <w:t xml:space="preserve"> </w:t>
      </w:r>
      <w:r w:rsidR="009D47D0" w:rsidRPr="00FC3C9E">
        <w:rPr>
          <w:rFonts w:eastAsia="Calibri" w:cs="Arial"/>
          <w:b/>
          <w:bCs/>
          <w:kern w:val="2"/>
          <w:lang w:val="nl-BE" w:eastAsia="en-US"/>
          <w14:ligatures w14:val="standardContextual"/>
        </w:rPr>
        <w:t>6</w:t>
      </w:r>
      <w:r w:rsidR="008C18B6" w:rsidRPr="00FC3C9E">
        <w:rPr>
          <w:rFonts w:eastAsia="Calibri" w:cs="Arial"/>
          <w:b/>
          <w:bCs/>
          <w:kern w:val="2"/>
          <w:lang w:val="nl-BE" w:eastAsia="en-US"/>
          <w14:ligatures w14:val="standardContextual"/>
        </w:rPr>
        <w:t>1</w:t>
      </w:r>
    </w:p>
    <w:p w14:paraId="07B938C6" w14:textId="58AA0CF6" w:rsidR="00A75193" w:rsidRPr="00A75193" w:rsidRDefault="00A75193" w:rsidP="00A75193">
      <w:pPr>
        <w:spacing w:before="0" w:after="0" w:line="259" w:lineRule="auto"/>
        <w:ind w:left="0"/>
        <w:jc w:val="left"/>
        <w:rPr>
          <w:rFonts w:eastAsia="Calibri" w:cs="Arial"/>
          <w:kern w:val="2"/>
          <w:lang w:val="nl-BE" w:eastAsia="en-US"/>
          <w14:ligatures w14:val="standardContextual"/>
        </w:rPr>
      </w:pPr>
      <w:r w:rsidRPr="00B47C39">
        <w:rPr>
          <w:rFonts w:eastAsia="Calibri" w:cs="Arial"/>
          <w:kern w:val="2"/>
          <w:lang w:val="nl-BE" w:eastAsia="en-US"/>
          <w14:ligatures w14:val="standardContextual"/>
        </w:rPr>
        <w:t>De algemene bepalingen over de selectieprocedure bij aanwerving zoals opgenomen in art</w:t>
      </w:r>
      <w:r w:rsidR="009841BF" w:rsidRPr="00B47C39">
        <w:rPr>
          <w:rFonts w:eastAsia="Calibri" w:cs="Arial"/>
          <w:kern w:val="2"/>
          <w:lang w:val="nl-BE" w:eastAsia="en-US"/>
          <w14:ligatures w14:val="standardContextual"/>
        </w:rPr>
        <w:t>ikel</w:t>
      </w:r>
      <w:r w:rsidRPr="00B47C39">
        <w:rPr>
          <w:rFonts w:eastAsia="Calibri" w:cs="Arial"/>
          <w:kern w:val="2"/>
          <w:lang w:val="nl-BE" w:eastAsia="en-US"/>
          <w14:ligatures w14:val="standardContextual"/>
        </w:rPr>
        <w:t xml:space="preserve"> 1</w:t>
      </w:r>
      <w:r w:rsidR="00B47C39" w:rsidRPr="00B47C39">
        <w:rPr>
          <w:rFonts w:eastAsia="Calibri" w:cs="Arial"/>
          <w:kern w:val="2"/>
          <w:lang w:val="nl-BE" w:eastAsia="en-US"/>
          <w14:ligatures w14:val="standardContextual"/>
        </w:rPr>
        <w:t>1</w:t>
      </w:r>
      <w:r w:rsidRPr="00B47C39">
        <w:rPr>
          <w:rFonts w:eastAsia="Calibri" w:cs="Arial"/>
          <w:kern w:val="2"/>
          <w:lang w:val="nl-BE" w:eastAsia="en-US"/>
          <w14:ligatures w14:val="standardContextual"/>
        </w:rPr>
        <w:t xml:space="preserve">, zijn van toepassing op de selecties in het kader van een </w:t>
      </w:r>
      <w:r w:rsidR="00551B39">
        <w:rPr>
          <w:rFonts w:eastAsia="Calibri" w:cs="Arial"/>
          <w:kern w:val="2"/>
          <w:lang w:val="nl-BE" w:eastAsia="en-US"/>
          <w14:ligatures w14:val="standardContextual"/>
        </w:rPr>
        <w:t>procedure interne mobiliteit</w:t>
      </w:r>
      <w:r w:rsidRPr="00B47C39">
        <w:rPr>
          <w:rFonts w:eastAsia="Calibri" w:cs="Arial"/>
          <w:kern w:val="2"/>
          <w:lang w:val="nl-BE" w:eastAsia="en-US"/>
          <w14:ligatures w14:val="standardContextual"/>
        </w:rPr>
        <w:t xml:space="preserve"> met uitzondering van de tussentijdse wervingsreserve.</w:t>
      </w:r>
    </w:p>
    <w:p w14:paraId="7A2FA2F9" w14:textId="23081278" w:rsidR="00010F7D" w:rsidRPr="00037A46" w:rsidRDefault="00010F7D" w:rsidP="00010F7D">
      <w:pPr>
        <w:pStyle w:val="Kop3"/>
      </w:pPr>
      <w:bookmarkStart w:id="114" w:name="_Toc215738976"/>
      <w:r w:rsidRPr="00037A46">
        <w:t>Afdeling 6. administratieve anciënniteit en andere arbeidsvoorwaarden</w:t>
      </w:r>
      <w:bookmarkEnd w:id="114"/>
    </w:p>
    <w:p w14:paraId="58E8A354" w14:textId="1D4B5CCF" w:rsidR="003320AD" w:rsidRDefault="003320AD" w:rsidP="003320AD">
      <w:pPr>
        <w:spacing w:before="0" w:after="160" w:line="259" w:lineRule="auto"/>
        <w:ind w:left="0"/>
        <w:jc w:val="left"/>
        <w:rPr>
          <w:rFonts w:eastAsia="Calibri" w:cs="Arial"/>
          <w:kern w:val="2"/>
          <w:lang w:val="nl-BE" w:eastAsia="en-US"/>
          <w14:ligatures w14:val="standardContextual"/>
        </w:rPr>
      </w:pPr>
    </w:p>
    <w:p w14:paraId="2598E9FE" w14:textId="08AB90AA" w:rsidR="00472ADB" w:rsidRPr="00472ADB" w:rsidRDefault="00472ADB" w:rsidP="003320AD">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w:t>
      </w:r>
      <w:r w:rsidR="00661F4E" w:rsidRPr="00FC3C9E">
        <w:rPr>
          <w:rFonts w:eastAsia="Calibri" w:cs="Arial"/>
          <w:b/>
          <w:bCs/>
          <w:kern w:val="2"/>
          <w:lang w:val="nl-BE" w:eastAsia="en-US"/>
          <w14:ligatures w14:val="standardContextual"/>
        </w:rPr>
        <w:t xml:space="preserve"> </w:t>
      </w:r>
      <w:r w:rsidR="009D47D0" w:rsidRPr="00FC3C9E">
        <w:rPr>
          <w:rFonts w:eastAsia="Calibri" w:cs="Arial"/>
          <w:b/>
          <w:bCs/>
          <w:kern w:val="2"/>
          <w:lang w:val="nl-BE" w:eastAsia="en-US"/>
          <w14:ligatures w14:val="standardContextual"/>
        </w:rPr>
        <w:t>6</w:t>
      </w:r>
      <w:r w:rsidR="008C18B6" w:rsidRPr="00FC3C9E">
        <w:rPr>
          <w:rFonts w:eastAsia="Calibri" w:cs="Arial"/>
          <w:b/>
          <w:bCs/>
          <w:kern w:val="2"/>
          <w:lang w:val="nl-BE" w:eastAsia="en-US"/>
          <w14:ligatures w14:val="standardContextual"/>
        </w:rPr>
        <w:t>2</w:t>
      </w:r>
    </w:p>
    <w:p w14:paraId="1AF50FA2" w14:textId="0C78541F" w:rsidR="005A1B5E" w:rsidRPr="00472ADB" w:rsidRDefault="005A1B5E" w:rsidP="005A1B5E">
      <w:pPr>
        <w:spacing w:before="0" w:after="160" w:line="259" w:lineRule="auto"/>
        <w:ind w:left="0"/>
        <w:jc w:val="left"/>
        <w:rPr>
          <w:rFonts w:eastAsia="Calibri" w:cs="Arial"/>
          <w:kern w:val="2"/>
          <w:lang w:val="nl-BE" w:eastAsia="en-US"/>
          <w14:ligatures w14:val="standardContextual"/>
        </w:rPr>
      </w:pPr>
      <w:r w:rsidRPr="00472ADB">
        <w:rPr>
          <w:rFonts w:eastAsia="Calibri" w:cs="Arial"/>
          <w:kern w:val="2"/>
          <w:lang w:val="nl-BE" w:eastAsia="en-US"/>
          <w14:ligatures w14:val="standardContextual"/>
        </w:rPr>
        <w:t xml:space="preserve">Het </w:t>
      </w:r>
      <w:proofErr w:type="spellStart"/>
      <w:r w:rsidRPr="00472ADB">
        <w:rPr>
          <w:rFonts w:eastAsia="Calibri" w:cs="Arial"/>
          <w:kern w:val="2"/>
          <w:lang w:val="nl-BE" w:eastAsia="en-US"/>
          <w14:ligatures w14:val="standardContextual"/>
        </w:rPr>
        <w:t>heraangestelde</w:t>
      </w:r>
      <w:proofErr w:type="spellEnd"/>
      <w:r w:rsidRPr="00472ADB">
        <w:rPr>
          <w:rFonts w:eastAsia="Calibri" w:cs="Arial"/>
          <w:kern w:val="2"/>
          <w:lang w:val="nl-BE" w:eastAsia="en-US"/>
          <w14:ligatures w14:val="standardContextual"/>
        </w:rPr>
        <w:t xml:space="preserve"> personeelslid ontvangt het salaris dat verbonden is aan die graad, rekening houdende met volgende modaliteiten:</w:t>
      </w:r>
    </w:p>
    <w:p w14:paraId="4665768C" w14:textId="77777777" w:rsidR="005A1B5E" w:rsidRPr="00472ADB" w:rsidRDefault="005A1B5E" w:rsidP="005A1B5E">
      <w:pPr>
        <w:spacing w:before="0" w:after="160" w:line="259" w:lineRule="auto"/>
        <w:ind w:left="0"/>
        <w:jc w:val="left"/>
        <w:rPr>
          <w:rFonts w:eastAsia="Calibri" w:cs="Arial"/>
          <w:kern w:val="2"/>
          <w:lang w:val="nl-BE" w:eastAsia="en-US"/>
          <w14:ligatures w14:val="standardContextual"/>
        </w:rPr>
      </w:pPr>
      <w:r w:rsidRPr="00472ADB">
        <w:rPr>
          <w:rFonts w:eastAsia="Calibri" w:cs="Arial"/>
          <w:kern w:val="2"/>
          <w:lang w:val="nl-BE" w:eastAsia="en-US"/>
          <w14:ligatures w14:val="standardContextual"/>
        </w:rPr>
        <w:t>1.</w:t>
      </w:r>
      <w:r w:rsidRPr="00472ADB">
        <w:rPr>
          <w:rFonts w:eastAsia="Calibri" w:cs="Arial"/>
          <w:kern w:val="2"/>
          <w:lang w:val="nl-BE" w:eastAsia="en-US"/>
          <w14:ligatures w14:val="standardContextual"/>
        </w:rPr>
        <w:tab/>
        <w:t xml:space="preserve">Het personeelslid behoudt na de </w:t>
      </w:r>
      <w:proofErr w:type="spellStart"/>
      <w:r w:rsidRPr="00472ADB">
        <w:rPr>
          <w:rFonts w:eastAsia="Calibri" w:cs="Arial"/>
          <w:kern w:val="2"/>
          <w:lang w:val="nl-BE" w:eastAsia="en-US"/>
          <w14:ligatures w14:val="standardContextual"/>
        </w:rPr>
        <w:t>heraanstelling</w:t>
      </w:r>
      <w:proofErr w:type="spellEnd"/>
      <w:r w:rsidRPr="00472ADB">
        <w:rPr>
          <w:rFonts w:eastAsia="Calibri" w:cs="Arial"/>
          <w:kern w:val="2"/>
          <w:lang w:val="nl-BE" w:eastAsia="en-US"/>
          <w14:ligatures w14:val="standardContextual"/>
        </w:rPr>
        <w:t xml:space="preserve"> in een functie die tot dezelfde graad behoort, de salarisschaal en de schaalanciënniteit die het verworven had in de functionele loopbaan van zijn vorige functie.</w:t>
      </w:r>
    </w:p>
    <w:p w14:paraId="500F8FD0" w14:textId="77777777" w:rsidR="006E2EBC" w:rsidRDefault="005A1B5E" w:rsidP="005A1B5E">
      <w:pPr>
        <w:spacing w:before="0" w:after="160" w:line="259" w:lineRule="auto"/>
        <w:ind w:left="0"/>
        <w:jc w:val="left"/>
        <w:rPr>
          <w:rFonts w:eastAsia="Calibri" w:cs="Arial"/>
          <w:kern w:val="2"/>
          <w:lang w:val="nl-BE" w:eastAsia="en-US"/>
          <w14:ligatures w14:val="standardContextual"/>
        </w:rPr>
      </w:pPr>
      <w:r w:rsidRPr="00472ADB">
        <w:rPr>
          <w:rFonts w:eastAsia="Calibri" w:cs="Arial"/>
          <w:kern w:val="2"/>
          <w:lang w:val="nl-BE" w:eastAsia="en-US"/>
          <w14:ligatures w14:val="standardContextual"/>
        </w:rPr>
        <w:t>2.</w:t>
      </w:r>
      <w:r w:rsidRPr="00472ADB">
        <w:rPr>
          <w:rFonts w:eastAsia="Calibri" w:cs="Arial"/>
          <w:kern w:val="2"/>
          <w:lang w:val="nl-BE" w:eastAsia="en-US"/>
          <w14:ligatures w14:val="standardContextual"/>
        </w:rPr>
        <w:tab/>
        <w:t xml:space="preserve">Het personeelslid dat </w:t>
      </w:r>
      <w:proofErr w:type="spellStart"/>
      <w:r w:rsidRPr="00472ADB">
        <w:rPr>
          <w:rFonts w:eastAsia="Calibri" w:cs="Arial"/>
          <w:kern w:val="2"/>
          <w:lang w:val="nl-BE" w:eastAsia="en-US"/>
          <w14:ligatures w14:val="standardContextual"/>
        </w:rPr>
        <w:t>heraangesteld</w:t>
      </w:r>
      <w:proofErr w:type="spellEnd"/>
      <w:r w:rsidRPr="00472ADB">
        <w:rPr>
          <w:rFonts w:eastAsia="Calibri" w:cs="Arial"/>
          <w:kern w:val="2"/>
          <w:lang w:val="nl-BE" w:eastAsia="en-US"/>
          <w14:ligatures w14:val="standardContextual"/>
        </w:rPr>
        <w:t xml:space="preserve"> wordt in een functie van een lagere graad waarmee een andere functionele loopbaan met andere salarisschalen verbonden is, behoudt zijn schaalanciënniteit en wordt met die schaalanciënniteit ingeschaald in de overeenstemmende salarisschaal van de nieuwe functionele loopbaan.</w:t>
      </w:r>
      <w:r w:rsidRPr="005A1B5E">
        <w:rPr>
          <w:rFonts w:eastAsia="Calibri" w:cs="Arial"/>
          <w:kern w:val="2"/>
          <w:lang w:val="nl-BE" w:eastAsia="en-US"/>
          <w14:ligatures w14:val="standardContextual"/>
        </w:rPr>
        <w:t xml:space="preserve">  </w:t>
      </w:r>
    </w:p>
    <w:p w14:paraId="2FD7AD33" w14:textId="589460E4" w:rsidR="00687987" w:rsidRPr="00037A46" w:rsidRDefault="00687987" w:rsidP="00B44CF7">
      <w:pPr>
        <w:pStyle w:val="Kop2"/>
      </w:pPr>
      <w:bookmarkStart w:id="115" w:name="_Toc215738977"/>
      <w:r w:rsidRPr="00037A46">
        <w:t>Hoofdstuk xi. externe mobiliteit</w:t>
      </w:r>
      <w:bookmarkStart w:id="116" w:name="_Toc110948160"/>
      <w:bookmarkEnd w:id="115"/>
    </w:p>
    <w:p w14:paraId="49C07B82" w14:textId="0CC2A029" w:rsidR="00206B63" w:rsidRPr="00037A46" w:rsidRDefault="00206B63" w:rsidP="00206B63">
      <w:pPr>
        <w:spacing w:before="0" w:after="160" w:line="259" w:lineRule="auto"/>
        <w:ind w:left="0"/>
        <w:jc w:val="left"/>
        <w:rPr>
          <w:rFonts w:eastAsia="Calibri" w:cs="Arial"/>
          <w:b/>
          <w:bCs/>
          <w:kern w:val="2"/>
          <w:lang w:val="nl-BE" w:eastAsia="en-US"/>
          <w14:ligatures w14:val="standardContextual"/>
        </w:rPr>
      </w:pPr>
      <w:bookmarkStart w:id="117" w:name="_Toc110948164"/>
      <w:bookmarkEnd w:id="116"/>
      <w:r w:rsidRPr="00FC3C9E">
        <w:rPr>
          <w:rFonts w:eastAsia="Calibri" w:cs="Arial"/>
          <w:b/>
          <w:bCs/>
          <w:kern w:val="2"/>
          <w:lang w:val="nl-BE" w:eastAsia="en-US"/>
          <w14:ligatures w14:val="standardContextual"/>
        </w:rPr>
        <w:t>Art</w:t>
      </w:r>
      <w:r w:rsidR="00687987" w:rsidRPr="00FC3C9E">
        <w:rPr>
          <w:rFonts w:eastAsia="Calibri" w:cs="Arial"/>
          <w:b/>
          <w:bCs/>
          <w:kern w:val="2"/>
          <w:lang w:val="nl-BE" w:eastAsia="en-US"/>
          <w14:ligatures w14:val="standardContextual"/>
        </w:rPr>
        <w:t>ikel</w:t>
      </w:r>
      <w:r w:rsidR="00661F4E" w:rsidRPr="00FC3C9E">
        <w:rPr>
          <w:rFonts w:eastAsia="Calibri" w:cs="Arial"/>
          <w:b/>
          <w:bCs/>
          <w:kern w:val="2"/>
          <w:lang w:val="nl-BE" w:eastAsia="en-US"/>
          <w14:ligatures w14:val="standardContextual"/>
        </w:rPr>
        <w:t xml:space="preserve"> </w:t>
      </w:r>
      <w:r w:rsidR="009D47D0" w:rsidRPr="00FC3C9E">
        <w:rPr>
          <w:rFonts w:eastAsia="Calibri" w:cs="Arial"/>
          <w:b/>
          <w:bCs/>
          <w:kern w:val="2"/>
          <w:lang w:val="nl-BE" w:eastAsia="en-US"/>
          <w14:ligatures w14:val="standardContextual"/>
        </w:rPr>
        <w:t>6</w:t>
      </w:r>
      <w:r w:rsidR="008C18B6" w:rsidRPr="00FC3C9E">
        <w:rPr>
          <w:rFonts w:eastAsia="Calibri" w:cs="Arial"/>
          <w:b/>
          <w:bCs/>
          <w:kern w:val="2"/>
          <w:lang w:val="nl-BE" w:eastAsia="en-US"/>
          <w14:ligatures w14:val="standardContextual"/>
        </w:rPr>
        <w:t>3</w:t>
      </w:r>
    </w:p>
    <w:p w14:paraId="32773384" w14:textId="77777777" w:rsidR="00F647A3" w:rsidRDefault="00206B63" w:rsidP="00206B63">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In dit artikel wordt verstaan onder externe personeelsmobiliteit: </w:t>
      </w:r>
      <w:r w:rsidR="00F647A3" w:rsidRPr="00F647A3">
        <w:rPr>
          <w:rFonts w:eastAsia="Calibri" w:cs="Arial"/>
          <w:kern w:val="2"/>
          <w:lang w:val="nl-BE" w:eastAsia="en-US"/>
          <w14:ligatures w14:val="standardContextual"/>
        </w:rPr>
        <w:t>de procedure waarbij personeelsleden van andere lokale en provinciale overheden, die niet hetzelfde werkingsgebied hebben, en van de diensten van de Vlaamse of federale overheid zich kandidaat stellen voor deelname aan de procedure van interne personeelsmobiliteit of voor deelname aan een bevorderingsprocedure.</w:t>
      </w:r>
    </w:p>
    <w:p w14:paraId="2EE1C470" w14:textId="77777777" w:rsidR="00010F7D" w:rsidRPr="00037A46" w:rsidRDefault="00010F7D" w:rsidP="00010F7D">
      <w:pPr>
        <w:pStyle w:val="Kop3"/>
      </w:pPr>
      <w:bookmarkStart w:id="118" w:name="_Toc215738978"/>
      <w:r w:rsidRPr="00037A46">
        <w:lastRenderedPageBreak/>
        <w:t>Afdeling 1. toepassingsgebied</w:t>
      </w:r>
      <w:bookmarkEnd w:id="118"/>
    </w:p>
    <w:p w14:paraId="09871B6C" w14:textId="77777777" w:rsidR="00206B63" w:rsidRDefault="00206B63" w:rsidP="00206B63">
      <w:pPr>
        <w:spacing w:before="0" w:after="160" w:line="259" w:lineRule="auto"/>
        <w:ind w:left="0"/>
        <w:jc w:val="left"/>
        <w:rPr>
          <w:rFonts w:eastAsia="Calibri" w:cs="Arial"/>
          <w:kern w:val="2"/>
          <w:lang w:val="nl-BE" w:eastAsia="en-US"/>
          <w14:ligatures w14:val="standardContextual"/>
        </w:rPr>
      </w:pPr>
    </w:p>
    <w:p w14:paraId="398ED860" w14:textId="50C273E4" w:rsidR="004E660A" w:rsidRPr="00FC3C9E" w:rsidRDefault="004E660A" w:rsidP="00206B63">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 6</w:t>
      </w:r>
      <w:r w:rsidR="008C18B6" w:rsidRPr="00FC3C9E">
        <w:rPr>
          <w:rFonts w:eastAsia="Calibri" w:cs="Arial"/>
          <w:b/>
          <w:bCs/>
          <w:kern w:val="2"/>
          <w:lang w:val="nl-BE" w:eastAsia="en-US"/>
          <w14:ligatures w14:val="standardContextual"/>
        </w:rPr>
        <w:t>4</w:t>
      </w:r>
    </w:p>
    <w:p w14:paraId="1CD968EE" w14:textId="1A579B30" w:rsidR="00206B63" w:rsidRPr="00037A46" w:rsidRDefault="00206B63" w:rsidP="00206B63">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 xml:space="preserve">Alleen de personeelsleden van de overheden, vermeld in </w:t>
      </w:r>
      <w:r w:rsidR="005F7B02" w:rsidRPr="00FC3C9E">
        <w:rPr>
          <w:rFonts w:eastAsia="Calibri" w:cs="Arial"/>
          <w:kern w:val="2"/>
          <w:lang w:val="nl-BE" w:eastAsia="en-US"/>
          <w14:ligatures w14:val="standardContextual"/>
        </w:rPr>
        <w:t xml:space="preserve">artikel </w:t>
      </w:r>
      <w:r w:rsidR="00A807EB" w:rsidRPr="00FC3C9E">
        <w:rPr>
          <w:rFonts w:eastAsia="Calibri" w:cs="Arial"/>
          <w:kern w:val="2"/>
          <w:lang w:val="nl-BE" w:eastAsia="en-US"/>
          <w14:ligatures w14:val="standardContextual"/>
        </w:rPr>
        <w:t>63</w:t>
      </w:r>
      <w:r w:rsidRPr="00FC3C9E">
        <w:rPr>
          <w:rFonts w:eastAsia="Calibri" w:cs="Arial"/>
          <w:kern w:val="2"/>
          <w:lang w:val="nl-BE" w:eastAsia="en-US"/>
          <w14:ligatures w14:val="standardContextual"/>
        </w:rPr>
        <w:t>, die in hun</w:t>
      </w:r>
      <w:r w:rsidRPr="00037A46">
        <w:rPr>
          <w:rFonts w:eastAsia="Calibri" w:cs="Arial"/>
          <w:kern w:val="2"/>
          <w:lang w:val="nl-BE" w:eastAsia="en-US"/>
          <w14:ligatures w14:val="standardContextual"/>
        </w:rPr>
        <w:t xml:space="preserve"> bestuur zijn aangesteld na een selectieprocedure als </w:t>
      </w:r>
      <w:r w:rsidRPr="00D06F81">
        <w:rPr>
          <w:rFonts w:eastAsia="Calibri" w:cs="Arial"/>
          <w:kern w:val="2"/>
          <w:lang w:val="nl-BE" w:eastAsia="en-US"/>
          <w14:ligatures w14:val="standardContextual"/>
        </w:rPr>
        <w:t xml:space="preserve">vermeld in artikel </w:t>
      </w:r>
      <w:r w:rsidR="000E192D">
        <w:rPr>
          <w:rFonts w:eastAsia="Calibri" w:cs="Arial"/>
          <w:kern w:val="2"/>
          <w:lang w:val="nl-BE" w:eastAsia="en-US"/>
          <w14:ligatures w14:val="standardContextual"/>
        </w:rPr>
        <w:t>11</w:t>
      </w:r>
      <w:r w:rsidRPr="00D06F81">
        <w:rPr>
          <w:rFonts w:eastAsia="Calibri" w:cs="Arial"/>
          <w:kern w:val="2"/>
          <w:lang w:val="nl-BE" w:eastAsia="en-US"/>
          <w14:ligatures w14:val="standardContextual"/>
        </w:rPr>
        <w:t xml:space="preserve"> en</w:t>
      </w:r>
      <w:r w:rsidRPr="00037A46">
        <w:rPr>
          <w:rFonts w:eastAsia="Calibri" w:cs="Arial"/>
          <w:kern w:val="2"/>
          <w:lang w:val="nl-BE" w:eastAsia="en-US"/>
          <w14:ligatures w14:val="standardContextual"/>
        </w:rPr>
        <w:t xml:space="preserve"> die voldoen aan de voorwaarden, vermeld </w:t>
      </w:r>
      <w:r w:rsidRPr="000D5FEE">
        <w:rPr>
          <w:rFonts w:eastAsia="Calibri" w:cs="Arial"/>
          <w:kern w:val="2"/>
          <w:lang w:val="nl-BE" w:eastAsia="en-US"/>
          <w14:ligatures w14:val="standardContextual"/>
        </w:rPr>
        <w:t>in artike</w:t>
      </w:r>
      <w:r w:rsidR="000D5FEE" w:rsidRPr="000D5FEE">
        <w:rPr>
          <w:rFonts w:eastAsia="Calibri" w:cs="Arial"/>
          <w:kern w:val="2"/>
          <w:lang w:val="nl-BE" w:eastAsia="en-US"/>
          <w14:ligatures w14:val="standardContextual"/>
        </w:rPr>
        <w:t>ls 5 en</w:t>
      </w:r>
      <w:r w:rsidR="000D5FEE">
        <w:rPr>
          <w:rFonts w:eastAsia="Calibri" w:cs="Arial"/>
          <w:kern w:val="2"/>
          <w:lang w:val="nl-BE" w:eastAsia="en-US"/>
          <w14:ligatures w14:val="standardContextual"/>
        </w:rPr>
        <w:t xml:space="preserve"> 6</w:t>
      </w:r>
      <w:r w:rsidRPr="00037A46">
        <w:rPr>
          <w:rFonts w:eastAsia="Calibri" w:cs="Arial"/>
          <w:kern w:val="2"/>
          <w:lang w:val="nl-BE" w:eastAsia="en-US"/>
          <w14:ligatures w14:val="standardContextual"/>
        </w:rPr>
        <w:t xml:space="preserve">, kunnen zich kandidaat stellen voor een procedure van externe personeelsmobiliteit. </w:t>
      </w:r>
    </w:p>
    <w:p w14:paraId="5B9B3645" w14:textId="77777777" w:rsidR="00206B63" w:rsidRPr="00037A46" w:rsidRDefault="00206B63" w:rsidP="00206B63">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algemeen directeur en de financieel directeur van de gemeente komen niet in aanmerking voor een procedure van externe personeelsmobiliteit. </w:t>
      </w:r>
    </w:p>
    <w:p w14:paraId="7439A7DE" w14:textId="77777777" w:rsidR="00010F7D" w:rsidRPr="00037A46" w:rsidRDefault="00010F7D" w:rsidP="00010F7D">
      <w:pPr>
        <w:pStyle w:val="Kop3"/>
      </w:pPr>
      <w:bookmarkStart w:id="119" w:name="_Toc215738979"/>
      <w:r w:rsidRPr="00037A46">
        <w:t>Afdeling 2. algemene toelatings- en aanwervingsvoorwaarden</w:t>
      </w:r>
      <w:bookmarkEnd w:id="119"/>
    </w:p>
    <w:p w14:paraId="6C7DDDAA" w14:textId="77777777" w:rsidR="00206B63" w:rsidRDefault="00206B63" w:rsidP="00206B63">
      <w:pPr>
        <w:spacing w:before="0" w:after="160" w:line="259" w:lineRule="auto"/>
        <w:ind w:left="0"/>
        <w:jc w:val="left"/>
        <w:rPr>
          <w:rFonts w:eastAsia="Calibri" w:cs="Arial"/>
          <w:kern w:val="2"/>
          <w:lang w:val="nl-BE" w:eastAsia="en-US"/>
          <w14:ligatures w14:val="standardContextual"/>
        </w:rPr>
      </w:pPr>
    </w:p>
    <w:p w14:paraId="0E5F77B3" w14:textId="3C8E17F7" w:rsidR="004E660A" w:rsidRPr="00BD0ED5" w:rsidRDefault="004E660A" w:rsidP="00206B63">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 6</w:t>
      </w:r>
      <w:r w:rsidR="008C18B6" w:rsidRPr="00FC3C9E">
        <w:rPr>
          <w:rFonts w:eastAsia="Calibri" w:cs="Arial"/>
          <w:b/>
          <w:bCs/>
          <w:kern w:val="2"/>
          <w:lang w:val="nl-BE" w:eastAsia="en-US"/>
          <w14:ligatures w14:val="standardContextual"/>
        </w:rPr>
        <w:t>5</w:t>
      </w:r>
    </w:p>
    <w:p w14:paraId="29A4C591" w14:textId="5313B20B" w:rsidR="00206B63" w:rsidRPr="00037A46" w:rsidRDefault="00206B63" w:rsidP="00206B63">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kandidaten voldoen aan de volgende voorwaarden:</w:t>
      </w:r>
    </w:p>
    <w:p w14:paraId="313C1DF3" w14:textId="77777777" w:rsidR="00206B63" w:rsidRPr="00037A46" w:rsidRDefault="00206B63" w:rsidP="00206B63">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1° ze beantwoorden aan de competentievereisten die vastgesteld zijn in de functiebeschrijving voor de functie; </w:t>
      </w:r>
    </w:p>
    <w:p w14:paraId="6A55B7AF" w14:textId="77777777" w:rsidR="00206B63" w:rsidRPr="00037A46" w:rsidRDefault="00206B63" w:rsidP="00206B63">
      <w:pPr>
        <w:spacing w:before="0" w:after="160" w:line="259" w:lineRule="auto"/>
        <w:ind w:left="0"/>
        <w:jc w:val="left"/>
        <w:rPr>
          <w:rFonts w:eastAsia="Calibri" w:cs="Arial"/>
          <w:kern w:val="2"/>
          <w:lang w:val="nl-BE" w:eastAsia="en-US"/>
          <w14:ligatures w14:val="standardContextual"/>
        </w:rPr>
      </w:pPr>
      <w:r w:rsidRPr="003F2758">
        <w:rPr>
          <w:rFonts w:eastAsia="Calibri" w:cs="Arial"/>
          <w:kern w:val="2"/>
          <w:lang w:val="nl-BE" w:eastAsia="en-US"/>
          <w14:ligatures w14:val="standardContextual"/>
        </w:rPr>
        <w:t>2° ze vervullen de eventuele diplomavereiste voor de functie;</w:t>
      </w:r>
      <w:r w:rsidRPr="00037A46">
        <w:rPr>
          <w:rFonts w:eastAsia="Calibri" w:cs="Arial"/>
          <w:kern w:val="2"/>
          <w:lang w:val="nl-BE" w:eastAsia="en-US"/>
          <w14:ligatures w14:val="standardContextual"/>
        </w:rPr>
        <w:t xml:space="preserve"> </w:t>
      </w:r>
    </w:p>
    <w:p w14:paraId="7574AE8E" w14:textId="60D0716A" w:rsidR="00206B63" w:rsidRPr="00037A46" w:rsidRDefault="00206B63" w:rsidP="00206B63">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3° ze zijn in het bestuur aangesteld na een externe </w:t>
      </w:r>
      <w:r w:rsidRPr="000D5FEE">
        <w:rPr>
          <w:rFonts w:eastAsia="Calibri" w:cs="Arial"/>
          <w:kern w:val="2"/>
          <w:lang w:val="nl-BE" w:eastAsia="en-US"/>
          <w14:ligatures w14:val="standardContextual"/>
        </w:rPr>
        <w:t xml:space="preserve">bekendmaking als vermeld in artikel </w:t>
      </w:r>
      <w:r w:rsidR="000D5FEE" w:rsidRPr="000D5FEE">
        <w:rPr>
          <w:rFonts w:eastAsia="Calibri" w:cs="Arial"/>
          <w:kern w:val="2"/>
          <w:lang w:val="nl-BE" w:eastAsia="en-US"/>
          <w14:ligatures w14:val="standardContextual"/>
        </w:rPr>
        <w:t>11</w:t>
      </w:r>
      <w:r w:rsidRPr="000D5FEE">
        <w:rPr>
          <w:rFonts w:eastAsia="Calibri" w:cs="Arial"/>
          <w:kern w:val="2"/>
          <w:lang w:val="nl-BE" w:eastAsia="en-US"/>
          <w14:ligatures w14:val="standardContextual"/>
        </w:rPr>
        <w:t xml:space="preserve"> en voldoen aan de voorwaarden zoals opgenomen in art</w:t>
      </w:r>
      <w:r w:rsidR="002B6DBC" w:rsidRPr="000D5FEE">
        <w:rPr>
          <w:rFonts w:eastAsia="Calibri" w:cs="Arial"/>
          <w:kern w:val="2"/>
          <w:lang w:val="nl-BE" w:eastAsia="en-US"/>
          <w14:ligatures w14:val="standardContextual"/>
        </w:rPr>
        <w:t>ikel</w:t>
      </w:r>
      <w:r w:rsidRPr="000D5FEE">
        <w:rPr>
          <w:rFonts w:eastAsia="Calibri" w:cs="Arial"/>
          <w:kern w:val="2"/>
          <w:lang w:val="nl-BE" w:eastAsia="en-US"/>
          <w14:ligatures w14:val="standardContextual"/>
        </w:rPr>
        <w:t xml:space="preserve"> 5 en art</w:t>
      </w:r>
      <w:r w:rsidR="002B6DBC" w:rsidRPr="000D5FEE">
        <w:rPr>
          <w:rFonts w:eastAsia="Calibri" w:cs="Arial"/>
          <w:kern w:val="2"/>
          <w:lang w:val="nl-BE" w:eastAsia="en-US"/>
          <w14:ligatures w14:val="standardContextual"/>
        </w:rPr>
        <w:t>ikel</w:t>
      </w:r>
      <w:r w:rsidRPr="000D5FEE">
        <w:rPr>
          <w:rFonts w:eastAsia="Calibri" w:cs="Arial"/>
          <w:kern w:val="2"/>
          <w:lang w:val="nl-BE" w:eastAsia="en-US"/>
          <w14:ligatures w14:val="standardContextual"/>
        </w:rPr>
        <w:t xml:space="preserve"> 6.</w:t>
      </w:r>
    </w:p>
    <w:p w14:paraId="185972B4" w14:textId="77777777" w:rsidR="00206B63" w:rsidRPr="00037A46" w:rsidRDefault="00206B63" w:rsidP="00206B63">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aanstellende overheid beoordeelt de geldigheid van de ingediende kandidaturen en de voorgelegde bewijzen.</w:t>
      </w:r>
    </w:p>
    <w:p w14:paraId="3A921345" w14:textId="77777777" w:rsidR="00206B63" w:rsidRPr="00037A46" w:rsidRDefault="00206B63" w:rsidP="00206B63">
      <w:pPr>
        <w:ind w:left="0"/>
        <w:rPr>
          <w:rFonts w:cs="Arial"/>
        </w:rPr>
      </w:pPr>
      <w:r w:rsidRPr="00037A46">
        <w:rPr>
          <w:rFonts w:eastAsia="Calibri" w:cs="Arial"/>
          <w:kern w:val="2"/>
          <w:lang w:val="nl-BE" w:eastAsia="en-US"/>
          <w14:ligatures w14:val="standardContextual"/>
        </w:rPr>
        <w:t>Alleen kandidaten die voldoen aan de voorwaarden, worden toegelaten tot de selectieprocedure. Voor de aanvang van de selectieprocedure worden de kandidaten die niet tot de selectieprocedure worden toegelaten er schriftelijk van op de hoogte gebracht met vermelding van de reden tot weigering.</w:t>
      </w:r>
    </w:p>
    <w:p w14:paraId="6128405C" w14:textId="542275F5" w:rsidR="00010F7D" w:rsidRDefault="00010F7D" w:rsidP="005A156F">
      <w:pPr>
        <w:pStyle w:val="Kop3"/>
      </w:pPr>
      <w:bookmarkStart w:id="120" w:name="_Hlk146717949"/>
      <w:bookmarkStart w:id="121" w:name="_Toc215738980"/>
      <w:r w:rsidRPr="00037A46">
        <w:t>Afdeling 3. wijze van bekendmaking</w:t>
      </w:r>
      <w:bookmarkEnd w:id="120"/>
      <w:bookmarkEnd w:id="121"/>
    </w:p>
    <w:p w14:paraId="618D0E59" w14:textId="77777777" w:rsidR="005A156F" w:rsidRPr="005A156F" w:rsidRDefault="005A156F" w:rsidP="005A156F">
      <w:pPr>
        <w:rPr>
          <w:rFonts w:eastAsia="Calibri"/>
        </w:rPr>
      </w:pPr>
    </w:p>
    <w:p w14:paraId="49BD4CC1" w14:textId="7AEFF4DE" w:rsidR="004E660A" w:rsidRPr="00FC3C9E" w:rsidRDefault="004E660A" w:rsidP="00206B63">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 6</w:t>
      </w:r>
      <w:r w:rsidR="008C18B6" w:rsidRPr="00FC3C9E">
        <w:rPr>
          <w:rFonts w:eastAsia="Calibri" w:cs="Arial"/>
          <w:b/>
          <w:bCs/>
          <w:kern w:val="2"/>
          <w:lang w:val="nl-BE" w:eastAsia="en-US"/>
          <w14:ligatures w14:val="standardContextual"/>
        </w:rPr>
        <w:t>6</w:t>
      </w:r>
    </w:p>
    <w:p w14:paraId="1563EA3B" w14:textId="00FC1117" w:rsidR="00206B63" w:rsidRPr="00037A46" w:rsidRDefault="00206B63" w:rsidP="00206B63">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Elke functie die wordt ingevuld</w:t>
      </w:r>
      <w:r w:rsidRPr="00037A46">
        <w:rPr>
          <w:rFonts w:eastAsia="Calibri" w:cs="Arial"/>
          <w:kern w:val="2"/>
          <w:lang w:val="nl-BE" w:eastAsia="en-US"/>
          <w14:ligatures w14:val="standardContextual"/>
        </w:rPr>
        <w:t xml:space="preserve"> via externe mobiliteit wordt extern bekendgemaakt met een oproep tot kandidaten. </w:t>
      </w:r>
    </w:p>
    <w:p w14:paraId="351D9D05" w14:textId="3CA8A167" w:rsidR="00206B63" w:rsidRPr="00037A46" w:rsidRDefault="00206B63" w:rsidP="00206B63">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vacatures worden ten minste in één communicatiekanaal, zoals een sociaal </w:t>
      </w:r>
      <w:r w:rsidR="000B17AD" w:rsidRPr="00037A46">
        <w:rPr>
          <w:rFonts w:eastAsia="Calibri" w:cs="Arial"/>
          <w:kern w:val="2"/>
          <w:lang w:val="nl-BE" w:eastAsia="en-US"/>
          <w14:ligatures w14:val="standardContextual"/>
        </w:rPr>
        <w:t>mediakanaal</w:t>
      </w:r>
      <w:r w:rsidRPr="00037A46">
        <w:rPr>
          <w:rFonts w:eastAsia="Calibri" w:cs="Arial"/>
          <w:kern w:val="2"/>
          <w:lang w:val="nl-BE" w:eastAsia="en-US"/>
          <w14:ligatures w14:val="standardContextual"/>
        </w:rPr>
        <w:t xml:space="preserve"> of online wervingskanaal, bekendgemaakt, waarbij de volgende informatie op de webpagina van het bestuur ter beschikking wordt gesteld van de kandidaten: </w:t>
      </w:r>
    </w:p>
    <w:p w14:paraId="4C1D9C83" w14:textId="77777777" w:rsidR="00206B63" w:rsidRPr="00037A46" w:rsidRDefault="00206B63" w:rsidP="009D4C40">
      <w:pPr>
        <w:numPr>
          <w:ilvl w:val="0"/>
          <w:numId w:val="7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naam van de betrekking, </w:t>
      </w:r>
    </w:p>
    <w:p w14:paraId="270A234F" w14:textId="77777777" w:rsidR="00206B63" w:rsidRPr="00037A46" w:rsidRDefault="00206B63" w:rsidP="009D4C40">
      <w:pPr>
        <w:numPr>
          <w:ilvl w:val="0"/>
          <w:numId w:val="7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wijze van en termijn voor de kandidaatstelling; </w:t>
      </w:r>
    </w:p>
    <w:p w14:paraId="4AF95FBF" w14:textId="77777777" w:rsidR="00206B63" w:rsidRPr="00037A46" w:rsidRDefault="00206B63" w:rsidP="009D4C40">
      <w:pPr>
        <w:numPr>
          <w:ilvl w:val="0"/>
          <w:numId w:val="7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aard (statutair dan wel in contractueel), het prestatieregime (voltijds dan wel deeltijds) en de duurtijd van de tewerkstelling;</w:t>
      </w:r>
    </w:p>
    <w:p w14:paraId="5BDAF841" w14:textId="77777777" w:rsidR="00206B63" w:rsidRPr="00037A46" w:rsidRDefault="00206B63" w:rsidP="009D4C40">
      <w:pPr>
        <w:numPr>
          <w:ilvl w:val="0"/>
          <w:numId w:val="7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functievereisten en functievoorwaarden; </w:t>
      </w:r>
    </w:p>
    <w:p w14:paraId="7A72B598" w14:textId="21772275" w:rsidR="00206B63" w:rsidRPr="00037A46" w:rsidRDefault="00206B63" w:rsidP="009D4C40">
      <w:pPr>
        <w:numPr>
          <w:ilvl w:val="0"/>
          <w:numId w:val="7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diplomavereiste of evenwaardige ervaring, </w:t>
      </w:r>
      <w:r w:rsidRPr="001B223F">
        <w:rPr>
          <w:rFonts w:eastAsia="Calibri" w:cs="Arial"/>
          <w:bCs/>
          <w:kern w:val="2"/>
          <w:lang w:val="nl-BE" w:eastAsia="en-US"/>
          <w14:ligatures w14:val="standardContextual"/>
        </w:rPr>
        <w:t xml:space="preserve">vermeld in artikel </w:t>
      </w:r>
      <w:r w:rsidR="006160C3" w:rsidRPr="001B223F">
        <w:rPr>
          <w:rFonts w:eastAsia="Calibri" w:cs="Arial"/>
          <w:bCs/>
          <w:kern w:val="2"/>
          <w:lang w:val="nl-BE" w:eastAsia="en-US"/>
          <w14:ligatures w14:val="standardContextual"/>
        </w:rPr>
        <w:t>6</w:t>
      </w:r>
      <w:r w:rsidRPr="001B223F">
        <w:rPr>
          <w:rFonts w:eastAsia="Calibri" w:cs="Arial"/>
          <w:bCs/>
          <w:kern w:val="2"/>
          <w:lang w:val="nl-BE" w:eastAsia="en-US"/>
          <w14:ligatures w14:val="standardContextual"/>
        </w:rPr>
        <w:t>, §2, eerste lid</w:t>
      </w:r>
      <w:r w:rsidRPr="00037A46">
        <w:rPr>
          <w:rFonts w:eastAsia="Calibri" w:cs="Arial"/>
          <w:kern w:val="2"/>
          <w:lang w:val="nl-BE" w:eastAsia="en-US"/>
          <w14:ligatures w14:val="standardContextual"/>
        </w:rPr>
        <w:t xml:space="preserve">; </w:t>
      </w:r>
    </w:p>
    <w:p w14:paraId="1DAD7C36" w14:textId="2C7A771D" w:rsidR="00206B63" w:rsidRPr="00037A46" w:rsidRDefault="00206B63" w:rsidP="009D4C40">
      <w:pPr>
        <w:numPr>
          <w:ilvl w:val="0"/>
          <w:numId w:val="7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aanleg van een wervingsreserve</w:t>
      </w:r>
      <w:r w:rsidR="000D5E8A">
        <w:rPr>
          <w:rFonts w:eastAsia="Calibri" w:cs="Arial"/>
          <w:kern w:val="2"/>
          <w:lang w:val="nl-BE" w:eastAsia="en-US"/>
          <w14:ligatures w14:val="standardContextual"/>
        </w:rPr>
        <w:t>;</w:t>
      </w:r>
    </w:p>
    <w:p w14:paraId="2382DDFD" w14:textId="77777777" w:rsidR="00206B63" w:rsidRPr="00037A46" w:rsidRDefault="00206B63" w:rsidP="009D4C40">
      <w:pPr>
        <w:numPr>
          <w:ilvl w:val="0"/>
          <w:numId w:val="7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wijze waarop de functie wordt ingevuld: aanwerving, bevordering, interne of externe mobiliteit, of een combinatie van voormelde procedures; </w:t>
      </w:r>
    </w:p>
    <w:p w14:paraId="6E8AF97D" w14:textId="1D334137" w:rsidR="00206B63" w:rsidRPr="00037A46" w:rsidRDefault="00206B63" w:rsidP="009D4C40">
      <w:pPr>
        <w:numPr>
          <w:ilvl w:val="0"/>
          <w:numId w:val="7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lastRenderedPageBreak/>
        <w:t>de selectieprocedure, met inbegrip van timing</w:t>
      </w:r>
      <w:r w:rsidR="000D5E8A">
        <w:rPr>
          <w:rFonts w:eastAsia="Calibri" w:cs="Arial"/>
          <w:kern w:val="2"/>
          <w:lang w:val="nl-BE" w:eastAsia="en-US"/>
          <w14:ligatures w14:val="standardContextual"/>
        </w:rPr>
        <w:t>;</w:t>
      </w:r>
    </w:p>
    <w:p w14:paraId="649234A8" w14:textId="77777777" w:rsidR="00206B63" w:rsidRPr="00037A46" w:rsidRDefault="00206B63" w:rsidP="009D4C40">
      <w:pPr>
        <w:numPr>
          <w:ilvl w:val="0"/>
          <w:numId w:val="7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in welke mate anciënniteit of ervaring geldelijk in rekening wordt gebracht</w:t>
      </w:r>
    </w:p>
    <w:p w14:paraId="57FB01CC" w14:textId="5259ABC1" w:rsidR="00206B63" w:rsidRPr="00037A46" w:rsidRDefault="00206B63" w:rsidP="009D4C40">
      <w:pPr>
        <w:numPr>
          <w:ilvl w:val="0"/>
          <w:numId w:val="7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extralegale voordelen</w:t>
      </w:r>
      <w:r w:rsidR="000D5E8A">
        <w:rPr>
          <w:rFonts w:eastAsia="Calibri" w:cs="Arial"/>
          <w:kern w:val="2"/>
          <w:lang w:val="nl-BE" w:eastAsia="en-US"/>
          <w14:ligatures w14:val="standardContextual"/>
        </w:rPr>
        <w:t>;</w:t>
      </w:r>
    </w:p>
    <w:p w14:paraId="5380D71C" w14:textId="048BA080" w:rsidR="00206B63" w:rsidRPr="00037A46" w:rsidRDefault="00206B63" w:rsidP="009D4C40">
      <w:pPr>
        <w:numPr>
          <w:ilvl w:val="0"/>
          <w:numId w:val="7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vermelding van het contactpunt voor nadere informatie over de functie</w:t>
      </w:r>
      <w:r w:rsidR="000D5E8A">
        <w:rPr>
          <w:rFonts w:eastAsia="Calibri" w:cs="Arial"/>
          <w:kern w:val="2"/>
          <w:lang w:val="nl-BE" w:eastAsia="en-US"/>
          <w14:ligatures w14:val="standardContextual"/>
        </w:rPr>
        <w:t>;</w:t>
      </w:r>
    </w:p>
    <w:p w14:paraId="34DA3F27" w14:textId="77777777" w:rsidR="00A54B07" w:rsidRPr="00037A46" w:rsidRDefault="00A54B07" w:rsidP="00A54B07">
      <w:pPr>
        <w:pStyle w:val="Kop3"/>
      </w:pPr>
      <w:bookmarkStart w:id="122" w:name="_Toc215738981"/>
      <w:r w:rsidRPr="00037A46">
        <w:t>Afdeling 4. wijze van kandidaatstelling</w:t>
      </w:r>
      <w:bookmarkEnd w:id="122"/>
    </w:p>
    <w:p w14:paraId="559B7C7F" w14:textId="77777777" w:rsidR="00A54B07" w:rsidRDefault="00A54B07" w:rsidP="00206B63">
      <w:pPr>
        <w:spacing w:before="0" w:after="160" w:line="259" w:lineRule="auto"/>
        <w:ind w:left="0"/>
        <w:jc w:val="left"/>
        <w:rPr>
          <w:rFonts w:eastAsia="Calibri" w:cs="Arial"/>
          <w:kern w:val="2"/>
          <w:lang w:val="nl-BE" w:eastAsia="en-US"/>
          <w14:ligatures w14:val="standardContextual"/>
        </w:rPr>
      </w:pPr>
    </w:p>
    <w:p w14:paraId="6717CAF4" w14:textId="12AA446E" w:rsidR="004E660A" w:rsidRPr="00BD0ED5" w:rsidRDefault="004E660A" w:rsidP="00206B63">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 6</w:t>
      </w:r>
      <w:r w:rsidR="008C18B6" w:rsidRPr="00FC3C9E">
        <w:rPr>
          <w:rFonts w:eastAsia="Calibri" w:cs="Arial"/>
          <w:b/>
          <w:bCs/>
          <w:kern w:val="2"/>
          <w:lang w:val="nl-BE" w:eastAsia="en-US"/>
          <w14:ligatures w14:val="standardContextual"/>
        </w:rPr>
        <w:t>7</w:t>
      </w:r>
    </w:p>
    <w:p w14:paraId="084F36AC" w14:textId="33B58426" w:rsidR="00206B63" w:rsidRPr="00037A46" w:rsidRDefault="00206B63" w:rsidP="00206B63">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kandidaturen kunnen ingediend worden op de volgende manieren: </w:t>
      </w:r>
    </w:p>
    <w:p w14:paraId="61F122D3" w14:textId="77777777" w:rsidR="00206B63" w:rsidRPr="00037A46" w:rsidRDefault="00206B63" w:rsidP="009D4C40">
      <w:pPr>
        <w:numPr>
          <w:ilvl w:val="0"/>
          <w:numId w:val="69"/>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via e-mail</w:t>
      </w:r>
    </w:p>
    <w:p w14:paraId="7AD1D749" w14:textId="77777777" w:rsidR="00206B63" w:rsidRPr="00037A46" w:rsidRDefault="00206B63" w:rsidP="009D4C40">
      <w:pPr>
        <w:numPr>
          <w:ilvl w:val="0"/>
          <w:numId w:val="69"/>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via een elektronisch formulier op website</w:t>
      </w:r>
    </w:p>
    <w:p w14:paraId="5F3CF52B" w14:textId="77777777" w:rsidR="00206B63" w:rsidRPr="00037A46" w:rsidRDefault="00206B63" w:rsidP="009D4C40">
      <w:pPr>
        <w:numPr>
          <w:ilvl w:val="0"/>
          <w:numId w:val="69"/>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per post</w:t>
      </w:r>
    </w:p>
    <w:p w14:paraId="409650F5" w14:textId="77777777" w:rsidR="00206B63" w:rsidRPr="00037A46" w:rsidRDefault="00206B63" w:rsidP="009D4C40">
      <w:pPr>
        <w:numPr>
          <w:ilvl w:val="0"/>
          <w:numId w:val="69"/>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via persoonlijke overhandiging</w:t>
      </w:r>
    </w:p>
    <w:p w14:paraId="61AC94C7" w14:textId="77777777" w:rsidR="00206B63" w:rsidRPr="00037A46" w:rsidRDefault="00206B63" w:rsidP="00206B63">
      <w:pPr>
        <w:spacing w:before="0" w:after="160" w:line="259" w:lineRule="auto"/>
        <w:ind w:left="720"/>
        <w:contextualSpacing/>
        <w:jc w:val="left"/>
        <w:rPr>
          <w:rFonts w:eastAsia="Calibri" w:cs="Arial"/>
          <w:kern w:val="2"/>
          <w:lang w:val="nl-BE" w:eastAsia="en-US"/>
          <w14:ligatures w14:val="standardContextual"/>
        </w:rPr>
      </w:pPr>
    </w:p>
    <w:p w14:paraId="34D484F7" w14:textId="77777777" w:rsidR="00206B63" w:rsidRPr="00037A46" w:rsidRDefault="00206B63" w:rsidP="00206B63">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Tussen de bekendmaking van een vacature en de uiterste datum voor de indiening van de kandidaturen, verlopen minstens 7 kalenderdagen. De dag van de bekendmaking van de vacature is niet in de termijn begrepen, de uiterste datum voor de indiening van de kandidaturen wel. </w:t>
      </w:r>
    </w:p>
    <w:p w14:paraId="57FDB612" w14:textId="77777777" w:rsidR="00206B63" w:rsidRPr="00037A46" w:rsidRDefault="00206B63" w:rsidP="00206B63">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datum van de verzending van de kandidatuur wordt beschouwd als de datum waarop de kandidatuur is ingediend. </w:t>
      </w:r>
    </w:p>
    <w:p w14:paraId="0534E874" w14:textId="772A95B7" w:rsidR="003E04C6" w:rsidRPr="00037A46" w:rsidRDefault="00206B63" w:rsidP="00206B63">
      <w:pPr>
        <w:spacing w:before="0" w:after="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kandidaat is zelf verantwoordelijk voor het goed bereiken van zijn kandidatuur voor de datum van het afsluiten van de inschrijvingsperiode bij het bestuur. </w:t>
      </w:r>
    </w:p>
    <w:p w14:paraId="37B63705" w14:textId="77777777" w:rsidR="00A54B07" w:rsidRPr="00037A46" w:rsidRDefault="00A54B07" w:rsidP="00A54B07">
      <w:pPr>
        <w:pStyle w:val="Kop3"/>
      </w:pPr>
      <w:bookmarkStart w:id="123" w:name="_Toc215738982"/>
      <w:r w:rsidRPr="00037A46">
        <w:t>Afdeling 5. de selectieprocedure</w:t>
      </w:r>
      <w:bookmarkEnd w:id="123"/>
    </w:p>
    <w:p w14:paraId="3D5F91E8" w14:textId="77777777" w:rsidR="00A54B07" w:rsidRDefault="00A54B07" w:rsidP="00206B63">
      <w:pPr>
        <w:spacing w:before="0" w:after="160" w:line="259" w:lineRule="auto"/>
        <w:ind w:left="0"/>
        <w:jc w:val="left"/>
        <w:rPr>
          <w:rFonts w:eastAsia="Calibri" w:cs="Arial"/>
          <w:kern w:val="2"/>
          <w:lang w:val="nl-BE" w:eastAsia="en-US"/>
          <w14:ligatures w14:val="standardContextual"/>
        </w:rPr>
      </w:pPr>
    </w:p>
    <w:p w14:paraId="2D53CF89" w14:textId="6016C28F" w:rsidR="004E660A" w:rsidRPr="00FC3C9E" w:rsidRDefault="004E660A" w:rsidP="00206B63">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 6</w:t>
      </w:r>
      <w:r w:rsidR="008C18B6" w:rsidRPr="00FC3C9E">
        <w:rPr>
          <w:rFonts w:eastAsia="Calibri" w:cs="Arial"/>
          <w:b/>
          <w:bCs/>
          <w:kern w:val="2"/>
          <w:lang w:val="nl-BE" w:eastAsia="en-US"/>
          <w14:ligatures w14:val="standardContextual"/>
        </w:rPr>
        <w:t>8</w:t>
      </w:r>
    </w:p>
    <w:p w14:paraId="4DFEF0FF" w14:textId="0BAA6350" w:rsidR="00A75193" w:rsidRPr="00FC3C9E" w:rsidRDefault="00A75193" w:rsidP="00206B63">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De algemene bepalingen over de selectieprocedure bij aanwerving zoals opgenomen in art</w:t>
      </w:r>
      <w:r w:rsidR="009841BF" w:rsidRPr="00FC3C9E">
        <w:rPr>
          <w:rFonts w:eastAsia="Calibri" w:cs="Arial"/>
          <w:kern w:val="2"/>
          <w:lang w:val="nl-BE" w:eastAsia="en-US"/>
          <w14:ligatures w14:val="standardContextual"/>
        </w:rPr>
        <w:t>ikel</w:t>
      </w:r>
      <w:r w:rsidRPr="00FC3C9E">
        <w:rPr>
          <w:rFonts w:eastAsia="Calibri" w:cs="Arial"/>
          <w:kern w:val="2"/>
          <w:lang w:val="nl-BE" w:eastAsia="en-US"/>
          <w14:ligatures w14:val="standardContextual"/>
        </w:rPr>
        <w:t xml:space="preserve"> 1</w:t>
      </w:r>
      <w:r w:rsidR="006160C3" w:rsidRPr="00FC3C9E">
        <w:rPr>
          <w:rFonts w:eastAsia="Calibri" w:cs="Arial"/>
          <w:kern w:val="2"/>
          <w:lang w:val="nl-BE" w:eastAsia="en-US"/>
          <w14:ligatures w14:val="standardContextual"/>
        </w:rPr>
        <w:t>1</w:t>
      </w:r>
      <w:r w:rsidRPr="00FC3C9E">
        <w:rPr>
          <w:rFonts w:eastAsia="Calibri" w:cs="Arial"/>
          <w:kern w:val="2"/>
          <w:lang w:val="nl-BE" w:eastAsia="en-US"/>
          <w14:ligatures w14:val="standardContextual"/>
        </w:rPr>
        <w:t>, zijn van toepassing op de selecties in het kader van een bevorderingsprocedure met uitzondering van de tussentijdse wervingsreserve.</w:t>
      </w:r>
    </w:p>
    <w:p w14:paraId="4E465520" w14:textId="6AB8440F" w:rsidR="00A54B07" w:rsidRPr="00FC3C9E" w:rsidRDefault="00A54B07" w:rsidP="00A54B07">
      <w:pPr>
        <w:pStyle w:val="Kop3"/>
      </w:pPr>
      <w:bookmarkStart w:id="124" w:name="_Toc215738983"/>
      <w:bookmarkEnd w:id="117"/>
      <w:r w:rsidRPr="00FC3C9E">
        <w:t>Afdeling 6. administratieve anciënniteit en andere arbeidsvoorwaarden</w:t>
      </w:r>
      <w:bookmarkStart w:id="125" w:name="_Toc184720165"/>
      <w:bookmarkEnd w:id="124"/>
    </w:p>
    <w:p w14:paraId="7B3C8377" w14:textId="77777777" w:rsidR="00A54B07" w:rsidRPr="00FC3C9E" w:rsidRDefault="00A54B07" w:rsidP="00A54B07">
      <w:pPr>
        <w:spacing w:before="0" w:after="160" w:line="259" w:lineRule="auto"/>
        <w:ind w:left="0"/>
        <w:jc w:val="left"/>
        <w:rPr>
          <w:rFonts w:eastAsia="Calibri" w:cs="Arial"/>
          <w:kern w:val="2"/>
          <w:lang w:val="nl-BE" w:eastAsia="en-US"/>
          <w14:ligatures w14:val="standardContextual"/>
        </w:rPr>
      </w:pPr>
    </w:p>
    <w:p w14:paraId="7052C3CB" w14:textId="5289A722" w:rsidR="000D3639" w:rsidRPr="00037A46" w:rsidRDefault="000D3639" w:rsidP="00687987">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w:t>
      </w:r>
      <w:r w:rsidR="009D47D0" w:rsidRPr="00FC3C9E">
        <w:rPr>
          <w:rFonts w:eastAsia="Calibri" w:cs="Arial"/>
          <w:b/>
          <w:bCs/>
          <w:kern w:val="2"/>
          <w:lang w:val="nl-BE" w:eastAsia="en-US"/>
          <w14:ligatures w14:val="standardContextual"/>
        </w:rPr>
        <w:t xml:space="preserve"> </w:t>
      </w:r>
      <w:r w:rsidR="008C18B6" w:rsidRPr="00FC3C9E">
        <w:rPr>
          <w:rFonts w:eastAsia="Calibri" w:cs="Arial"/>
          <w:b/>
          <w:bCs/>
          <w:kern w:val="2"/>
          <w:lang w:val="nl-BE" w:eastAsia="en-US"/>
          <w14:ligatures w14:val="standardContextual"/>
        </w:rPr>
        <w:t>69</w:t>
      </w:r>
    </w:p>
    <w:p w14:paraId="65C03ED2" w14:textId="541CD4E3" w:rsidR="00191D39" w:rsidRPr="003F2758" w:rsidRDefault="00191D39" w:rsidP="00DA6DFD">
      <w:pPr>
        <w:pStyle w:val="StandaardUitvullen"/>
        <w:ind w:left="0"/>
      </w:pPr>
      <w:r w:rsidRPr="003F2758">
        <w:t>Het aangestelde personeelslid ontvangt het salaris dat verbonden is aan die graad, rekening houdende met volgende modaliteiten:</w:t>
      </w:r>
    </w:p>
    <w:p w14:paraId="1B36FDF8" w14:textId="77777777" w:rsidR="00191D39" w:rsidRPr="003F2758" w:rsidRDefault="00191D39" w:rsidP="00DA6DFD">
      <w:pPr>
        <w:pStyle w:val="StandaardUitvullen"/>
        <w:ind w:left="0"/>
      </w:pPr>
      <w:r w:rsidRPr="003F2758">
        <w:t>1.</w:t>
      </w:r>
      <w:r w:rsidRPr="003F2758">
        <w:tab/>
        <w:t>Het personeelslid behoudt na de aanstelling via externe mobiliteit in een functie die tot dezelfde graad behoort, de salarisschaal en de schaalanciënniteit die het verworven had in de functionele loopbaan van zijn vorige functie.</w:t>
      </w:r>
    </w:p>
    <w:p w14:paraId="27B9DA5A" w14:textId="77777777" w:rsidR="00191D39" w:rsidRPr="003F2758" w:rsidRDefault="00191D39" w:rsidP="00DA6DFD">
      <w:pPr>
        <w:pStyle w:val="StandaardUitvullen"/>
        <w:ind w:left="0"/>
      </w:pPr>
      <w:r w:rsidRPr="003F2758">
        <w:t>2.</w:t>
      </w:r>
      <w:r w:rsidRPr="003F2758">
        <w:tab/>
        <w:t>Het personeelslid dat aangesteld wordt in een functie van een lagere graad waarmee een andere functionele loopbaan met andere salarisschalen verbonden is, behoudt zijn schaalanciënniteit en wordt met die schaalanciënniteit ingeschaald in de overeenstemmende salarisschaal van de nieuwe functionele loopbaan.</w:t>
      </w:r>
    </w:p>
    <w:p w14:paraId="24AB8E6C" w14:textId="2F3D4653" w:rsidR="001B7431" w:rsidRPr="00FC3C9E" w:rsidRDefault="00191D39" w:rsidP="00DA6DFD">
      <w:pPr>
        <w:pStyle w:val="StandaardUitvullen"/>
        <w:ind w:left="0"/>
      </w:pPr>
      <w:r w:rsidRPr="003F2758">
        <w:lastRenderedPageBreak/>
        <w:t>3.</w:t>
      </w:r>
      <w:r w:rsidRPr="003F2758">
        <w:tab/>
        <w:t xml:space="preserve">Het personeelslid dat aangesteld wordt in een hogere graad, behoudt zijn geldelijke anciënniteit in </w:t>
      </w:r>
      <w:r w:rsidRPr="00FC3C9E">
        <w:t>de nieuwe functionele loopbaan. Schaalanciënniteit en eventueel bijkomende geldelijke anciënniteit kunnen worden toegekend op basis van nuttige jaren ervaring relevant voor de nieuwe functie indien</w:t>
      </w:r>
      <w:r w:rsidR="003F2758" w:rsidRPr="00FC3C9E">
        <w:t xml:space="preserve"> de functie open werd verklaard als knelpuntberoep</w:t>
      </w:r>
      <w:r w:rsidRPr="00FC3C9E">
        <w:t xml:space="preserve"> (volgens de modaliteiten van artikel </w:t>
      </w:r>
      <w:r w:rsidR="00A807EB" w:rsidRPr="00FC3C9E">
        <w:t>101</w:t>
      </w:r>
      <w:r w:rsidRPr="00FC3C9E">
        <w:t xml:space="preserve"> van d</w:t>
      </w:r>
      <w:r w:rsidR="00DA6DFD" w:rsidRPr="00FC3C9E">
        <w:t>eze</w:t>
      </w:r>
      <w:r w:rsidRPr="00FC3C9E">
        <w:t xml:space="preserve"> rechtspositie</w:t>
      </w:r>
      <w:r w:rsidR="00DA6DFD" w:rsidRPr="00FC3C9E">
        <w:t>regeling)</w:t>
      </w:r>
      <w:r w:rsidRPr="00FC3C9E">
        <w:t>.</w:t>
      </w:r>
    </w:p>
    <w:p w14:paraId="224CBA89" w14:textId="23348358" w:rsidR="000D3639" w:rsidRPr="00037A46" w:rsidRDefault="000D3639" w:rsidP="00687987">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w:t>
      </w:r>
      <w:r w:rsidR="000B6A9A" w:rsidRPr="00FC3C9E">
        <w:rPr>
          <w:rFonts w:eastAsia="Calibri" w:cs="Arial"/>
          <w:b/>
          <w:bCs/>
          <w:kern w:val="2"/>
          <w:lang w:val="nl-BE" w:eastAsia="en-US"/>
          <w14:ligatures w14:val="standardContextual"/>
        </w:rPr>
        <w:t xml:space="preserve"> </w:t>
      </w:r>
      <w:r w:rsidR="004E660A" w:rsidRPr="00FC3C9E">
        <w:rPr>
          <w:rFonts w:eastAsia="Calibri" w:cs="Arial"/>
          <w:b/>
          <w:bCs/>
          <w:kern w:val="2"/>
          <w:lang w:val="nl-BE" w:eastAsia="en-US"/>
          <w14:ligatures w14:val="standardContextual"/>
        </w:rPr>
        <w:t>7</w:t>
      </w:r>
      <w:r w:rsidR="008C18B6" w:rsidRPr="00FC3C9E">
        <w:rPr>
          <w:rFonts w:eastAsia="Calibri" w:cs="Arial"/>
          <w:b/>
          <w:bCs/>
          <w:kern w:val="2"/>
          <w:lang w:val="nl-BE" w:eastAsia="en-US"/>
          <w14:ligatures w14:val="standardContextual"/>
        </w:rPr>
        <w:t>0</w:t>
      </w:r>
    </w:p>
    <w:p w14:paraId="749CD2F0" w14:textId="77777777" w:rsidR="000D3639" w:rsidRPr="00037A46" w:rsidRDefault="000D3639" w:rsidP="00DA6DFD">
      <w:pPr>
        <w:pStyle w:val="StandaardUitvullen"/>
        <w:ind w:left="0"/>
      </w:pPr>
      <w:r w:rsidRPr="00037A46">
        <w:t>De niveau-anciënniteit en de dienstanciënniteit die het personeelslid verworven had bij de andere overheid, worden volledig in aanmerking genomen voor de vaststelling van de niveau-anciënniteit en de dienstanciënniteit.</w:t>
      </w:r>
    </w:p>
    <w:p w14:paraId="2FB3D096" w14:textId="4EA680E2" w:rsidR="006D1A58" w:rsidRPr="00037A46" w:rsidRDefault="006D1A58" w:rsidP="006D1A58">
      <w:pPr>
        <w:ind w:left="0"/>
        <w:rPr>
          <w:rFonts w:eastAsia="Calibri" w:cs="Arial"/>
          <w:kern w:val="2"/>
          <w:lang w:val="nl-BE" w:eastAsia="en-US"/>
          <w14:ligatures w14:val="standardContextual"/>
        </w:rPr>
      </w:pPr>
      <w:r w:rsidRPr="00037A46">
        <w:rPr>
          <w:rFonts w:eastAsia="Calibri" w:cs="Arial"/>
          <w:kern w:val="2"/>
          <w:lang w:val="nl-BE" w:eastAsia="en-US"/>
          <w14:ligatures w14:val="standardContextual"/>
        </w:rPr>
        <w:t>Het personeelslid dat overkomt van een andere overheid, is onderworpen aan de regels over de jaarlijkse vakantie, de feestdagen en de andere verloven en afwezigheden die gelden voor het eigen personeel. Er zijn geen overgangsbepalingen van toepassing.</w:t>
      </w:r>
    </w:p>
    <w:p w14:paraId="2055DEB7" w14:textId="77777777" w:rsidR="006D1A58" w:rsidRPr="00037A46" w:rsidRDefault="006D1A58" w:rsidP="006D1A58">
      <w:pPr>
        <w:ind w:left="0"/>
        <w:rPr>
          <w:rFonts w:eastAsia="Calibri" w:cs="Arial"/>
          <w:kern w:val="2"/>
          <w:lang w:val="nl-BE" w:eastAsia="en-US"/>
          <w14:ligatures w14:val="standardContextual"/>
        </w:rPr>
      </w:pPr>
      <w:r w:rsidRPr="00037A46">
        <w:rPr>
          <w:rFonts w:eastAsia="Calibri" w:cs="Arial"/>
          <w:kern w:val="2"/>
          <w:lang w:val="nl-BE" w:eastAsia="en-US"/>
          <w14:ligatures w14:val="standardContextual"/>
        </w:rPr>
        <w:t>De regels over het ziektekrediet die gelden voor het eigen personeel, zijn van toepassing, waarbij de jaren dienstactiviteit en de al opgenomen ziekte-uren bij de overheid van herkomst, meegerekend worden voor de vaststelling van het aantal uren ziektekrediet.</w:t>
      </w:r>
    </w:p>
    <w:p w14:paraId="194DCC41" w14:textId="65514554" w:rsidR="006D1A58" w:rsidRPr="00037A46" w:rsidRDefault="006D1A58" w:rsidP="006D1A58">
      <w:pPr>
        <w:ind w:left="0"/>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Voor personeelsleden uit de diensten van de Vlaamse overheid, wordt het aantal ziekte-uren omgerekend van de 666-dagenregeling, naar de 159,6 -urenregeling. Hierbij wordt volgende omrekeningsformule </w:t>
      </w:r>
      <w:r w:rsidR="000B17AD" w:rsidRPr="00037A46">
        <w:rPr>
          <w:rFonts w:eastAsia="Calibri" w:cs="Arial"/>
          <w:kern w:val="2"/>
          <w:lang w:val="nl-BE" w:eastAsia="en-US"/>
          <w14:ligatures w14:val="standardContextual"/>
        </w:rPr>
        <w:t>gebruikt:</w:t>
      </w:r>
      <w:r w:rsidRPr="00037A46">
        <w:rPr>
          <w:rFonts w:eastAsia="Calibri" w:cs="Arial"/>
          <w:kern w:val="2"/>
          <w:lang w:val="nl-BE" w:eastAsia="en-US"/>
          <w14:ligatures w14:val="standardContextual"/>
        </w:rPr>
        <w:t xml:space="preserve"> het aantal dagen dienstactiviteit, maal 159,6 uren/jaar = het nieuw aantal ziektekredieturen, te verminderen met het aantal ziektekredieturen dat al werd opgenomen.</w:t>
      </w:r>
    </w:p>
    <w:p w14:paraId="325E9516" w14:textId="0F1D0731" w:rsidR="003A11FB" w:rsidRPr="000A606E" w:rsidRDefault="00AC6F57" w:rsidP="00B44CF7">
      <w:pPr>
        <w:pStyle w:val="Kop2"/>
      </w:pPr>
      <w:bookmarkStart w:id="126" w:name="_Toc110948171"/>
      <w:bookmarkStart w:id="127" w:name="_Toc215738984"/>
      <w:r>
        <w:t xml:space="preserve">hoofdstuk </w:t>
      </w:r>
      <w:bookmarkEnd w:id="125"/>
      <w:bookmarkEnd w:id="126"/>
      <w:r w:rsidR="002D6ECA">
        <w:t>xii. de waarneming van een hogere functie</w:t>
      </w:r>
      <w:bookmarkEnd w:id="127"/>
      <w:r w:rsidR="003A11FB" w:rsidRPr="000A606E">
        <w:t xml:space="preserve"> </w:t>
      </w:r>
    </w:p>
    <w:p w14:paraId="718A44E1" w14:textId="73933D47" w:rsidR="003A11FB" w:rsidRPr="00FC3C9E" w:rsidRDefault="003A11FB" w:rsidP="00687987">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w:t>
      </w:r>
      <w:r w:rsidR="000B6A9A" w:rsidRPr="00FC3C9E">
        <w:rPr>
          <w:rFonts w:eastAsia="Calibri" w:cs="Arial"/>
          <w:b/>
          <w:bCs/>
          <w:kern w:val="2"/>
          <w:lang w:val="nl-BE" w:eastAsia="en-US"/>
          <w14:ligatures w14:val="standardContextual"/>
        </w:rPr>
        <w:t xml:space="preserve"> </w:t>
      </w:r>
      <w:r w:rsidR="004E660A" w:rsidRPr="00FC3C9E">
        <w:rPr>
          <w:rFonts w:eastAsia="Calibri" w:cs="Arial"/>
          <w:b/>
          <w:bCs/>
          <w:kern w:val="2"/>
          <w:lang w:val="nl-BE" w:eastAsia="en-US"/>
          <w14:ligatures w14:val="standardContextual"/>
        </w:rPr>
        <w:t>7</w:t>
      </w:r>
      <w:r w:rsidR="008C18B6" w:rsidRPr="00FC3C9E">
        <w:rPr>
          <w:rFonts w:eastAsia="Calibri" w:cs="Arial"/>
          <w:b/>
          <w:bCs/>
          <w:kern w:val="2"/>
          <w:lang w:val="nl-BE" w:eastAsia="en-US"/>
          <w14:ligatures w14:val="standardContextual"/>
        </w:rPr>
        <w:t>1</w:t>
      </w:r>
    </w:p>
    <w:p w14:paraId="60816E69" w14:textId="2644998D" w:rsidR="00BA578E" w:rsidRPr="00FC3C9E" w:rsidRDefault="00BA578E" w:rsidP="00D53CA3">
      <w:pPr>
        <w:ind w:left="0"/>
        <w:rPr>
          <w:i/>
        </w:rPr>
      </w:pPr>
      <w:r w:rsidRPr="00FC3C9E">
        <w:t>Dit hoofdstuk is met uitzondering van de waarnemingstoelage</w:t>
      </w:r>
      <w:r w:rsidRPr="00FC3C9E">
        <w:rPr>
          <w:color w:val="FF0000"/>
        </w:rPr>
        <w:t xml:space="preserve"> </w:t>
      </w:r>
      <w:r w:rsidRPr="00FC3C9E">
        <w:t xml:space="preserve">niet van toepassing op de waarneming in de functies van </w:t>
      </w:r>
      <w:r w:rsidR="003474E1" w:rsidRPr="00FC3C9E">
        <w:t>algemeen directeur</w:t>
      </w:r>
      <w:r w:rsidRPr="00FC3C9E">
        <w:t xml:space="preserve"> en </w:t>
      </w:r>
      <w:r w:rsidR="003474E1" w:rsidRPr="00FC3C9E">
        <w:t>financieel directeur</w:t>
      </w:r>
      <w:r w:rsidRPr="00FC3C9E">
        <w:t>. Ter</w:t>
      </w:r>
      <w:r w:rsidR="0096281A" w:rsidRPr="00FC3C9E">
        <w:t xml:space="preserve"> </w:t>
      </w:r>
      <w:r w:rsidRPr="00FC3C9E">
        <w:t xml:space="preserve">zake gelden de bepalingen opgenomen in het </w:t>
      </w:r>
      <w:r w:rsidR="007D10BF" w:rsidRPr="00FC3C9E">
        <w:t xml:space="preserve">Decreet Lokaal Bestuur. </w:t>
      </w:r>
    </w:p>
    <w:p w14:paraId="6075A9F4" w14:textId="6A010B6B" w:rsidR="003A11FB" w:rsidRPr="00FC3C9E" w:rsidRDefault="003A11FB" w:rsidP="00687987">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 xml:space="preserve">Artikel </w:t>
      </w:r>
      <w:r w:rsidR="004E660A" w:rsidRPr="00FC3C9E">
        <w:rPr>
          <w:rFonts w:eastAsia="Calibri" w:cs="Arial"/>
          <w:b/>
          <w:bCs/>
          <w:kern w:val="2"/>
          <w:lang w:val="nl-BE" w:eastAsia="en-US"/>
          <w14:ligatures w14:val="standardContextual"/>
        </w:rPr>
        <w:t>7</w:t>
      </w:r>
      <w:r w:rsidR="008C18B6" w:rsidRPr="00FC3C9E">
        <w:rPr>
          <w:rFonts w:eastAsia="Calibri" w:cs="Arial"/>
          <w:b/>
          <w:bCs/>
          <w:kern w:val="2"/>
          <w:lang w:val="nl-BE" w:eastAsia="en-US"/>
          <w14:ligatures w14:val="standardContextual"/>
        </w:rPr>
        <w:t>2</w:t>
      </w:r>
    </w:p>
    <w:p w14:paraId="1D05E07E" w14:textId="64DD2958" w:rsidR="003A11FB" w:rsidRPr="00BD780E" w:rsidRDefault="00057DE7" w:rsidP="00D53CA3">
      <w:pPr>
        <w:ind w:left="0"/>
        <w:rPr>
          <w:bCs/>
        </w:rPr>
      </w:pPr>
      <w:r w:rsidRPr="00BD780E">
        <w:rPr>
          <w:bCs/>
        </w:rPr>
        <w:t>§</w:t>
      </w:r>
      <w:r w:rsidR="003A11FB" w:rsidRPr="00BD780E">
        <w:rPr>
          <w:bCs/>
        </w:rPr>
        <w:t>1</w:t>
      </w:r>
      <w:r w:rsidR="00BD780E" w:rsidRPr="00BD780E">
        <w:rPr>
          <w:bCs/>
        </w:rPr>
        <w:t>.</w:t>
      </w:r>
      <w:r w:rsidR="00AE4E8C" w:rsidRPr="00BD780E">
        <w:rPr>
          <w:bCs/>
        </w:rPr>
        <w:t xml:space="preserve"> </w:t>
      </w:r>
      <w:r w:rsidR="003A11FB" w:rsidRPr="00BD780E">
        <w:rPr>
          <w:bCs/>
        </w:rPr>
        <w:t xml:space="preserve">Als de titularis van een functie tijdelijk afwezig is of als de functie definitief vacant is, kan de aanstellende overheid beslissen dat de functie waargenomen wordt door een personeelslid van een lagere graad. </w:t>
      </w:r>
    </w:p>
    <w:p w14:paraId="0581F601" w14:textId="77777777" w:rsidR="003A11FB" w:rsidRPr="00BD780E" w:rsidRDefault="003A11FB" w:rsidP="00D53CA3">
      <w:pPr>
        <w:pStyle w:val="StandaardUitvullen"/>
        <w:ind w:left="0"/>
        <w:rPr>
          <w:bCs/>
        </w:rPr>
      </w:pPr>
      <w:bookmarkStart w:id="128" w:name="OLE_LINK55"/>
      <w:bookmarkStart w:id="129" w:name="OLE_LINK56"/>
      <w:r w:rsidRPr="00BD780E">
        <w:rPr>
          <w:bCs/>
        </w:rPr>
        <w:t xml:space="preserve">Onder lagere graad wordt elke graad verstaan die krachtens de plaatselijke rechtspositieregeling door bevordering rechtstreeks toegang geeft tot de waar te nemen functie. </w:t>
      </w:r>
    </w:p>
    <w:bookmarkEnd w:id="128"/>
    <w:bookmarkEnd w:id="129"/>
    <w:p w14:paraId="65C728A0" w14:textId="612929A3" w:rsidR="003A11FB" w:rsidRPr="00BD780E" w:rsidRDefault="00057DE7" w:rsidP="00D53CA3">
      <w:pPr>
        <w:ind w:left="0"/>
        <w:rPr>
          <w:bCs/>
        </w:rPr>
      </w:pPr>
      <w:r w:rsidRPr="00BD780E">
        <w:rPr>
          <w:bCs/>
        </w:rPr>
        <w:t>§</w:t>
      </w:r>
      <w:r w:rsidR="003A11FB" w:rsidRPr="00BD780E">
        <w:rPr>
          <w:bCs/>
        </w:rPr>
        <w:t>2</w:t>
      </w:r>
      <w:r w:rsidR="00BD780E" w:rsidRPr="00BD780E">
        <w:rPr>
          <w:bCs/>
        </w:rPr>
        <w:t>.</w:t>
      </w:r>
      <w:r w:rsidR="00AE4E8C" w:rsidRPr="00BD780E">
        <w:rPr>
          <w:bCs/>
        </w:rPr>
        <w:t xml:space="preserve"> </w:t>
      </w:r>
      <w:r w:rsidR="003A11FB" w:rsidRPr="00BD780E">
        <w:rPr>
          <w:bCs/>
        </w:rPr>
        <w:t>De aanstellende overheid beslist wie de hogere functie waarneemt.</w:t>
      </w:r>
    </w:p>
    <w:p w14:paraId="246E7F08" w14:textId="457772B6" w:rsidR="003A11FB" w:rsidRPr="00BD780E" w:rsidRDefault="00057DE7" w:rsidP="00D53CA3">
      <w:pPr>
        <w:ind w:left="0"/>
        <w:rPr>
          <w:bCs/>
        </w:rPr>
      </w:pPr>
      <w:r w:rsidRPr="00BD780E">
        <w:rPr>
          <w:bCs/>
        </w:rPr>
        <w:t>§</w:t>
      </w:r>
      <w:r w:rsidR="003A11FB" w:rsidRPr="00BD780E">
        <w:rPr>
          <w:bCs/>
        </w:rPr>
        <w:t>3</w:t>
      </w:r>
      <w:r w:rsidR="00BD780E" w:rsidRPr="00BD780E">
        <w:rPr>
          <w:bCs/>
        </w:rPr>
        <w:t>.</w:t>
      </w:r>
      <w:r w:rsidR="00AE4E8C" w:rsidRPr="00BD780E">
        <w:rPr>
          <w:bCs/>
        </w:rPr>
        <w:t xml:space="preserve"> </w:t>
      </w:r>
      <w:r w:rsidR="003A11FB" w:rsidRPr="00BD780E">
        <w:rPr>
          <w:bCs/>
        </w:rPr>
        <w:t>De waarneming van een hogere functie in een betrekking die definitief vacant is, mag ten hoogste zes maanden duren. Die termijn mag, als dat noodzakelijk is voor de goede werking van de dienst, verlengd worden op voorwaarde dat de procedure om de betrekking definitief te vervullen op het ogenblik van de verlenging ingezet is.</w:t>
      </w:r>
    </w:p>
    <w:p w14:paraId="3E0C27E1" w14:textId="3742AE4E" w:rsidR="003A11FB" w:rsidRPr="00BD780E" w:rsidRDefault="00057DE7" w:rsidP="00D53CA3">
      <w:pPr>
        <w:ind w:left="0"/>
        <w:rPr>
          <w:bCs/>
        </w:rPr>
      </w:pPr>
      <w:r w:rsidRPr="00BD780E">
        <w:rPr>
          <w:bCs/>
        </w:rPr>
        <w:t>§</w:t>
      </w:r>
      <w:r w:rsidR="003A11FB" w:rsidRPr="00BD780E">
        <w:rPr>
          <w:bCs/>
        </w:rPr>
        <w:t>4</w:t>
      </w:r>
      <w:r w:rsidR="00BD780E" w:rsidRPr="00BD780E">
        <w:rPr>
          <w:bCs/>
        </w:rPr>
        <w:t>.</w:t>
      </w:r>
      <w:r w:rsidR="00AE4E8C" w:rsidRPr="00BD780E">
        <w:rPr>
          <w:bCs/>
        </w:rPr>
        <w:t xml:space="preserve"> </w:t>
      </w:r>
      <w:r w:rsidR="003A11FB" w:rsidRPr="00BD780E">
        <w:rPr>
          <w:bCs/>
        </w:rPr>
        <w:t>De waarnemer van de hogere functie beschikt over alle prerogatieven die verbonden zijn met die functie.</w:t>
      </w:r>
    </w:p>
    <w:p w14:paraId="7362B1A3" w14:textId="784D194C" w:rsidR="003A11FB" w:rsidRPr="00FC3C9E" w:rsidRDefault="003A11FB" w:rsidP="00687987">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w:t>
      </w:r>
      <w:r w:rsidR="000B6A9A" w:rsidRPr="00FC3C9E">
        <w:rPr>
          <w:rFonts w:eastAsia="Calibri" w:cs="Arial"/>
          <w:b/>
          <w:bCs/>
          <w:kern w:val="2"/>
          <w:lang w:val="nl-BE" w:eastAsia="en-US"/>
          <w14:ligatures w14:val="standardContextual"/>
        </w:rPr>
        <w:t xml:space="preserve"> </w:t>
      </w:r>
      <w:r w:rsidR="004E660A" w:rsidRPr="00FC3C9E">
        <w:rPr>
          <w:rFonts w:eastAsia="Calibri" w:cs="Arial"/>
          <w:b/>
          <w:bCs/>
          <w:kern w:val="2"/>
          <w:lang w:val="nl-BE" w:eastAsia="en-US"/>
          <w14:ligatures w14:val="standardContextual"/>
        </w:rPr>
        <w:t>7</w:t>
      </w:r>
      <w:r w:rsidR="008C18B6" w:rsidRPr="00FC3C9E">
        <w:rPr>
          <w:rFonts w:eastAsia="Calibri" w:cs="Arial"/>
          <w:b/>
          <w:bCs/>
          <w:kern w:val="2"/>
          <w:lang w:val="nl-BE" w:eastAsia="en-US"/>
          <w14:ligatures w14:val="standardContextual"/>
        </w:rPr>
        <w:t>3</w:t>
      </w:r>
    </w:p>
    <w:p w14:paraId="682BA750" w14:textId="3CD64ED6" w:rsidR="001B5D90" w:rsidRPr="00FC3C9E" w:rsidRDefault="007F305B" w:rsidP="00FC3C9E">
      <w:pPr>
        <w:ind w:left="0"/>
        <w:rPr>
          <w:bCs/>
        </w:rPr>
      </w:pPr>
      <w:r w:rsidRPr="00FC3C9E">
        <w:rPr>
          <w:bCs/>
        </w:rPr>
        <w:t>De waarnemer</w:t>
      </w:r>
      <w:r w:rsidRPr="00F36553">
        <w:rPr>
          <w:bCs/>
        </w:rPr>
        <w:t xml:space="preserve"> van een hogere functie krijgt de toelage zoals </w:t>
      </w:r>
      <w:r w:rsidRPr="009511B9">
        <w:rPr>
          <w:bCs/>
        </w:rPr>
        <w:t xml:space="preserve">vermeld in artikel </w:t>
      </w:r>
      <w:r w:rsidR="009C642B">
        <w:rPr>
          <w:bCs/>
        </w:rPr>
        <w:t>139</w:t>
      </w:r>
      <w:r w:rsidRPr="009511B9">
        <w:rPr>
          <w:bCs/>
        </w:rPr>
        <w:t>.</w:t>
      </w:r>
    </w:p>
    <w:p w14:paraId="122CBF15" w14:textId="77777777" w:rsidR="003C1176" w:rsidRPr="00037A46" w:rsidRDefault="003C1176">
      <w:pPr>
        <w:spacing w:before="0" w:after="0"/>
        <w:ind w:left="0"/>
        <w:jc w:val="left"/>
        <w:rPr>
          <w:b/>
          <w:caps/>
          <w:sz w:val="16"/>
          <w:szCs w:val="16"/>
        </w:rPr>
      </w:pPr>
      <w:r w:rsidRPr="00037A46">
        <w:rPr>
          <w:b/>
          <w:caps/>
          <w:sz w:val="16"/>
          <w:szCs w:val="16"/>
        </w:rPr>
        <w:br w:type="page"/>
      </w:r>
    </w:p>
    <w:p w14:paraId="303459BD" w14:textId="6AB573F9" w:rsidR="00CD575A" w:rsidRPr="00037A46" w:rsidRDefault="00CD575A" w:rsidP="00B44CF7">
      <w:pPr>
        <w:pStyle w:val="Kop2"/>
      </w:pPr>
      <w:bookmarkStart w:id="130" w:name="_Toc215738985"/>
      <w:r w:rsidRPr="00037A46">
        <w:lastRenderedPageBreak/>
        <w:t xml:space="preserve">Hoofdstuk </w:t>
      </w:r>
      <w:r w:rsidR="002D6ECA">
        <w:t>xiii</w:t>
      </w:r>
      <w:r w:rsidRPr="00037A46">
        <w:t>. herplaatsing</w:t>
      </w:r>
      <w:bookmarkEnd w:id="130"/>
    </w:p>
    <w:p w14:paraId="7FA01213" w14:textId="06DAE3C4" w:rsidR="00A54B07" w:rsidRPr="00A60A89" w:rsidRDefault="00A54B07" w:rsidP="00A54B07">
      <w:pPr>
        <w:pStyle w:val="Kop3"/>
        <w:rPr>
          <w:rFonts w:cs="Arial"/>
        </w:rPr>
      </w:pPr>
      <w:bookmarkStart w:id="131" w:name="_Toc215738986"/>
      <w:r w:rsidRPr="00A60A89">
        <w:rPr>
          <w:rFonts w:cs="Arial"/>
        </w:rPr>
        <w:t>Afdeling 1. herplaatsing om medische redenen</w:t>
      </w:r>
      <w:bookmarkEnd w:id="131"/>
    </w:p>
    <w:p w14:paraId="3AE25FF5" w14:textId="1644F181" w:rsidR="00A54B07" w:rsidRPr="001C7D42" w:rsidRDefault="00336BD8" w:rsidP="00A54B07">
      <w:pPr>
        <w:spacing w:before="0" w:after="160" w:line="259" w:lineRule="auto"/>
        <w:ind w:left="0"/>
        <w:jc w:val="left"/>
        <w:rPr>
          <w:rFonts w:eastAsia="Calibri" w:cs="Arial"/>
          <w:kern w:val="2"/>
          <w:lang w:val="nl-BE" w:eastAsia="en-US"/>
          <w14:ligatures w14:val="standardContextual"/>
        </w:rPr>
      </w:pPr>
      <w:r w:rsidRPr="00FC3C9E">
        <w:rPr>
          <w:rFonts w:eastAsia="Calibri" w:cs="Arial"/>
          <w:b/>
          <w:bCs/>
          <w:kern w:val="2"/>
          <w:lang w:val="nl-BE" w:eastAsia="en-US"/>
          <w14:ligatures w14:val="standardContextual"/>
        </w:rPr>
        <w:t>Artikel</w:t>
      </w:r>
      <w:r w:rsidR="000B6A9A" w:rsidRPr="00FC3C9E">
        <w:rPr>
          <w:rFonts w:eastAsia="Calibri" w:cs="Arial"/>
          <w:b/>
          <w:bCs/>
          <w:kern w:val="2"/>
          <w:lang w:val="nl-BE" w:eastAsia="en-US"/>
          <w14:ligatures w14:val="standardContextual"/>
        </w:rPr>
        <w:t xml:space="preserve"> </w:t>
      </w:r>
      <w:r w:rsidR="004E660A" w:rsidRPr="00FC3C9E">
        <w:rPr>
          <w:rFonts w:eastAsia="Calibri" w:cs="Arial"/>
          <w:b/>
          <w:bCs/>
          <w:kern w:val="2"/>
          <w:lang w:val="nl-BE" w:eastAsia="en-US"/>
          <w14:ligatures w14:val="standardContextual"/>
        </w:rPr>
        <w:t>7</w:t>
      </w:r>
      <w:r w:rsidR="008C18B6" w:rsidRPr="00FC3C9E">
        <w:rPr>
          <w:rFonts w:eastAsia="Calibri" w:cs="Arial"/>
          <w:b/>
          <w:bCs/>
          <w:kern w:val="2"/>
          <w:lang w:val="nl-BE" w:eastAsia="en-US"/>
          <w14:ligatures w14:val="standardContextual"/>
        </w:rPr>
        <w:t>4</w:t>
      </w:r>
    </w:p>
    <w:p w14:paraId="2DFFEC7F" w14:textId="77777777" w:rsidR="00EE3D50" w:rsidRPr="001C7D42" w:rsidRDefault="00EE3D50" w:rsidP="00EE3D50">
      <w:pPr>
        <w:spacing w:before="0" w:after="160" w:line="259" w:lineRule="auto"/>
        <w:ind w:left="0"/>
        <w:jc w:val="left"/>
        <w:rPr>
          <w:rFonts w:eastAsia="Calibri" w:cs="Arial"/>
          <w:kern w:val="2"/>
          <w:lang w:val="nl-BE" w:eastAsia="en-US"/>
          <w14:ligatures w14:val="standardContextual"/>
        </w:rPr>
      </w:pPr>
      <w:r w:rsidRPr="001C7D42">
        <w:rPr>
          <w:rFonts w:eastAsia="Calibri" w:cs="Arial"/>
          <w:kern w:val="2"/>
          <w:lang w:val="nl-BE" w:eastAsia="en-US"/>
          <w14:ligatures w14:val="standardContextual"/>
        </w:rPr>
        <w:t>§1. Als een bevoegde medische instantie (arbeidsarts of MEDEX) een personeelslid niet langer geschikt acht om een functie uit te oefenen, maar wel geschikt acht om een andere functie uit te oefenen die verenigbaar is met de gezondheidstoestand van het personeelslid, kan het personeelslid op initiatief van het bestuur en in overleg met de preventieadviseur-arbeidsarts herplaatst worden in een passende functie van dezelfde of van een lagere graad.</w:t>
      </w:r>
    </w:p>
    <w:p w14:paraId="4E209AAE" w14:textId="77777777" w:rsidR="00EE3D50" w:rsidRPr="001C7D42" w:rsidRDefault="00EE3D50" w:rsidP="00EE3D50">
      <w:pPr>
        <w:spacing w:before="0" w:after="160" w:line="259" w:lineRule="auto"/>
        <w:ind w:left="0"/>
        <w:jc w:val="left"/>
        <w:rPr>
          <w:rFonts w:eastAsia="Calibri" w:cs="Arial"/>
          <w:kern w:val="2"/>
          <w:lang w:val="nl-BE" w:eastAsia="en-US"/>
          <w14:ligatures w14:val="standardContextual"/>
        </w:rPr>
      </w:pPr>
      <w:r w:rsidRPr="001C7D42">
        <w:rPr>
          <w:rFonts w:eastAsia="Calibri" w:cs="Arial"/>
          <w:kern w:val="2"/>
          <w:lang w:val="nl-BE" w:eastAsia="en-US"/>
          <w14:ligatures w14:val="standardContextual"/>
        </w:rPr>
        <w:t>§2. Het betrokken personeelslid krijgt de salarisschaal op de overeenkomstige trap van de functionele loopbaan van de nieuwe graad. Het personeelslid dat wordt herplaatst naar een functie in een lagere graad behoudt het salaris dat het had verworven in zijn vorige functie op het moment van de herplaatsing, tot het moment dat hij in zijn nieuwe organieke graad een hoger salaris bereikt.</w:t>
      </w:r>
    </w:p>
    <w:p w14:paraId="53DAD72E" w14:textId="77777777" w:rsidR="00EE3D50" w:rsidRPr="001C7D42" w:rsidRDefault="00EE3D50" w:rsidP="00EE3D50">
      <w:pPr>
        <w:spacing w:before="0" w:after="160" w:line="259" w:lineRule="auto"/>
        <w:ind w:left="0"/>
        <w:jc w:val="left"/>
        <w:rPr>
          <w:rFonts w:eastAsia="Calibri" w:cs="Arial"/>
          <w:kern w:val="2"/>
          <w:lang w:val="nl-BE" w:eastAsia="en-US"/>
          <w14:ligatures w14:val="standardContextual"/>
        </w:rPr>
      </w:pPr>
      <w:r w:rsidRPr="001C7D42">
        <w:rPr>
          <w:rFonts w:eastAsia="Calibri" w:cs="Arial"/>
          <w:kern w:val="2"/>
          <w:lang w:val="nl-BE" w:eastAsia="en-US"/>
          <w14:ligatures w14:val="standardContextual"/>
        </w:rPr>
        <w:t>De schaalanciënniteit die het betrokken personeelslid had opgebouwd in zijn salarisschaal van de vorige functie wordt overgedragen in de nieuwe salarisschaal.</w:t>
      </w:r>
    </w:p>
    <w:p w14:paraId="0D7DF4FA" w14:textId="77777777" w:rsidR="00EE3D50" w:rsidRPr="001C7D42" w:rsidRDefault="00EE3D50" w:rsidP="00EE3D50">
      <w:pPr>
        <w:spacing w:before="0" w:after="160" w:line="259" w:lineRule="auto"/>
        <w:ind w:left="0"/>
        <w:jc w:val="left"/>
        <w:rPr>
          <w:rFonts w:eastAsia="Calibri" w:cs="Arial"/>
          <w:kern w:val="2"/>
          <w:lang w:val="nl-BE" w:eastAsia="en-US"/>
          <w14:ligatures w14:val="standardContextual"/>
        </w:rPr>
      </w:pPr>
      <w:r w:rsidRPr="001C7D42">
        <w:rPr>
          <w:rFonts w:eastAsia="Calibri" w:cs="Arial"/>
          <w:kern w:val="2"/>
          <w:lang w:val="nl-BE" w:eastAsia="en-US"/>
          <w14:ligatures w14:val="standardContextual"/>
        </w:rPr>
        <w:t xml:space="preserve">§3. De aanstellende overheid beslist over de ambtshalve herplaatsing. </w:t>
      </w:r>
    </w:p>
    <w:p w14:paraId="342BD890" w14:textId="77777777" w:rsidR="00EE3D50" w:rsidRPr="001C7D42" w:rsidRDefault="00EE3D50" w:rsidP="00EE3D50">
      <w:pPr>
        <w:spacing w:before="0" w:after="160" w:line="259" w:lineRule="auto"/>
        <w:ind w:left="0"/>
        <w:jc w:val="left"/>
        <w:rPr>
          <w:rFonts w:eastAsia="Calibri" w:cs="Arial"/>
          <w:kern w:val="2"/>
          <w:lang w:val="nl-BE" w:eastAsia="en-US"/>
          <w14:ligatures w14:val="standardContextual"/>
        </w:rPr>
      </w:pPr>
      <w:r w:rsidRPr="001C7D42">
        <w:rPr>
          <w:rFonts w:eastAsia="Calibri" w:cs="Arial"/>
          <w:kern w:val="2"/>
          <w:lang w:val="nl-BE" w:eastAsia="en-US"/>
          <w14:ligatures w14:val="standardContextual"/>
        </w:rPr>
        <w:t xml:space="preserve">De algemeen directeur voert hierover vooraf een gesprek met het personeelslid. </w:t>
      </w:r>
    </w:p>
    <w:p w14:paraId="111FD991" w14:textId="77777777" w:rsidR="00EE3D50" w:rsidRPr="001C7D42" w:rsidRDefault="00EE3D50" w:rsidP="00EE3D50">
      <w:pPr>
        <w:spacing w:before="0" w:after="160" w:line="259" w:lineRule="auto"/>
        <w:ind w:left="0"/>
        <w:jc w:val="left"/>
        <w:rPr>
          <w:rFonts w:eastAsia="Calibri" w:cs="Arial"/>
          <w:kern w:val="2"/>
          <w:lang w:val="nl-BE" w:eastAsia="en-US"/>
          <w14:ligatures w14:val="standardContextual"/>
        </w:rPr>
      </w:pPr>
      <w:r w:rsidRPr="001C7D42">
        <w:rPr>
          <w:rFonts w:eastAsia="Calibri" w:cs="Arial"/>
          <w:kern w:val="2"/>
          <w:lang w:val="nl-BE" w:eastAsia="en-US"/>
          <w14:ligatures w14:val="standardContextual"/>
        </w:rPr>
        <w:t>Het betrokken personeelslid wordt tenminste tien kalenderdagen vooraf uitgenodigd voor dit gesprek en vooraf geïnformeerd over de passende functie of functies die voorgesteld worden.</w:t>
      </w:r>
    </w:p>
    <w:p w14:paraId="0DEA4D92" w14:textId="77777777" w:rsidR="00EE3D50" w:rsidRPr="001C7D42" w:rsidRDefault="00EE3D50" w:rsidP="00EE3D50">
      <w:pPr>
        <w:spacing w:before="0" w:after="160" w:line="259" w:lineRule="auto"/>
        <w:ind w:left="0"/>
        <w:jc w:val="left"/>
        <w:rPr>
          <w:rFonts w:eastAsia="Calibri" w:cs="Arial"/>
          <w:kern w:val="2"/>
          <w:lang w:val="nl-BE" w:eastAsia="en-US"/>
          <w14:ligatures w14:val="standardContextual"/>
        </w:rPr>
      </w:pPr>
      <w:r w:rsidRPr="001C7D42">
        <w:rPr>
          <w:rFonts w:eastAsia="Calibri" w:cs="Arial"/>
          <w:kern w:val="2"/>
          <w:lang w:val="nl-BE" w:eastAsia="en-US"/>
          <w14:ligatures w14:val="standardContextual"/>
        </w:rPr>
        <w:t>De herplaatsing kan zowel tijdelijk als definitief zijn.</w:t>
      </w:r>
    </w:p>
    <w:p w14:paraId="70AE8EDC" w14:textId="77777777" w:rsidR="00EE3D50" w:rsidRPr="001C7D42" w:rsidRDefault="00EE3D50" w:rsidP="00EE3D50">
      <w:pPr>
        <w:spacing w:before="0" w:after="160" w:line="259" w:lineRule="auto"/>
        <w:ind w:left="0"/>
        <w:jc w:val="left"/>
        <w:rPr>
          <w:rFonts w:eastAsia="Calibri" w:cs="Arial"/>
          <w:kern w:val="2"/>
          <w:lang w:val="nl-BE" w:eastAsia="en-US"/>
          <w14:ligatures w14:val="standardContextual"/>
        </w:rPr>
      </w:pPr>
      <w:r w:rsidRPr="001C7D42">
        <w:rPr>
          <w:rFonts w:eastAsia="Calibri" w:cs="Arial"/>
          <w:kern w:val="2"/>
          <w:lang w:val="nl-BE" w:eastAsia="en-US"/>
          <w14:ligatures w14:val="standardContextual"/>
        </w:rPr>
        <w:t>Bij een tijdelijke herplaatsing wordt de duurtijd van de herplaatsing vastgesteld door de aanstellende overheid.</w:t>
      </w:r>
    </w:p>
    <w:p w14:paraId="73AB904B" w14:textId="2A49FE81" w:rsidR="00EE3D50" w:rsidRPr="001C7D42" w:rsidRDefault="00EE3D50" w:rsidP="00EE3D50">
      <w:pPr>
        <w:spacing w:before="0" w:after="160" w:line="259" w:lineRule="auto"/>
        <w:ind w:left="0"/>
        <w:jc w:val="left"/>
        <w:rPr>
          <w:rFonts w:eastAsia="Calibri" w:cs="Arial"/>
          <w:kern w:val="2"/>
          <w:lang w:val="nl-BE" w:eastAsia="en-US"/>
          <w14:ligatures w14:val="standardContextual"/>
        </w:rPr>
      </w:pPr>
      <w:r w:rsidRPr="001C7D42">
        <w:rPr>
          <w:rFonts w:eastAsia="Calibri" w:cs="Arial"/>
          <w:kern w:val="2"/>
          <w:lang w:val="nl-BE" w:eastAsia="en-US"/>
          <w14:ligatures w14:val="standardContextual"/>
        </w:rPr>
        <w:t>§4. Het personeelslid moet akkoord gaan met deze herplaatsing.</w:t>
      </w:r>
    </w:p>
    <w:p w14:paraId="206C2E29" w14:textId="77777777" w:rsidR="00EE3D50" w:rsidRDefault="00EE3D50" w:rsidP="00EE3D50">
      <w:pPr>
        <w:spacing w:before="0" w:after="160" w:line="259" w:lineRule="auto"/>
        <w:ind w:left="0"/>
        <w:jc w:val="left"/>
        <w:rPr>
          <w:rFonts w:eastAsia="Calibri" w:cs="Arial"/>
          <w:kern w:val="2"/>
          <w:lang w:val="nl-BE" w:eastAsia="en-US"/>
          <w14:ligatures w14:val="standardContextual"/>
        </w:rPr>
      </w:pPr>
      <w:r w:rsidRPr="001C7D42">
        <w:rPr>
          <w:rFonts w:eastAsia="Calibri" w:cs="Arial"/>
          <w:kern w:val="2"/>
          <w:lang w:val="nl-BE" w:eastAsia="en-US"/>
          <w14:ligatures w14:val="standardContextual"/>
        </w:rPr>
        <w:t>§5. Bij een herplaatsing behoudt het personeelslid steeds zijn hoedanigheid van statutair of contractueel personeelslid.</w:t>
      </w:r>
      <w:r w:rsidRPr="00EE3D50">
        <w:rPr>
          <w:rFonts w:eastAsia="Calibri" w:cs="Arial"/>
          <w:kern w:val="2"/>
          <w:lang w:val="nl-BE" w:eastAsia="en-US"/>
          <w14:ligatures w14:val="standardContextual"/>
        </w:rPr>
        <w:t xml:space="preserve"> </w:t>
      </w:r>
    </w:p>
    <w:p w14:paraId="3C66F737" w14:textId="2A9571D8" w:rsidR="00A54B07" w:rsidRPr="00FC3C9E" w:rsidRDefault="00A54B07" w:rsidP="00A54B07">
      <w:pPr>
        <w:pStyle w:val="Kop3"/>
        <w:rPr>
          <w:rFonts w:cs="Arial"/>
        </w:rPr>
      </w:pPr>
      <w:bookmarkStart w:id="132" w:name="_Toc215738987"/>
      <w:r w:rsidRPr="00F43BC4">
        <w:rPr>
          <w:rFonts w:cs="Arial"/>
        </w:rPr>
        <w:t xml:space="preserve">Afdeling 2. herplaatsing na ongunstige evaluatie of als alternatief voor ontslag wegens </w:t>
      </w:r>
      <w:r w:rsidRPr="00FC3C9E">
        <w:rPr>
          <w:rFonts w:cs="Arial"/>
        </w:rPr>
        <w:t>beroepsongeschiktheid</w:t>
      </w:r>
      <w:bookmarkEnd w:id="132"/>
    </w:p>
    <w:p w14:paraId="317F6BFF" w14:textId="6B5C3559" w:rsidR="00336BD8" w:rsidRPr="00FC3C9E" w:rsidRDefault="00336BD8" w:rsidP="00336BD8">
      <w:pPr>
        <w:spacing w:before="0" w:after="160" w:line="259" w:lineRule="auto"/>
        <w:ind w:left="0"/>
        <w:jc w:val="left"/>
        <w:rPr>
          <w:rFonts w:eastAsia="Calibri" w:cs="Arial"/>
          <w:kern w:val="2"/>
          <w:lang w:val="nl-BE" w:eastAsia="en-US"/>
          <w14:ligatures w14:val="standardContextual"/>
        </w:rPr>
      </w:pPr>
      <w:r w:rsidRPr="00FC3C9E">
        <w:rPr>
          <w:rFonts w:eastAsia="Calibri" w:cs="Arial"/>
          <w:b/>
          <w:bCs/>
          <w:kern w:val="2"/>
          <w:lang w:val="nl-BE" w:eastAsia="en-US"/>
          <w14:ligatures w14:val="standardContextual"/>
        </w:rPr>
        <w:t>Artikel</w:t>
      </w:r>
      <w:r w:rsidR="000B6A9A" w:rsidRPr="00FC3C9E">
        <w:rPr>
          <w:rFonts w:eastAsia="Calibri" w:cs="Arial"/>
          <w:b/>
          <w:bCs/>
          <w:kern w:val="2"/>
          <w:lang w:val="nl-BE" w:eastAsia="en-US"/>
          <w14:ligatures w14:val="standardContextual"/>
        </w:rPr>
        <w:t xml:space="preserve"> </w:t>
      </w:r>
      <w:r w:rsidR="004E660A" w:rsidRPr="00FC3C9E">
        <w:rPr>
          <w:rFonts w:eastAsia="Calibri" w:cs="Arial"/>
          <w:b/>
          <w:bCs/>
          <w:kern w:val="2"/>
          <w:lang w:val="nl-BE" w:eastAsia="en-US"/>
          <w14:ligatures w14:val="standardContextual"/>
        </w:rPr>
        <w:t>7</w:t>
      </w:r>
      <w:r w:rsidR="008C18B6" w:rsidRPr="00FC3C9E">
        <w:rPr>
          <w:rFonts w:eastAsia="Calibri" w:cs="Arial"/>
          <w:b/>
          <w:bCs/>
          <w:kern w:val="2"/>
          <w:lang w:val="nl-BE" w:eastAsia="en-US"/>
          <w14:ligatures w14:val="standardContextual"/>
        </w:rPr>
        <w:t>5</w:t>
      </w:r>
    </w:p>
    <w:p w14:paraId="3CD6F367" w14:textId="5DA3E2CF" w:rsidR="003C1176" w:rsidRPr="00F43BC4" w:rsidRDefault="0096281A" w:rsidP="003C1176">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Personeelsleden</w:t>
      </w:r>
      <w:r w:rsidR="003C1176" w:rsidRPr="00FC3C9E">
        <w:rPr>
          <w:rFonts w:eastAsia="Calibri" w:cs="Arial"/>
          <w:kern w:val="2"/>
          <w:lang w:val="nl-BE" w:eastAsia="en-US"/>
          <w14:ligatures w14:val="standardContextual"/>
        </w:rPr>
        <w:t xml:space="preserve"> worden ambtshalve</w:t>
      </w:r>
      <w:r w:rsidR="003C1176" w:rsidRPr="00F43BC4">
        <w:rPr>
          <w:rFonts w:eastAsia="Calibri" w:cs="Arial"/>
          <w:kern w:val="2"/>
          <w:lang w:val="nl-BE" w:eastAsia="en-US"/>
          <w14:ligatures w14:val="standardContextual"/>
        </w:rPr>
        <w:t xml:space="preserve"> herplaatst in een functie van dezelfde rang (of alternatief voor rang in eigen functieclassificatiesysteem) om aan een personeelslid een herkansing te bieden na een ongunstige evaluatie of als alternatief </w:t>
      </w:r>
      <w:bookmarkStart w:id="133" w:name="_Hlk146206418"/>
      <w:r w:rsidR="003C1176" w:rsidRPr="00F43BC4">
        <w:rPr>
          <w:rFonts w:eastAsia="Calibri" w:cs="Arial"/>
          <w:kern w:val="2"/>
          <w:lang w:val="nl-BE" w:eastAsia="en-US"/>
          <w14:ligatures w14:val="standardContextual"/>
        </w:rPr>
        <w:t>voor het ontslag wegens beroepsongeschiktheid</w:t>
      </w:r>
      <w:r w:rsidR="00F43BC4" w:rsidRPr="00F43BC4">
        <w:rPr>
          <w:rFonts w:eastAsia="Calibri" w:cs="Arial"/>
          <w:kern w:val="2"/>
          <w:lang w:val="nl-BE" w:eastAsia="en-US"/>
          <w14:ligatures w14:val="standardContextual"/>
        </w:rPr>
        <w:t>.</w:t>
      </w:r>
      <w:r w:rsidR="003C1176" w:rsidRPr="00F43BC4">
        <w:rPr>
          <w:rFonts w:eastAsia="Calibri" w:cs="Arial"/>
          <w:kern w:val="2"/>
          <w:lang w:val="nl-BE" w:eastAsia="en-US"/>
          <w14:ligatures w14:val="standardContextual"/>
        </w:rPr>
        <w:t xml:space="preserve"> </w:t>
      </w:r>
    </w:p>
    <w:bookmarkEnd w:id="133"/>
    <w:p w14:paraId="1D4498E0" w14:textId="2EAA148F" w:rsidR="003C1176" w:rsidRPr="00F43BC4" w:rsidRDefault="00F43BC4" w:rsidP="003C1176">
      <w:pPr>
        <w:spacing w:before="0" w:after="160" w:line="259" w:lineRule="auto"/>
        <w:ind w:left="0"/>
        <w:jc w:val="left"/>
        <w:rPr>
          <w:rFonts w:eastAsia="Calibri" w:cs="Arial"/>
          <w:kern w:val="2"/>
          <w:lang w:val="nl-BE" w:eastAsia="en-US"/>
          <w14:ligatures w14:val="standardContextual"/>
        </w:rPr>
      </w:pPr>
      <w:r w:rsidRPr="00F43BC4">
        <w:rPr>
          <w:rFonts w:eastAsia="Calibri" w:cs="Arial"/>
          <w:kern w:val="2"/>
          <w:lang w:val="nl-BE" w:eastAsia="en-US"/>
          <w14:ligatures w14:val="standardContextual"/>
        </w:rPr>
        <w:t>P</w:t>
      </w:r>
      <w:r w:rsidR="003C1176" w:rsidRPr="00F43BC4">
        <w:rPr>
          <w:rFonts w:eastAsia="Calibri" w:cs="Arial"/>
          <w:kern w:val="2"/>
          <w:lang w:val="nl-BE" w:eastAsia="en-US"/>
          <w14:ligatures w14:val="standardContextual"/>
        </w:rPr>
        <w:t xml:space="preserve">ersoneelsleden die na een bevordering een ongunstig evaluatieresultaat krijgen bij afloop van een eventuele </w:t>
      </w:r>
      <w:r w:rsidR="003670C5" w:rsidRPr="00F43BC4">
        <w:rPr>
          <w:rFonts w:eastAsia="Calibri" w:cs="Arial"/>
          <w:kern w:val="2"/>
          <w:lang w:val="nl-BE" w:eastAsia="en-US"/>
          <w14:ligatures w14:val="standardContextual"/>
        </w:rPr>
        <w:t>inwerkperiode</w:t>
      </w:r>
      <w:r w:rsidR="003C1176" w:rsidRPr="00F43BC4">
        <w:rPr>
          <w:rFonts w:eastAsia="Calibri" w:cs="Arial"/>
          <w:kern w:val="2"/>
          <w:lang w:val="nl-BE" w:eastAsia="en-US"/>
          <w14:ligatures w14:val="standardContextual"/>
        </w:rPr>
        <w:t xml:space="preserve"> of een ongunstige evaluatie hebben gekregen als alternatief voor het ontslag wegens beroepsongeschiktheid, worden opnieuw aangesteld in hun vorige functie of in een andere functie van hun vorige graad als hun vorige functie ingevuld is. </w:t>
      </w:r>
    </w:p>
    <w:p w14:paraId="6BA996C6" w14:textId="6D62477B" w:rsidR="003C1176" w:rsidRPr="00F43BC4" w:rsidRDefault="003C1176" w:rsidP="003C1176">
      <w:pPr>
        <w:spacing w:before="0" w:after="160" w:line="259" w:lineRule="auto"/>
        <w:ind w:left="0"/>
        <w:jc w:val="left"/>
        <w:rPr>
          <w:rFonts w:eastAsia="Calibri" w:cs="Arial"/>
          <w:kern w:val="2"/>
          <w:lang w:val="nl-BE" w:eastAsia="en-US"/>
          <w14:ligatures w14:val="standardContextual"/>
        </w:rPr>
      </w:pPr>
      <w:r w:rsidRPr="00F43BC4">
        <w:rPr>
          <w:rFonts w:eastAsia="Calibri" w:cs="Arial"/>
          <w:kern w:val="2"/>
          <w:lang w:val="nl-BE" w:eastAsia="en-US"/>
          <w14:ligatures w14:val="standardContextual"/>
        </w:rPr>
        <w:t xml:space="preserve">Het betrokken personeelslid krijgt opnieuw de salarisschaal die het verworven had in de functie van zijn vorige graad. De eventuele schaalanciënniteit die opgebouwd werd in de functie van de hogere graad tijdens de </w:t>
      </w:r>
      <w:r w:rsidR="003670C5" w:rsidRPr="00F43BC4">
        <w:rPr>
          <w:rFonts w:eastAsia="Calibri" w:cs="Arial"/>
          <w:kern w:val="2"/>
          <w:lang w:val="nl-BE" w:eastAsia="en-US"/>
          <w14:ligatures w14:val="standardContextual"/>
        </w:rPr>
        <w:t>inwerkperiode</w:t>
      </w:r>
      <w:r w:rsidRPr="00F43BC4">
        <w:rPr>
          <w:rFonts w:eastAsia="Calibri" w:cs="Arial"/>
          <w:kern w:val="2"/>
          <w:lang w:val="nl-BE" w:eastAsia="en-US"/>
          <w14:ligatures w14:val="standardContextual"/>
        </w:rPr>
        <w:t xml:space="preserve">, wordt overgedragen naar de schaalanciënniteit in de functie van de lagere graad. </w:t>
      </w:r>
    </w:p>
    <w:p w14:paraId="640A1C1E" w14:textId="77777777" w:rsidR="003C1176" w:rsidRPr="00A60A89" w:rsidRDefault="003C1176" w:rsidP="003C1176">
      <w:pPr>
        <w:spacing w:before="0" w:after="160" w:line="259" w:lineRule="auto"/>
        <w:ind w:left="0"/>
        <w:jc w:val="left"/>
        <w:rPr>
          <w:rFonts w:eastAsia="Calibri" w:cs="Arial"/>
          <w:kern w:val="2"/>
          <w:lang w:val="nl-BE" w:eastAsia="en-US"/>
          <w14:ligatures w14:val="standardContextual"/>
        </w:rPr>
      </w:pPr>
      <w:r w:rsidRPr="00F43BC4">
        <w:rPr>
          <w:rFonts w:eastAsia="Calibri" w:cs="Arial"/>
          <w:kern w:val="2"/>
          <w:lang w:val="nl-BE" w:eastAsia="en-US"/>
          <w14:ligatures w14:val="standardContextual"/>
        </w:rPr>
        <w:lastRenderedPageBreak/>
        <w:t>De herplaatsing na ongunstige evaluatie kan alleen toegepast worden als er een passende functie vacant is en als blijkt dat de evaluatie aantoont dat het personeelslid beschikt over competenties die in de andere functie beter tot hun recht kunnen komen.</w:t>
      </w:r>
    </w:p>
    <w:p w14:paraId="0B2303C2" w14:textId="5C720799" w:rsidR="00A54B07" w:rsidRPr="00FC3C9E" w:rsidRDefault="00A54B07" w:rsidP="00A54B07">
      <w:pPr>
        <w:pStyle w:val="Kop3"/>
        <w:rPr>
          <w:rFonts w:cs="Arial"/>
        </w:rPr>
      </w:pPr>
      <w:bookmarkStart w:id="134" w:name="_Toc215738988"/>
      <w:r w:rsidRPr="00FC3C9E">
        <w:rPr>
          <w:rFonts w:cs="Arial"/>
        </w:rPr>
        <w:t>Afdeling 3. herplaatsing om persoonlijke redenen</w:t>
      </w:r>
      <w:bookmarkEnd w:id="134"/>
    </w:p>
    <w:p w14:paraId="1BBB68B1" w14:textId="44034B47" w:rsidR="00336BD8" w:rsidRPr="00FC3C9E" w:rsidRDefault="00336BD8" w:rsidP="00336BD8">
      <w:pPr>
        <w:spacing w:before="0" w:after="160" w:line="259" w:lineRule="auto"/>
        <w:ind w:left="0"/>
        <w:jc w:val="left"/>
        <w:rPr>
          <w:rFonts w:eastAsia="Calibri" w:cs="Arial"/>
          <w:kern w:val="2"/>
          <w:lang w:val="nl-BE" w:eastAsia="en-US"/>
          <w14:ligatures w14:val="standardContextual"/>
        </w:rPr>
      </w:pPr>
      <w:r w:rsidRPr="00FC3C9E">
        <w:rPr>
          <w:rFonts w:eastAsia="Calibri" w:cs="Arial"/>
          <w:b/>
          <w:bCs/>
          <w:kern w:val="2"/>
          <w:lang w:val="nl-BE" w:eastAsia="en-US"/>
          <w14:ligatures w14:val="standardContextual"/>
        </w:rPr>
        <w:t>Artikel</w:t>
      </w:r>
      <w:r w:rsidR="000B6A9A" w:rsidRPr="00FC3C9E">
        <w:rPr>
          <w:rFonts w:eastAsia="Calibri" w:cs="Arial"/>
          <w:b/>
          <w:bCs/>
          <w:kern w:val="2"/>
          <w:lang w:val="nl-BE" w:eastAsia="en-US"/>
          <w14:ligatures w14:val="standardContextual"/>
        </w:rPr>
        <w:t xml:space="preserve"> </w:t>
      </w:r>
      <w:r w:rsidR="004E660A" w:rsidRPr="00FC3C9E">
        <w:rPr>
          <w:rFonts w:eastAsia="Calibri" w:cs="Arial"/>
          <w:b/>
          <w:bCs/>
          <w:kern w:val="2"/>
          <w:lang w:val="nl-BE" w:eastAsia="en-US"/>
          <w14:ligatures w14:val="standardContextual"/>
        </w:rPr>
        <w:t>7</w:t>
      </w:r>
      <w:r w:rsidR="008C18B6" w:rsidRPr="00FC3C9E">
        <w:rPr>
          <w:rFonts w:eastAsia="Calibri" w:cs="Arial"/>
          <w:b/>
          <w:bCs/>
          <w:kern w:val="2"/>
          <w:lang w:val="nl-BE" w:eastAsia="en-US"/>
          <w14:ligatures w14:val="standardContextual"/>
        </w:rPr>
        <w:t>6</w:t>
      </w:r>
    </w:p>
    <w:p w14:paraId="041C6C6C" w14:textId="77777777" w:rsidR="00336BD8" w:rsidRPr="00FC3C9E" w:rsidRDefault="00336BD8" w:rsidP="00336BD8">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§1. Als een personeelslid om functionele of persoonlijke redenen zelf verzoekt om herplaatsing in een andere functie van dezelfde graad of een functie van een lagere graad, kan het personeelslid herplaatst worden in een passende vacante functie van dezelfde of een lagere graad.</w:t>
      </w:r>
    </w:p>
    <w:p w14:paraId="51781DE3" w14:textId="77777777" w:rsidR="00336BD8" w:rsidRPr="00336BD8" w:rsidRDefault="00336BD8" w:rsidP="00336BD8">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§2. Bij een herplaatsing ontvangt</w:t>
      </w:r>
      <w:r w:rsidRPr="00336BD8">
        <w:rPr>
          <w:rFonts w:eastAsia="Calibri" w:cs="Arial"/>
          <w:kern w:val="2"/>
          <w:lang w:val="nl-BE" w:eastAsia="en-US"/>
          <w14:ligatures w14:val="standardContextual"/>
        </w:rPr>
        <w:t xml:space="preserve"> het personeelslid het salaris dat verbonden is aan de nieuwe functie.</w:t>
      </w:r>
    </w:p>
    <w:p w14:paraId="081F5F37" w14:textId="77777777" w:rsidR="00336BD8" w:rsidRPr="00336BD8" w:rsidRDefault="00336BD8" w:rsidP="00336BD8">
      <w:pPr>
        <w:spacing w:before="0" w:after="160" w:line="259" w:lineRule="auto"/>
        <w:ind w:left="0"/>
        <w:jc w:val="left"/>
        <w:rPr>
          <w:rFonts w:eastAsia="Calibri" w:cs="Arial"/>
          <w:kern w:val="2"/>
          <w:lang w:val="nl-BE" w:eastAsia="en-US"/>
          <w14:ligatures w14:val="standardContextual"/>
        </w:rPr>
      </w:pPr>
      <w:r w:rsidRPr="00336BD8">
        <w:rPr>
          <w:rFonts w:eastAsia="Calibri" w:cs="Arial"/>
          <w:kern w:val="2"/>
          <w:lang w:val="nl-BE" w:eastAsia="en-US"/>
          <w14:ligatures w14:val="standardContextual"/>
        </w:rPr>
        <w:t>De schaalanciënniteit die het betrokken personeelslid had opgebouwd in zijn salarisschaal van de vorige functie wordt overgedragen in de nieuwe salarisschaal.</w:t>
      </w:r>
    </w:p>
    <w:p w14:paraId="36947AFA" w14:textId="77777777" w:rsidR="00336BD8" w:rsidRPr="00336BD8" w:rsidRDefault="00336BD8" w:rsidP="00336BD8">
      <w:pPr>
        <w:spacing w:before="0" w:after="160" w:line="259" w:lineRule="auto"/>
        <w:ind w:left="0"/>
        <w:jc w:val="left"/>
        <w:rPr>
          <w:rFonts w:eastAsia="Calibri" w:cs="Arial"/>
          <w:kern w:val="2"/>
          <w:lang w:val="nl-BE" w:eastAsia="en-US"/>
          <w14:ligatures w14:val="standardContextual"/>
        </w:rPr>
      </w:pPr>
      <w:r w:rsidRPr="00336BD8">
        <w:rPr>
          <w:rFonts w:eastAsia="Calibri" w:cs="Arial"/>
          <w:kern w:val="2"/>
          <w:lang w:val="nl-BE" w:eastAsia="en-US"/>
          <w14:ligatures w14:val="standardContextual"/>
        </w:rPr>
        <w:t>§3. Deze vorm van herplaatsing kan slechts eenmaal tijdens de loopbaan toegekend worden.</w:t>
      </w:r>
    </w:p>
    <w:p w14:paraId="793E92EC" w14:textId="77777777" w:rsidR="00336BD8" w:rsidRPr="00336BD8" w:rsidRDefault="00336BD8" w:rsidP="00336BD8">
      <w:pPr>
        <w:spacing w:before="0" w:after="160" w:line="259" w:lineRule="auto"/>
        <w:ind w:left="0"/>
        <w:jc w:val="left"/>
        <w:rPr>
          <w:rFonts w:eastAsia="Calibri" w:cs="Arial"/>
          <w:kern w:val="2"/>
          <w:lang w:val="nl-BE" w:eastAsia="en-US"/>
          <w14:ligatures w14:val="standardContextual"/>
        </w:rPr>
      </w:pPr>
      <w:r w:rsidRPr="00336BD8">
        <w:rPr>
          <w:rFonts w:eastAsia="Calibri" w:cs="Arial"/>
          <w:kern w:val="2"/>
          <w:lang w:val="nl-BE" w:eastAsia="en-US"/>
          <w14:ligatures w14:val="standardContextual"/>
        </w:rPr>
        <w:t>Deze vorm van herplaatsing staat ook open voor titularissen van decretale graden. Ambtshalve herplaatsing in een functie van dezelfde graad is voor deze titularissen echter niet mogelijk.</w:t>
      </w:r>
    </w:p>
    <w:p w14:paraId="70975A39" w14:textId="77777777" w:rsidR="00336BD8" w:rsidRPr="00336BD8" w:rsidRDefault="00336BD8" w:rsidP="00336BD8">
      <w:pPr>
        <w:spacing w:before="0" w:after="160" w:line="259" w:lineRule="auto"/>
        <w:ind w:left="0"/>
        <w:jc w:val="left"/>
        <w:rPr>
          <w:rFonts w:eastAsia="Calibri" w:cs="Arial"/>
          <w:kern w:val="2"/>
          <w:lang w:val="nl-BE" w:eastAsia="en-US"/>
          <w14:ligatures w14:val="standardContextual"/>
        </w:rPr>
      </w:pPr>
      <w:r w:rsidRPr="00336BD8">
        <w:rPr>
          <w:rFonts w:eastAsia="Calibri" w:cs="Arial"/>
          <w:kern w:val="2"/>
          <w:lang w:val="nl-BE" w:eastAsia="en-US"/>
          <w14:ligatures w14:val="standardContextual"/>
        </w:rPr>
        <w:t xml:space="preserve">§4. De aanstellende overheid beslist over de ambtshalve herplaatsing. </w:t>
      </w:r>
    </w:p>
    <w:p w14:paraId="796D2B86" w14:textId="77777777" w:rsidR="00336BD8" w:rsidRPr="00336BD8" w:rsidRDefault="00336BD8" w:rsidP="00336BD8">
      <w:pPr>
        <w:spacing w:before="0" w:after="160" w:line="259" w:lineRule="auto"/>
        <w:ind w:left="0"/>
        <w:jc w:val="left"/>
        <w:rPr>
          <w:rFonts w:eastAsia="Calibri" w:cs="Arial"/>
          <w:kern w:val="2"/>
          <w:lang w:val="nl-BE" w:eastAsia="en-US"/>
          <w14:ligatures w14:val="standardContextual"/>
        </w:rPr>
      </w:pPr>
      <w:r w:rsidRPr="00336BD8">
        <w:rPr>
          <w:rFonts w:eastAsia="Calibri" w:cs="Arial"/>
          <w:kern w:val="2"/>
          <w:lang w:val="nl-BE" w:eastAsia="en-US"/>
          <w14:ligatures w14:val="standardContextual"/>
        </w:rPr>
        <w:t xml:space="preserve">De algemeen directeur voert hierover vooraf een gesprek met het personeelslid. </w:t>
      </w:r>
    </w:p>
    <w:p w14:paraId="6C2BA664" w14:textId="77777777" w:rsidR="00336BD8" w:rsidRPr="00336BD8" w:rsidRDefault="00336BD8" w:rsidP="00336BD8">
      <w:pPr>
        <w:spacing w:before="0" w:after="160" w:line="259" w:lineRule="auto"/>
        <w:ind w:left="0"/>
        <w:jc w:val="left"/>
        <w:rPr>
          <w:rFonts w:eastAsia="Calibri" w:cs="Arial"/>
          <w:kern w:val="2"/>
          <w:lang w:val="nl-BE" w:eastAsia="en-US"/>
          <w14:ligatures w14:val="standardContextual"/>
        </w:rPr>
      </w:pPr>
      <w:r w:rsidRPr="00336BD8">
        <w:rPr>
          <w:rFonts w:eastAsia="Calibri" w:cs="Arial"/>
          <w:kern w:val="2"/>
          <w:lang w:val="nl-BE" w:eastAsia="en-US"/>
          <w14:ligatures w14:val="standardContextual"/>
        </w:rPr>
        <w:t>Het betrokken personeelslid wordt tenminste tien kalenderdagen vooraf uitgenodigd voor dit gesprek en vooraf geïnformeerd over de passende functie of functies die voorgesteld worden.</w:t>
      </w:r>
    </w:p>
    <w:p w14:paraId="619B4E20" w14:textId="77777777" w:rsidR="00336BD8" w:rsidRPr="00336BD8" w:rsidRDefault="00336BD8" w:rsidP="00336BD8">
      <w:pPr>
        <w:spacing w:before="0" w:after="160" w:line="259" w:lineRule="auto"/>
        <w:ind w:left="0"/>
        <w:jc w:val="left"/>
        <w:rPr>
          <w:rFonts w:eastAsia="Calibri" w:cs="Arial"/>
          <w:kern w:val="2"/>
          <w:lang w:val="nl-BE" w:eastAsia="en-US"/>
          <w14:ligatures w14:val="standardContextual"/>
        </w:rPr>
      </w:pPr>
      <w:r w:rsidRPr="00336BD8">
        <w:rPr>
          <w:rFonts w:eastAsia="Calibri" w:cs="Arial"/>
          <w:kern w:val="2"/>
          <w:lang w:val="nl-BE" w:eastAsia="en-US"/>
          <w14:ligatures w14:val="standardContextual"/>
        </w:rPr>
        <w:t>De herplaatsing is niet tijdelijk, maar definitief.</w:t>
      </w:r>
    </w:p>
    <w:p w14:paraId="32BBBB61" w14:textId="6769E2E1" w:rsidR="00336BD8" w:rsidRDefault="00336BD8" w:rsidP="00336BD8">
      <w:pPr>
        <w:spacing w:before="0" w:after="160" w:line="259" w:lineRule="auto"/>
        <w:ind w:left="0"/>
        <w:jc w:val="left"/>
        <w:rPr>
          <w:rFonts w:eastAsia="Calibri" w:cs="Arial"/>
          <w:kern w:val="2"/>
          <w:lang w:val="nl-BE" w:eastAsia="en-US"/>
          <w14:ligatures w14:val="standardContextual"/>
        </w:rPr>
      </w:pPr>
      <w:r w:rsidRPr="00336BD8">
        <w:rPr>
          <w:rFonts w:eastAsia="Calibri" w:cs="Arial"/>
          <w:kern w:val="2"/>
          <w:lang w:val="nl-BE" w:eastAsia="en-US"/>
          <w14:ligatures w14:val="standardContextual"/>
        </w:rPr>
        <w:t xml:space="preserve">§5. Bij een herplaatsing behoudt het personeelslid steeds zijn hoedanigheid van statutair of contractueel personeelslid. </w:t>
      </w:r>
    </w:p>
    <w:p w14:paraId="45CCD071" w14:textId="6769E2E1" w:rsidR="00884A9D" w:rsidRPr="00FC3C9E" w:rsidRDefault="00B840EE" w:rsidP="00884A9D">
      <w:pPr>
        <w:pStyle w:val="Kop3"/>
        <w:rPr>
          <w:rFonts w:cs="Arial"/>
        </w:rPr>
      </w:pPr>
      <w:bookmarkStart w:id="135" w:name="_Toc215738989"/>
      <w:r w:rsidRPr="00FC3C9E">
        <w:rPr>
          <w:rFonts w:cs="Arial"/>
        </w:rPr>
        <w:t>A</w:t>
      </w:r>
      <w:r w:rsidR="00884A9D" w:rsidRPr="00FC3C9E">
        <w:rPr>
          <w:rFonts w:cs="Arial"/>
        </w:rPr>
        <w:t>fdeling 4: Herplaatsing of ter beschikking stelling ingevolge afschaffing betrekking wegens noodwendigheden</w:t>
      </w:r>
      <w:bookmarkEnd w:id="135"/>
    </w:p>
    <w:p w14:paraId="1499EE4C" w14:textId="39A07F7B" w:rsidR="00884A9D" w:rsidRPr="00FC3C9E" w:rsidRDefault="00884A9D" w:rsidP="00884A9D">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w:t>
      </w:r>
      <w:r w:rsidR="000B6A9A" w:rsidRPr="00FC3C9E">
        <w:rPr>
          <w:rFonts w:eastAsia="Calibri" w:cs="Arial"/>
          <w:b/>
          <w:bCs/>
          <w:kern w:val="2"/>
          <w:lang w:val="nl-BE" w:eastAsia="en-US"/>
          <w14:ligatures w14:val="standardContextual"/>
        </w:rPr>
        <w:t xml:space="preserve"> </w:t>
      </w:r>
      <w:r w:rsidR="004E660A" w:rsidRPr="00FC3C9E">
        <w:rPr>
          <w:rFonts w:eastAsia="Calibri" w:cs="Arial"/>
          <w:b/>
          <w:bCs/>
          <w:kern w:val="2"/>
          <w:lang w:val="nl-BE" w:eastAsia="en-US"/>
          <w14:ligatures w14:val="standardContextual"/>
        </w:rPr>
        <w:t>7</w:t>
      </w:r>
      <w:r w:rsidR="008C18B6" w:rsidRPr="00FC3C9E">
        <w:rPr>
          <w:rFonts w:eastAsia="Calibri" w:cs="Arial"/>
          <w:b/>
          <w:bCs/>
          <w:kern w:val="2"/>
          <w:lang w:val="nl-BE" w:eastAsia="en-US"/>
          <w14:ligatures w14:val="standardContextual"/>
        </w:rPr>
        <w:t>7</w:t>
      </w:r>
    </w:p>
    <w:p w14:paraId="705786A3" w14:textId="77777777" w:rsidR="00884A9D" w:rsidRPr="00FC3C9E" w:rsidRDefault="00884A9D" w:rsidP="00884A9D">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Als de betrekking van een statutair personeelslid afgeschaft wordt wegens noodwendigheden voor de werking van het bestuur als vermeld in artikel 194/1, tweede lid, van het decreet van 22 december 2017, wordt het statutaire personeelslid op initiatief van het bestuur herplaatst in een passende functie van dezelfde graad in het eigen bestuur of ter beschikking gesteld in een passende functie van dezelfde graad in een ander bestuur met toepassing van artikel 185 van het decreet van 22 december 2017 op voorwaarde dat het personeelslid daarmee instemt.</w:t>
      </w:r>
    </w:p>
    <w:p w14:paraId="68D521C9" w14:textId="16CCB2AD" w:rsidR="00884A9D" w:rsidRPr="00FC3C9E" w:rsidRDefault="00884A9D" w:rsidP="00884A9D">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w:t>
      </w:r>
      <w:r w:rsidR="000B6A9A" w:rsidRPr="00FC3C9E">
        <w:rPr>
          <w:rFonts w:eastAsia="Calibri" w:cs="Arial"/>
          <w:b/>
          <w:bCs/>
          <w:kern w:val="2"/>
          <w:lang w:val="nl-BE" w:eastAsia="en-US"/>
          <w14:ligatures w14:val="standardContextual"/>
        </w:rPr>
        <w:t xml:space="preserve"> </w:t>
      </w:r>
      <w:r w:rsidR="004E660A" w:rsidRPr="00FC3C9E">
        <w:rPr>
          <w:rFonts w:eastAsia="Calibri" w:cs="Arial"/>
          <w:b/>
          <w:bCs/>
          <w:kern w:val="2"/>
          <w:lang w:val="nl-BE" w:eastAsia="en-US"/>
          <w14:ligatures w14:val="standardContextual"/>
        </w:rPr>
        <w:t>7</w:t>
      </w:r>
      <w:r w:rsidR="008C18B6" w:rsidRPr="00FC3C9E">
        <w:rPr>
          <w:rFonts w:eastAsia="Calibri" w:cs="Arial"/>
          <w:b/>
          <w:bCs/>
          <w:kern w:val="2"/>
          <w:lang w:val="nl-BE" w:eastAsia="en-US"/>
          <w14:ligatures w14:val="standardContextual"/>
        </w:rPr>
        <w:t>8</w:t>
      </w:r>
    </w:p>
    <w:p w14:paraId="537DFE8D" w14:textId="77777777" w:rsidR="00884A9D" w:rsidRPr="00FC3C9E" w:rsidRDefault="00884A9D" w:rsidP="00884A9D">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De ambtshalve herplaatsing is alleen mogelijk in een vacante functie.</w:t>
      </w:r>
    </w:p>
    <w:p w14:paraId="239B3B98" w14:textId="77777777" w:rsidR="00884A9D" w:rsidRPr="00884A9D" w:rsidRDefault="00884A9D" w:rsidP="00884A9D">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Het personeelslid behoudt na de</w:t>
      </w:r>
      <w:r w:rsidRPr="00884A9D">
        <w:rPr>
          <w:rFonts w:eastAsia="Calibri" w:cs="Arial"/>
          <w:kern w:val="2"/>
          <w:lang w:val="nl-BE" w:eastAsia="en-US"/>
          <w14:ligatures w14:val="standardContextual"/>
        </w:rPr>
        <w:t xml:space="preserve"> ambtshalve herplaatsing of ter beschikking stelling de salarisschaal en de schaalanciënniteit die het verworven had in zijn vorige functie. </w:t>
      </w:r>
    </w:p>
    <w:p w14:paraId="1549FDEE" w14:textId="77777777" w:rsidR="00884A9D" w:rsidRPr="00884A9D" w:rsidRDefault="00884A9D" w:rsidP="00884A9D">
      <w:pPr>
        <w:spacing w:before="0" w:after="160" w:line="259" w:lineRule="auto"/>
        <w:ind w:left="0"/>
        <w:jc w:val="left"/>
        <w:rPr>
          <w:rFonts w:eastAsia="Calibri" w:cs="Arial"/>
          <w:kern w:val="2"/>
          <w:lang w:val="nl-BE" w:eastAsia="en-US"/>
          <w14:ligatures w14:val="standardContextual"/>
        </w:rPr>
      </w:pPr>
      <w:r w:rsidRPr="00884A9D">
        <w:rPr>
          <w:rFonts w:eastAsia="Calibri" w:cs="Arial"/>
          <w:kern w:val="2"/>
          <w:lang w:val="nl-BE" w:eastAsia="en-US"/>
          <w14:ligatures w14:val="standardContextual"/>
        </w:rPr>
        <w:t>Als er meerdere overtallige personeelsleden in aanmerking komen voor ambtshalve herplaatsing in een vacature gelden in volgorde de volgende criteria om de voorrang van de personeelsleden te bepalen:</w:t>
      </w:r>
    </w:p>
    <w:p w14:paraId="529F406B" w14:textId="77777777" w:rsidR="00884A9D" w:rsidRPr="00884A9D" w:rsidRDefault="00884A9D" w:rsidP="00884A9D">
      <w:pPr>
        <w:spacing w:before="0" w:after="160" w:line="259" w:lineRule="auto"/>
        <w:ind w:left="0"/>
        <w:jc w:val="left"/>
        <w:rPr>
          <w:rFonts w:eastAsia="Calibri" w:cs="Arial"/>
          <w:kern w:val="2"/>
          <w:lang w:val="nl-BE" w:eastAsia="en-US"/>
          <w14:ligatures w14:val="standardContextual"/>
        </w:rPr>
      </w:pPr>
      <w:r w:rsidRPr="00884A9D">
        <w:rPr>
          <w:rFonts w:eastAsia="Calibri" w:cs="Arial"/>
          <w:kern w:val="2"/>
          <w:lang w:val="nl-BE" w:eastAsia="en-US"/>
          <w14:ligatures w14:val="standardContextual"/>
        </w:rPr>
        <w:lastRenderedPageBreak/>
        <w:t>1.</w:t>
      </w:r>
      <w:r w:rsidRPr="00884A9D">
        <w:rPr>
          <w:rFonts w:eastAsia="Calibri" w:cs="Arial"/>
          <w:kern w:val="2"/>
          <w:lang w:val="nl-BE" w:eastAsia="en-US"/>
          <w14:ligatures w14:val="standardContextual"/>
        </w:rPr>
        <w:tab/>
        <w:t>de mate waarin voldaan wordt aan de competentievereisten voor de vacante functie;</w:t>
      </w:r>
    </w:p>
    <w:p w14:paraId="4277221C" w14:textId="77777777" w:rsidR="00884A9D" w:rsidRPr="00FC3C9E" w:rsidRDefault="00884A9D" w:rsidP="00884A9D">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2.</w:t>
      </w:r>
      <w:r w:rsidRPr="00FC3C9E">
        <w:rPr>
          <w:rFonts w:eastAsia="Calibri" w:cs="Arial"/>
          <w:kern w:val="2"/>
          <w:lang w:val="nl-BE" w:eastAsia="en-US"/>
          <w14:ligatures w14:val="standardContextual"/>
        </w:rPr>
        <w:tab/>
        <w:t>de dienstanciënniteit.</w:t>
      </w:r>
    </w:p>
    <w:p w14:paraId="6F6472D2" w14:textId="1CEF5A18" w:rsidR="00884A9D" w:rsidRPr="00FC3C9E" w:rsidRDefault="00884A9D" w:rsidP="00884A9D">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w:t>
      </w:r>
      <w:r w:rsidR="000B6A9A" w:rsidRPr="00FC3C9E">
        <w:rPr>
          <w:rFonts w:eastAsia="Calibri" w:cs="Arial"/>
          <w:b/>
          <w:bCs/>
          <w:kern w:val="2"/>
          <w:lang w:val="nl-BE" w:eastAsia="en-US"/>
          <w14:ligatures w14:val="standardContextual"/>
        </w:rPr>
        <w:t xml:space="preserve"> </w:t>
      </w:r>
      <w:r w:rsidR="008C18B6" w:rsidRPr="00FC3C9E">
        <w:rPr>
          <w:rFonts w:eastAsia="Calibri" w:cs="Arial"/>
          <w:b/>
          <w:bCs/>
          <w:kern w:val="2"/>
          <w:lang w:val="nl-BE" w:eastAsia="en-US"/>
          <w14:ligatures w14:val="standardContextual"/>
        </w:rPr>
        <w:t>79</w:t>
      </w:r>
    </w:p>
    <w:p w14:paraId="7B95DCA5" w14:textId="77777777" w:rsidR="00884A9D" w:rsidRPr="00FC3C9E" w:rsidRDefault="00884A9D" w:rsidP="00884A9D">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Als de herplaatsing of terbeschikkingstelling niet mogelijk is, kan het statutaire personeelslid ontslagen worden wegens noodwendigheden voor de werking van het bestuur als vermeld artikel 194/1 van het decreet van 22 december 2017.</w:t>
      </w:r>
    </w:p>
    <w:p w14:paraId="3F3E979C" w14:textId="6E6E186B" w:rsidR="00884A9D" w:rsidRPr="00FC3C9E" w:rsidRDefault="00884A9D" w:rsidP="00884A9D">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w:t>
      </w:r>
      <w:r w:rsidR="000B6A9A" w:rsidRPr="00FC3C9E">
        <w:rPr>
          <w:rFonts w:eastAsia="Calibri" w:cs="Arial"/>
          <w:b/>
          <w:bCs/>
          <w:kern w:val="2"/>
          <w:lang w:val="nl-BE" w:eastAsia="en-US"/>
          <w14:ligatures w14:val="standardContextual"/>
        </w:rPr>
        <w:t xml:space="preserve"> </w:t>
      </w:r>
      <w:r w:rsidR="004E660A" w:rsidRPr="00FC3C9E">
        <w:rPr>
          <w:rFonts w:eastAsia="Calibri" w:cs="Arial"/>
          <w:b/>
          <w:bCs/>
          <w:kern w:val="2"/>
          <w:lang w:val="nl-BE" w:eastAsia="en-US"/>
          <w14:ligatures w14:val="standardContextual"/>
        </w:rPr>
        <w:t>8</w:t>
      </w:r>
      <w:r w:rsidR="008C18B6" w:rsidRPr="00FC3C9E">
        <w:rPr>
          <w:rFonts w:eastAsia="Calibri" w:cs="Arial"/>
          <w:b/>
          <w:bCs/>
          <w:kern w:val="2"/>
          <w:lang w:val="nl-BE" w:eastAsia="en-US"/>
          <w14:ligatures w14:val="standardContextual"/>
        </w:rPr>
        <w:t>0</w:t>
      </w:r>
    </w:p>
    <w:p w14:paraId="538E4F08" w14:textId="77777777" w:rsidR="00884A9D" w:rsidRDefault="00884A9D" w:rsidP="00884A9D">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Het contractuele personeelslid komt enkel in aanmerking voor herplaatsing in een passende functie van dezelfde graad in het eigen bestuur (en niet voor ter beschikking stelling bij een ander lokaal bestuur) en moet akkoord gaan met</w:t>
      </w:r>
      <w:r w:rsidRPr="00884A9D">
        <w:rPr>
          <w:rFonts w:eastAsia="Calibri" w:cs="Arial"/>
          <w:kern w:val="2"/>
          <w:lang w:val="nl-BE" w:eastAsia="en-US"/>
          <w14:ligatures w14:val="standardContextual"/>
        </w:rPr>
        <w:t xml:space="preserve"> deze herplaatsing.</w:t>
      </w:r>
    </w:p>
    <w:p w14:paraId="2BBCBD8D" w14:textId="77777777" w:rsidR="00F655ED" w:rsidRPr="00037A46" w:rsidRDefault="00F655ED" w:rsidP="00D53CA3">
      <w:pPr>
        <w:pStyle w:val="StandaardUitvullen"/>
        <w:ind w:left="0"/>
        <w:rPr>
          <w:lang w:eastAsia="en-US"/>
        </w:rPr>
      </w:pPr>
    </w:p>
    <w:p w14:paraId="02C08293" w14:textId="74FA58A1" w:rsidR="003A11FB" w:rsidRPr="00FC3C9E" w:rsidRDefault="003A11FB" w:rsidP="008C2BDD">
      <w:pPr>
        <w:pStyle w:val="Kop1"/>
        <w:jc w:val="left"/>
        <w:rPr>
          <w:bCs/>
        </w:rPr>
      </w:pPr>
      <w:bookmarkStart w:id="136" w:name="_Toc110948182"/>
      <w:bookmarkStart w:id="137" w:name="_Toc215738990"/>
      <w:r w:rsidRPr="00037A46">
        <w:rPr>
          <w:bCs/>
        </w:rPr>
        <w:lastRenderedPageBreak/>
        <w:t>TI</w:t>
      </w:r>
      <w:r w:rsidRPr="00FC3C9E">
        <w:rPr>
          <w:bCs/>
        </w:rPr>
        <w:t xml:space="preserve">TEL </w:t>
      </w:r>
      <w:r w:rsidR="001D33DB" w:rsidRPr="00FC3C9E">
        <w:rPr>
          <w:bCs/>
        </w:rPr>
        <w:t>3</w:t>
      </w:r>
      <w:r w:rsidRPr="00FC3C9E">
        <w:rPr>
          <w:bCs/>
        </w:rPr>
        <w:t>. HET VERLIES VAN DE HOEDANIGHEID VAN STATUTAIR PERSONEELSLID EN DE DEFINITIEVE AMBTSNEERLEGGING</w:t>
      </w:r>
      <w:bookmarkEnd w:id="136"/>
      <w:bookmarkEnd w:id="137"/>
    </w:p>
    <w:p w14:paraId="2E5DE54B" w14:textId="6BD10F18" w:rsidR="003A11FB" w:rsidRPr="00FC3C9E" w:rsidRDefault="003A11FB" w:rsidP="00B44CF7">
      <w:pPr>
        <w:pStyle w:val="Kop2"/>
      </w:pPr>
      <w:bookmarkStart w:id="138" w:name="_Toc110948183"/>
      <w:bookmarkStart w:id="139" w:name="_Toc215738991"/>
      <w:r w:rsidRPr="00FC3C9E">
        <w:t>Hoofdstuk i. het verlies van de hoedanigheid van statutair personeelslid</w:t>
      </w:r>
      <w:bookmarkEnd w:id="138"/>
      <w:bookmarkEnd w:id="139"/>
    </w:p>
    <w:p w14:paraId="25E18A08" w14:textId="28E3FE99" w:rsidR="00813F7A" w:rsidRPr="00FC3C9E" w:rsidRDefault="00813F7A" w:rsidP="00813F7A">
      <w:pPr>
        <w:ind w:left="0"/>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Artikel</w:t>
      </w:r>
      <w:r w:rsidR="000B6A9A" w:rsidRPr="00FC3C9E">
        <w:rPr>
          <w:rFonts w:ascii="Calibri" w:eastAsia="Calibri" w:hAnsi="Calibri"/>
          <w:b/>
          <w:bCs/>
          <w:kern w:val="2"/>
          <w:sz w:val="22"/>
          <w:szCs w:val="22"/>
          <w:lang w:val="nl-BE" w:eastAsia="en-US"/>
          <w14:ligatures w14:val="standardContextual"/>
        </w:rPr>
        <w:t xml:space="preserve"> </w:t>
      </w:r>
      <w:r w:rsidR="006763C7" w:rsidRPr="00FC3C9E">
        <w:rPr>
          <w:rFonts w:ascii="Calibri" w:eastAsia="Calibri" w:hAnsi="Calibri"/>
          <w:b/>
          <w:bCs/>
          <w:kern w:val="2"/>
          <w:sz w:val="22"/>
          <w:szCs w:val="22"/>
          <w:lang w:val="nl-BE" w:eastAsia="en-US"/>
          <w14:ligatures w14:val="standardContextual"/>
        </w:rPr>
        <w:t>8</w:t>
      </w:r>
      <w:r w:rsidR="008C18B6" w:rsidRPr="00FC3C9E">
        <w:rPr>
          <w:rFonts w:ascii="Calibri" w:eastAsia="Calibri" w:hAnsi="Calibri"/>
          <w:b/>
          <w:bCs/>
          <w:kern w:val="2"/>
          <w:sz w:val="22"/>
          <w:szCs w:val="22"/>
          <w:lang w:val="nl-BE" w:eastAsia="en-US"/>
          <w14:ligatures w14:val="standardContextual"/>
        </w:rPr>
        <w:t>1</w:t>
      </w:r>
    </w:p>
    <w:p w14:paraId="58791711" w14:textId="77777777" w:rsidR="00813F7A" w:rsidRPr="00FC3C9E" w:rsidRDefault="00813F7A" w:rsidP="00813F7A">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Met behoud van de toepassing van andere wettelijke en decretale bepalingen kan niemand de hoedanigheid van statutair personeelslid verliezen, behalve in de gevallen die bepaald zijn door dit besluit.</w:t>
      </w:r>
    </w:p>
    <w:p w14:paraId="3876CFED" w14:textId="342C310E" w:rsidR="00813F7A" w:rsidRPr="00FC3C9E" w:rsidRDefault="00813F7A" w:rsidP="00813F7A">
      <w:pPr>
        <w:ind w:left="0"/>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 xml:space="preserve">Artikel </w:t>
      </w:r>
      <w:r w:rsidR="006763C7" w:rsidRPr="00FC3C9E">
        <w:rPr>
          <w:rFonts w:ascii="Calibri" w:eastAsia="Calibri" w:hAnsi="Calibri"/>
          <w:b/>
          <w:bCs/>
          <w:kern w:val="2"/>
          <w:sz w:val="22"/>
          <w:szCs w:val="22"/>
          <w:lang w:val="nl-BE" w:eastAsia="en-US"/>
          <w14:ligatures w14:val="standardContextual"/>
        </w:rPr>
        <w:t>8</w:t>
      </w:r>
      <w:r w:rsidR="008C18B6" w:rsidRPr="00FC3C9E">
        <w:rPr>
          <w:rFonts w:ascii="Calibri" w:eastAsia="Calibri" w:hAnsi="Calibri"/>
          <w:b/>
          <w:bCs/>
          <w:kern w:val="2"/>
          <w:sz w:val="22"/>
          <w:szCs w:val="22"/>
          <w:lang w:val="nl-BE" w:eastAsia="en-US"/>
          <w14:ligatures w14:val="standardContextual"/>
        </w:rPr>
        <w:t>2</w:t>
      </w:r>
    </w:p>
    <w:p w14:paraId="41138E64" w14:textId="77777777" w:rsidR="00813F7A" w:rsidRPr="00FC3C9E" w:rsidRDefault="00813F7A" w:rsidP="00813F7A">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Ambtshalve wordt een einde gemaakt aan de hoedanigheid van statutair personeelslid:</w:t>
      </w:r>
    </w:p>
    <w:p w14:paraId="264A5D42" w14:textId="77777777" w:rsidR="00813F7A" w:rsidRPr="00FC3C9E" w:rsidRDefault="00813F7A" w:rsidP="00813F7A">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1° als de statutaire aanstelling onregelmatig werd bevonden binnen de termijn voor beroep tot nietigverklaring bij de Raad van State of, als een zodanig beroep is ingesteld, tijdens de procedure;</w:t>
      </w:r>
    </w:p>
    <w:p w14:paraId="0DE87908" w14:textId="77777777" w:rsidR="00813F7A" w:rsidRPr="00FC3C9E" w:rsidRDefault="00813F7A" w:rsidP="00813F7A">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2° als het statutaire personeelslid niet meer voldoet aan de voor zijn functie geldende nationaliteitsvereiste, of de burgerlijke en politieke rechten niet meer geniet, of zijn medische ongeschiktheid voor de functie behoorlijk werd vastgesteld (door MEDEX);</w:t>
      </w:r>
    </w:p>
    <w:p w14:paraId="2A77E965" w14:textId="77777777" w:rsidR="00813F7A" w:rsidRPr="00FC3C9E" w:rsidRDefault="00813F7A" w:rsidP="00813F7A">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3° ingevolge de toepassing van artikel 83 van de wet van 5 augustus 1978 houdende economische en budgettaire hervormingen;</w:t>
      </w:r>
    </w:p>
    <w:p w14:paraId="55419817" w14:textId="77777777" w:rsidR="00813F7A" w:rsidRPr="00FC3C9E" w:rsidRDefault="00813F7A" w:rsidP="00813F7A">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4° als het statutaire personeelslid zich in een toestand bevindt waarin de toepassing van de burgerlijke wetten en van de strafwetten de ambtsneerlegging tot gevolg heeft.</w:t>
      </w:r>
    </w:p>
    <w:p w14:paraId="5074805F" w14:textId="77777777" w:rsidR="00813F7A" w:rsidRPr="00FC3C9E" w:rsidRDefault="00813F7A" w:rsidP="00813F7A">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De termijn, vermeld in punt 1°, geldt niet in geval van arglist of bedrog vanwege het statutaire personeelslid.</w:t>
      </w:r>
    </w:p>
    <w:p w14:paraId="206DAA6F" w14:textId="4EA8CA6A" w:rsidR="00813F7A" w:rsidRPr="00FC3C9E" w:rsidRDefault="00813F7A" w:rsidP="00813F7A">
      <w:pPr>
        <w:ind w:left="0"/>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Artikel</w:t>
      </w:r>
      <w:r w:rsidR="000B6A9A" w:rsidRPr="00FC3C9E">
        <w:rPr>
          <w:rFonts w:ascii="Calibri" w:eastAsia="Calibri" w:hAnsi="Calibri"/>
          <w:b/>
          <w:bCs/>
          <w:kern w:val="2"/>
          <w:sz w:val="22"/>
          <w:szCs w:val="22"/>
          <w:lang w:val="nl-BE" w:eastAsia="en-US"/>
          <w14:ligatures w14:val="standardContextual"/>
        </w:rPr>
        <w:t xml:space="preserve"> </w:t>
      </w:r>
      <w:r w:rsidR="006763C7" w:rsidRPr="00FC3C9E">
        <w:rPr>
          <w:rFonts w:ascii="Calibri" w:eastAsia="Calibri" w:hAnsi="Calibri"/>
          <w:b/>
          <w:bCs/>
          <w:kern w:val="2"/>
          <w:sz w:val="22"/>
          <w:szCs w:val="22"/>
          <w:lang w:val="nl-BE" w:eastAsia="en-US"/>
          <w14:ligatures w14:val="standardContextual"/>
        </w:rPr>
        <w:t>8</w:t>
      </w:r>
      <w:r w:rsidR="008C18B6" w:rsidRPr="00FC3C9E">
        <w:rPr>
          <w:rFonts w:ascii="Calibri" w:eastAsia="Calibri" w:hAnsi="Calibri"/>
          <w:b/>
          <w:bCs/>
          <w:kern w:val="2"/>
          <w:sz w:val="22"/>
          <w:szCs w:val="22"/>
          <w:lang w:val="nl-BE" w:eastAsia="en-US"/>
          <w14:ligatures w14:val="standardContextual"/>
        </w:rPr>
        <w:t>3</w:t>
      </w:r>
    </w:p>
    <w:p w14:paraId="2A3029B6" w14:textId="205AD5C2" w:rsidR="00813F7A" w:rsidRPr="00FC3C9E" w:rsidRDefault="00813F7A" w:rsidP="00813F7A">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 xml:space="preserve">§1. In de gevallen vermeld in artikel </w:t>
      </w:r>
      <w:r w:rsidR="008E0576" w:rsidRPr="00FC3C9E">
        <w:rPr>
          <w:rFonts w:eastAsia="Calibri" w:cs="Arial"/>
          <w:kern w:val="2"/>
          <w:lang w:val="nl-BE" w:eastAsia="en-US"/>
          <w14:ligatures w14:val="standardContextual"/>
        </w:rPr>
        <w:t>8</w:t>
      </w:r>
      <w:r w:rsidR="00EB0610" w:rsidRPr="00FC3C9E">
        <w:rPr>
          <w:rFonts w:eastAsia="Calibri" w:cs="Arial"/>
          <w:kern w:val="2"/>
          <w:lang w:val="nl-BE" w:eastAsia="en-US"/>
          <w14:ligatures w14:val="standardContextual"/>
        </w:rPr>
        <w:t>2</w:t>
      </w:r>
      <w:r w:rsidRPr="00FC3C9E">
        <w:rPr>
          <w:rFonts w:eastAsia="Calibri" w:cs="Arial"/>
          <w:kern w:val="2"/>
          <w:lang w:val="nl-BE" w:eastAsia="en-US"/>
          <w14:ligatures w14:val="standardContextual"/>
        </w:rPr>
        <w:t xml:space="preserve"> wordt een einde</w:t>
      </w:r>
      <w:r w:rsidRPr="00813F7A">
        <w:rPr>
          <w:rFonts w:eastAsia="Calibri" w:cs="Arial"/>
          <w:kern w:val="2"/>
          <w:lang w:val="nl-BE" w:eastAsia="en-US"/>
          <w14:ligatures w14:val="standardContextual"/>
        </w:rPr>
        <w:t xml:space="preserve"> gemaakt aan de hoedanigheid van statutair personeelslid zonder opzeggingstermijn of </w:t>
      </w:r>
      <w:r w:rsidRPr="00FC3C9E">
        <w:rPr>
          <w:rFonts w:eastAsia="Calibri" w:cs="Arial"/>
          <w:kern w:val="2"/>
          <w:lang w:val="nl-BE" w:eastAsia="en-US"/>
          <w14:ligatures w14:val="standardContextual"/>
        </w:rPr>
        <w:t>verbrekingsvergoeding.</w:t>
      </w:r>
    </w:p>
    <w:p w14:paraId="14BCE63D" w14:textId="2CEBE16B" w:rsidR="00813F7A" w:rsidRPr="00FC3C9E" w:rsidRDefault="00813F7A" w:rsidP="00813F7A">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 xml:space="preserve">Het personeelslid van wie de aanstelling onregelmatig werd bevonden als vermeld in artikel </w:t>
      </w:r>
      <w:r w:rsidR="008E0576" w:rsidRPr="00FC3C9E">
        <w:rPr>
          <w:rFonts w:eastAsia="Calibri" w:cs="Arial"/>
          <w:kern w:val="2"/>
          <w:lang w:val="nl-BE" w:eastAsia="en-US"/>
          <w14:ligatures w14:val="standardContextual"/>
        </w:rPr>
        <w:t>8</w:t>
      </w:r>
      <w:r w:rsidR="00EB0610" w:rsidRPr="00FC3C9E">
        <w:rPr>
          <w:rFonts w:eastAsia="Calibri" w:cs="Arial"/>
          <w:kern w:val="2"/>
          <w:lang w:val="nl-BE" w:eastAsia="en-US"/>
          <w14:ligatures w14:val="standardContextual"/>
        </w:rPr>
        <w:t>2</w:t>
      </w:r>
      <w:r w:rsidRPr="00FC3C9E">
        <w:rPr>
          <w:rFonts w:eastAsia="Calibri" w:cs="Arial"/>
          <w:kern w:val="2"/>
          <w:lang w:val="nl-BE" w:eastAsia="en-US"/>
          <w14:ligatures w14:val="standardContextual"/>
        </w:rPr>
        <w:t>, punt 1, na arglist of bedrog, wordt op staande voet ontslagen, ongeacht het tijdstip waarop die onregelmatigheid werd vastgesteld.</w:t>
      </w:r>
    </w:p>
    <w:p w14:paraId="2DD971B3" w14:textId="07931777" w:rsidR="00813F7A" w:rsidRDefault="00813F7A" w:rsidP="00813F7A">
      <w:pPr>
        <w:spacing w:before="0" w:after="160" w:line="259" w:lineRule="auto"/>
        <w:ind w:left="0"/>
        <w:jc w:val="left"/>
        <w:rPr>
          <w:rFonts w:eastAsia="Calibri" w:cs="Arial"/>
          <w:strike/>
          <w:kern w:val="2"/>
          <w:lang w:val="nl-BE" w:eastAsia="en-US"/>
          <w14:ligatures w14:val="standardContextual"/>
        </w:rPr>
      </w:pPr>
      <w:r w:rsidRPr="00FC3C9E">
        <w:rPr>
          <w:rFonts w:eastAsia="Calibri" w:cs="Arial"/>
          <w:kern w:val="2"/>
          <w:lang w:val="nl-BE" w:eastAsia="en-US"/>
          <w14:ligatures w14:val="standardContextual"/>
        </w:rPr>
        <w:t xml:space="preserve">In afwijking van het eerste lid, krijgt het statutaire personeelslid van wie de onregelmatige aanstelling, vermeld in artikel </w:t>
      </w:r>
      <w:r w:rsidR="008E0576" w:rsidRPr="00FC3C9E">
        <w:rPr>
          <w:rFonts w:eastAsia="Calibri" w:cs="Arial"/>
          <w:kern w:val="2"/>
          <w:lang w:val="nl-BE" w:eastAsia="en-US"/>
          <w14:ligatures w14:val="standardContextual"/>
        </w:rPr>
        <w:t>8</w:t>
      </w:r>
      <w:r w:rsidR="00EB0610" w:rsidRPr="00FC3C9E">
        <w:rPr>
          <w:rFonts w:eastAsia="Calibri" w:cs="Arial"/>
          <w:kern w:val="2"/>
          <w:lang w:val="nl-BE" w:eastAsia="en-US"/>
          <w14:ligatures w14:val="standardContextual"/>
        </w:rPr>
        <w:t>2</w:t>
      </w:r>
      <w:r w:rsidRPr="00FC3C9E">
        <w:rPr>
          <w:rFonts w:eastAsia="Calibri" w:cs="Arial"/>
          <w:kern w:val="2"/>
          <w:lang w:val="nl-BE" w:eastAsia="en-US"/>
          <w14:ligatures w14:val="standardContextual"/>
        </w:rPr>
        <w:t>, punt 1, niet te</w:t>
      </w:r>
      <w:r w:rsidRPr="00813F7A">
        <w:rPr>
          <w:rFonts w:eastAsia="Calibri" w:cs="Arial"/>
          <w:kern w:val="2"/>
          <w:lang w:val="nl-BE" w:eastAsia="en-US"/>
          <w14:ligatures w14:val="standardContextual"/>
        </w:rPr>
        <w:t xml:space="preserve"> wijten is aan arglist of bedrog van zijn kant, een verbrekingsvergoeding</w:t>
      </w:r>
      <w:r w:rsidR="00FC3C9E">
        <w:rPr>
          <w:rFonts w:eastAsia="Calibri" w:cs="Arial"/>
          <w:kern w:val="2"/>
          <w:lang w:val="nl-BE" w:eastAsia="en-US"/>
          <w14:ligatures w14:val="standardContextual"/>
        </w:rPr>
        <w:t>.</w:t>
      </w:r>
    </w:p>
    <w:p w14:paraId="4AD6D8C7" w14:textId="30D716F7" w:rsidR="00D57778" w:rsidRDefault="00D57778" w:rsidP="00D57778">
      <w:pPr>
        <w:pStyle w:val="StandaardUitvullen"/>
        <w:ind w:left="0"/>
      </w:pPr>
      <w:r w:rsidRPr="00FC3C9E">
        <w:t>Het bedrag van de verbrekingsvergoeding is gelijk aan het loon van drie maanden</w:t>
      </w:r>
      <w:r w:rsidR="00912470" w:rsidRPr="00FC3C9E">
        <w:t>.</w:t>
      </w:r>
    </w:p>
    <w:p w14:paraId="3974A47B" w14:textId="77777777" w:rsidR="00D57778" w:rsidRPr="00813F7A" w:rsidRDefault="00D57778" w:rsidP="00813F7A">
      <w:pPr>
        <w:spacing w:before="0" w:after="160" w:line="259" w:lineRule="auto"/>
        <w:ind w:left="0"/>
        <w:jc w:val="left"/>
        <w:rPr>
          <w:rFonts w:eastAsia="Calibri" w:cs="Arial"/>
          <w:kern w:val="2"/>
          <w:lang w:val="nl-BE" w:eastAsia="en-US"/>
          <w14:ligatures w14:val="standardContextual"/>
        </w:rPr>
      </w:pPr>
    </w:p>
    <w:p w14:paraId="09EBBB12" w14:textId="77777777" w:rsidR="00813F7A" w:rsidRPr="00813F7A" w:rsidRDefault="00813F7A" w:rsidP="00813F7A">
      <w:pPr>
        <w:spacing w:before="0" w:after="160" w:line="259" w:lineRule="auto"/>
        <w:ind w:left="0"/>
        <w:jc w:val="left"/>
        <w:rPr>
          <w:rFonts w:eastAsia="Calibri" w:cs="Arial"/>
          <w:kern w:val="2"/>
          <w:lang w:val="nl-BE" w:eastAsia="en-US"/>
          <w14:ligatures w14:val="standardContextual"/>
        </w:rPr>
      </w:pPr>
      <w:r w:rsidRPr="00813F7A">
        <w:rPr>
          <w:rFonts w:eastAsia="Calibri" w:cs="Arial"/>
          <w:kern w:val="2"/>
          <w:lang w:val="nl-BE" w:eastAsia="en-US"/>
          <w14:ligatures w14:val="standardContextual"/>
        </w:rPr>
        <w:t>§2. De aanstellende overheid stelt het verlies van de hoedanigheid van statutair personeelslid vast en beslist tot ontslag van het betrokken personeelslid. Het personeelslid wordt vooraf gehoord (behalve bij ambtshalve pensionering).</w:t>
      </w:r>
    </w:p>
    <w:p w14:paraId="33744941" w14:textId="77777777" w:rsidR="00813F7A" w:rsidRPr="00813F7A" w:rsidRDefault="00813F7A" w:rsidP="00813F7A">
      <w:pPr>
        <w:spacing w:before="0" w:after="160" w:line="259" w:lineRule="auto"/>
        <w:ind w:left="0"/>
        <w:jc w:val="left"/>
        <w:rPr>
          <w:rFonts w:eastAsia="Calibri" w:cs="Arial"/>
          <w:kern w:val="2"/>
          <w:lang w:val="nl-BE" w:eastAsia="en-US"/>
          <w14:ligatures w14:val="standardContextual"/>
        </w:rPr>
      </w:pPr>
      <w:r w:rsidRPr="00813F7A">
        <w:rPr>
          <w:rFonts w:eastAsia="Calibri" w:cs="Arial"/>
          <w:kern w:val="2"/>
          <w:lang w:val="nl-BE" w:eastAsia="en-US"/>
          <w14:ligatures w14:val="standardContextual"/>
        </w:rPr>
        <w:t xml:space="preserve">Het ontslag wordt met een aangetekende brief betekend. De brief deelt de beslissing en de redenen ervoor mee en vermeld de ingangsdatum van het ontslag. Het ontslag gaat niet in met terugwerkende </w:t>
      </w:r>
      <w:r w:rsidRPr="00813F7A">
        <w:rPr>
          <w:rFonts w:eastAsia="Calibri" w:cs="Arial"/>
          <w:kern w:val="2"/>
          <w:lang w:val="nl-BE" w:eastAsia="en-US"/>
          <w14:ligatures w14:val="standardContextual"/>
        </w:rPr>
        <w:lastRenderedPageBreak/>
        <w:t>kracht, maar gaat in op de datum vermeld in de ontslagbeslissing, en, als daarin geen datum vermeld wordt, op de dag van de beslissing zelf.</w:t>
      </w:r>
    </w:p>
    <w:p w14:paraId="1CD881C9" w14:textId="77777777" w:rsidR="00813F7A" w:rsidRDefault="00813F7A" w:rsidP="00813F7A">
      <w:pPr>
        <w:spacing w:before="0" w:after="160" w:line="259" w:lineRule="auto"/>
        <w:ind w:left="0"/>
        <w:jc w:val="left"/>
        <w:rPr>
          <w:rFonts w:eastAsia="Calibri" w:cs="Arial"/>
          <w:kern w:val="2"/>
          <w:lang w:val="nl-BE" w:eastAsia="en-US"/>
          <w14:ligatures w14:val="standardContextual"/>
        </w:rPr>
      </w:pPr>
      <w:r w:rsidRPr="00813F7A">
        <w:rPr>
          <w:rFonts w:eastAsia="Calibri" w:cs="Arial"/>
          <w:kern w:val="2"/>
          <w:lang w:val="nl-BE" w:eastAsia="en-US"/>
          <w14:ligatures w14:val="standardContextual"/>
        </w:rPr>
        <w:t>Het vast aangestelde statutaire personeelslid wordt bij zijn ontslag geïnformeerd (indien van toepassing) over alle verplichtingen van bestuur en personeelslid die voortvloeien uit de wet van 20 juli 1991 houdende sociale en diverse andere bepalingen.</w:t>
      </w:r>
    </w:p>
    <w:p w14:paraId="04872D33" w14:textId="6D7DBB16" w:rsidR="003A11FB" w:rsidRPr="00037A46" w:rsidRDefault="003A11FB" w:rsidP="00B44CF7">
      <w:pPr>
        <w:pStyle w:val="Kop2"/>
      </w:pPr>
      <w:bookmarkStart w:id="140" w:name="_Toc110948184"/>
      <w:bookmarkStart w:id="141" w:name="_Toc215738992"/>
      <w:bookmarkStart w:id="142" w:name="OLE_LINK3"/>
      <w:bookmarkStart w:id="143" w:name="OLE_LINK4"/>
      <w:r w:rsidRPr="00037A46">
        <w:t>Hoofdstuk ii. de definitieve ambtsneerlegging van het statutaire personeelslid</w:t>
      </w:r>
      <w:bookmarkEnd w:id="140"/>
      <w:bookmarkEnd w:id="141"/>
    </w:p>
    <w:p w14:paraId="71485FA3" w14:textId="4E79E9BC" w:rsidR="004D2E35" w:rsidRPr="00FC3C9E" w:rsidRDefault="004D2E35" w:rsidP="004D2E35">
      <w:pPr>
        <w:ind w:left="0"/>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 xml:space="preserve">Artikel </w:t>
      </w:r>
      <w:r w:rsidR="006763C7" w:rsidRPr="00FC3C9E">
        <w:rPr>
          <w:rFonts w:ascii="Calibri" w:eastAsia="Calibri" w:hAnsi="Calibri"/>
          <w:b/>
          <w:bCs/>
          <w:kern w:val="2"/>
          <w:sz w:val="22"/>
          <w:szCs w:val="22"/>
          <w:lang w:val="nl-BE" w:eastAsia="en-US"/>
          <w14:ligatures w14:val="standardContextual"/>
        </w:rPr>
        <w:t>8</w:t>
      </w:r>
      <w:r w:rsidR="008C18B6" w:rsidRPr="00FC3C9E">
        <w:rPr>
          <w:rFonts w:ascii="Calibri" w:eastAsia="Calibri" w:hAnsi="Calibri"/>
          <w:b/>
          <w:bCs/>
          <w:kern w:val="2"/>
          <w:sz w:val="22"/>
          <w:szCs w:val="22"/>
          <w:lang w:val="nl-BE" w:eastAsia="en-US"/>
          <w14:ligatures w14:val="standardContextual"/>
        </w:rPr>
        <w:t>4</w:t>
      </w:r>
    </w:p>
    <w:p w14:paraId="46F39499" w14:textId="77777777" w:rsidR="007F3E43" w:rsidRPr="00FC3C9E" w:rsidRDefault="007F3E43" w:rsidP="007F3E43">
      <w:pPr>
        <w:pStyle w:val="StandaardUitvullen"/>
        <w:ind w:left="0"/>
        <w:rPr>
          <w:bCs/>
          <w:iCs/>
        </w:rPr>
      </w:pPr>
      <w:r w:rsidRPr="00FC3C9E">
        <w:rPr>
          <w:bCs/>
          <w:iCs/>
        </w:rPr>
        <w:t>§1. De volgende zaken geven aanleiding tot de definitieve ambtsneerlegging van het statutaire personeelslid op proef:</w:t>
      </w:r>
    </w:p>
    <w:p w14:paraId="09987971" w14:textId="77777777" w:rsidR="007F3E43" w:rsidRPr="00FC3C9E" w:rsidRDefault="007F3E43" w:rsidP="009D4C40">
      <w:pPr>
        <w:pStyle w:val="StandaardUitvullen"/>
        <w:numPr>
          <w:ilvl w:val="2"/>
          <w:numId w:val="114"/>
        </w:numPr>
        <w:tabs>
          <w:tab w:val="clear" w:pos="2831"/>
          <w:tab w:val="num" w:pos="567"/>
        </w:tabs>
        <w:ind w:left="1276" w:hanging="425"/>
      </w:pPr>
      <w:r w:rsidRPr="00FC3C9E">
        <w:t>het vrijwillige ontslag;</w:t>
      </w:r>
    </w:p>
    <w:p w14:paraId="39779EF2" w14:textId="3841B814" w:rsidR="007F3E43" w:rsidRPr="00FC3C9E" w:rsidRDefault="007F3E43" w:rsidP="009D4C40">
      <w:pPr>
        <w:pStyle w:val="StandaardUitvullen"/>
        <w:numPr>
          <w:ilvl w:val="2"/>
          <w:numId w:val="114"/>
        </w:numPr>
        <w:tabs>
          <w:tab w:val="clear" w:pos="2831"/>
          <w:tab w:val="num" w:pos="567"/>
        </w:tabs>
        <w:ind w:left="1276" w:hanging="425"/>
      </w:pPr>
      <w:r w:rsidRPr="00FC3C9E">
        <w:t>het ontslag wegens definitief vastgestelde beroepsongeschiktheid naar aanleiding van het evaluatieresultaat ongunstig voor de eindevaluatie van de proeftijd, of voor de tussentijdse evaluatie in de proeftijd;</w:t>
      </w:r>
    </w:p>
    <w:p w14:paraId="59B5F75D" w14:textId="26741CCF" w:rsidR="00912470" w:rsidRPr="00FC3C9E" w:rsidRDefault="00912470" w:rsidP="009D4C40">
      <w:pPr>
        <w:pStyle w:val="StandaardUitvullen"/>
        <w:numPr>
          <w:ilvl w:val="2"/>
          <w:numId w:val="114"/>
        </w:numPr>
        <w:tabs>
          <w:tab w:val="clear" w:pos="2831"/>
          <w:tab w:val="num" w:pos="567"/>
        </w:tabs>
        <w:ind w:left="1276" w:hanging="425"/>
      </w:pPr>
      <w:r w:rsidRPr="00FC3C9E">
        <w:t>het ontslag of de afzetting als tuchtsanctie</w:t>
      </w:r>
    </w:p>
    <w:p w14:paraId="3D197AE9" w14:textId="77777777" w:rsidR="007F3E43" w:rsidRPr="00FC3C9E" w:rsidRDefault="007F3E43" w:rsidP="007F3E43">
      <w:pPr>
        <w:pStyle w:val="StandaardUitvullen"/>
        <w:ind w:left="0"/>
        <w:rPr>
          <w:bCs/>
          <w:iCs/>
        </w:rPr>
      </w:pPr>
      <w:r w:rsidRPr="00FC3C9E">
        <w:rPr>
          <w:bCs/>
          <w:iCs/>
        </w:rPr>
        <w:t xml:space="preserve">§2. Het statutaire personeelslid op proef dat tijdens de proeftijd na aanwerving in totaal gedurende drie maanden afwezig is wegens ziekte of invaliditeit, kan ontslagen worden door de aanstellende overheid. </w:t>
      </w:r>
    </w:p>
    <w:p w14:paraId="0089DBD1" w14:textId="4698DC2B" w:rsidR="004D2E35" w:rsidRPr="00FC3C9E" w:rsidRDefault="004D2E35" w:rsidP="004D2E35">
      <w:pPr>
        <w:spacing w:before="0" w:after="160" w:line="259" w:lineRule="auto"/>
        <w:ind w:left="0"/>
        <w:jc w:val="left"/>
        <w:rPr>
          <w:rFonts w:eastAsia="Calibri" w:cs="Arial"/>
          <w:bCs/>
          <w:iCs/>
          <w:kern w:val="2"/>
          <w:lang w:val="nl-BE" w:eastAsia="en-US"/>
          <w14:ligatures w14:val="standardContextual"/>
        </w:rPr>
      </w:pPr>
      <w:r w:rsidRPr="00FC3C9E">
        <w:rPr>
          <w:bCs/>
          <w:iCs/>
        </w:rPr>
        <w:t>§</w:t>
      </w:r>
      <w:r w:rsidR="007F3E43" w:rsidRPr="00FC3C9E">
        <w:rPr>
          <w:bCs/>
          <w:iCs/>
        </w:rPr>
        <w:t>3</w:t>
      </w:r>
      <w:r w:rsidRPr="00FC3C9E">
        <w:rPr>
          <w:bCs/>
          <w:iCs/>
        </w:rPr>
        <w:t>.</w:t>
      </w:r>
      <w:r w:rsidRPr="00FC3C9E">
        <w:rPr>
          <w:rFonts w:eastAsia="Calibri" w:cs="Arial"/>
          <w:bCs/>
          <w:iCs/>
          <w:kern w:val="2"/>
          <w:lang w:val="nl-BE" w:eastAsia="en-US"/>
          <w14:ligatures w14:val="standardContextual"/>
        </w:rPr>
        <w:t xml:space="preserve"> De volgende zaken geven aanleiding tot de definitieve ambtsneerlegging van het statutaire personeelslid:</w:t>
      </w:r>
    </w:p>
    <w:p w14:paraId="43C28E1C" w14:textId="43C41BEA" w:rsidR="004D2E35" w:rsidRPr="004D2E35" w:rsidRDefault="004D2E35" w:rsidP="009D4C40">
      <w:pPr>
        <w:pStyle w:val="Lijstalinea"/>
        <w:numPr>
          <w:ilvl w:val="0"/>
          <w:numId w:val="79"/>
        </w:numPr>
        <w:spacing w:before="0" w:after="160" w:line="259" w:lineRule="auto"/>
        <w:jc w:val="left"/>
        <w:rPr>
          <w:rFonts w:eastAsia="Calibri" w:cs="Arial"/>
          <w:kern w:val="2"/>
          <w:lang w:val="nl-BE" w:eastAsia="en-US"/>
          <w14:ligatures w14:val="standardContextual"/>
        </w:rPr>
      </w:pPr>
      <w:r w:rsidRPr="004D2E35">
        <w:rPr>
          <w:rFonts w:eastAsia="Calibri" w:cs="Arial"/>
          <w:kern w:val="2"/>
          <w:lang w:val="nl-BE" w:eastAsia="en-US"/>
          <w14:ligatures w14:val="standardContextual"/>
        </w:rPr>
        <w:t>het vrijwillige ontslag;</w:t>
      </w:r>
    </w:p>
    <w:p w14:paraId="19D28FF5" w14:textId="510B867E" w:rsidR="004D2E35" w:rsidRPr="004D2E35" w:rsidRDefault="004D2E35" w:rsidP="009D4C40">
      <w:pPr>
        <w:pStyle w:val="Lijstalinea"/>
        <w:numPr>
          <w:ilvl w:val="0"/>
          <w:numId w:val="79"/>
        </w:numPr>
        <w:spacing w:before="0" w:after="160" w:line="259" w:lineRule="auto"/>
        <w:jc w:val="left"/>
        <w:rPr>
          <w:rFonts w:eastAsia="Calibri" w:cs="Arial"/>
          <w:kern w:val="2"/>
          <w:lang w:val="nl-BE" w:eastAsia="en-US"/>
          <w14:ligatures w14:val="standardContextual"/>
        </w:rPr>
      </w:pPr>
      <w:r w:rsidRPr="004D2E35">
        <w:rPr>
          <w:rFonts w:eastAsia="Calibri" w:cs="Arial"/>
          <w:kern w:val="2"/>
          <w:lang w:val="nl-BE" w:eastAsia="en-US"/>
          <w14:ligatures w14:val="standardContextual"/>
        </w:rPr>
        <w:t xml:space="preserve">de definitief vastgestelde beroepsongeschiktheid na een ongunstige evaluatie, zoals vermeld in </w:t>
      </w:r>
      <w:r w:rsidRPr="003926F8">
        <w:rPr>
          <w:rFonts w:eastAsia="Calibri" w:cs="Arial"/>
          <w:kern w:val="2"/>
          <w:lang w:val="nl-BE" w:eastAsia="en-US"/>
          <w14:ligatures w14:val="standardContextual"/>
        </w:rPr>
        <w:t xml:space="preserve">artikels </w:t>
      </w:r>
      <w:r w:rsidR="003926F8" w:rsidRPr="003926F8">
        <w:rPr>
          <w:rFonts w:eastAsia="Calibri" w:cs="Arial"/>
          <w:kern w:val="2"/>
          <w:lang w:val="nl-BE" w:eastAsia="en-US"/>
          <w14:ligatures w14:val="standardContextual"/>
        </w:rPr>
        <w:t>32</w:t>
      </w:r>
      <w:r w:rsidRPr="003926F8">
        <w:rPr>
          <w:rFonts w:eastAsia="Calibri" w:cs="Arial"/>
          <w:kern w:val="2"/>
          <w:lang w:val="nl-BE" w:eastAsia="en-US"/>
          <w14:ligatures w14:val="standardContextual"/>
        </w:rPr>
        <w:t xml:space="preserve"> e.v.;</w:t>
      </w:r>
    </w:p>
    <w:p w14:paraId="3E7D14CB" w14:textId="6218BA31" w:rsidR="004D2E35" w:rsidRPr="004D2E35" w:rsidRDefault="004D2E35" w:rsidP="009D4C40">
      <w:pPr>
        <w:pStyle w:val="Lijstalinea"/>
        <w:numPr>
          <w:ilvl w:val="0"/>
          <w:numId w:val="79"/>
        </w:numPr>
        <w:spacing w:before="0" w:after="160" w:line="259" w:lineRule="auto"/>
        <w:jc w:val="left"/>
        <w:rPr>
          <w:rFonts w:eastAsia="Calibri" w:cs="Arial"/>
          <w:kern w:val="2"/>
          <w:lang w:val="nl-BE" w:eastAsia="en-US"/>
          <w14:ligatures w14:val="standardContextual"/>
        </w:rPr>
      </w:pPr>
      <w:r w:rsidRPr="004D2E35">
        <w:rPr>
          <w:rFonts w:eastAsia="Calibri" w:cs="Arial"/>
          <w:kern w:val="2"/>
          <w:lang w:val="nl-BE" w:eastAsia="en-US"/>
          <w14:ligatures w14:val="standardContextual"/>
        </w:rPr>
        <w:t>als het statutaire personeelslid gebruik maakt van de mogelijkheid tot pensionering door toepassing van de pensioenwetgeving op datum van pensionering.</w:t>
      </w:r>
    </w:p>
    <w:p w14:paraId="5F938610" w14:textId="047E49C1" w:rsidR="004D2E35" w:rsidRPr="00FC3C9E" w:rsidRDefault="004D2E35" w:rsidP="004D2E35">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w:t>
      </w:r>
      <w:r w:rsidR="007F3E43" w:rsidRPr="00FC3C9E">
        <w:rPr>
          <w:rFonts w:eastAsia="Calibri" w:cs="Arial"/>
          <w:kern w:val="2"/>
          <w:lang w:val="nl-BE" w:eastAsia="en-US"/>
          <w14:ligatures w14:val="standardContextual"/>
        </w:rPr>
        <w:t>4</w:t>
      </w:r>
      <w:r w:rsidRPr="00FC3C9E">
        <w:rPr>
          <w:rFonts w:eastAsia="Calibri" w:cs="Arial"/>
          <w:kern w:val="2"/>
          <w:lang w:val="nl-BE" w:eastAsia="en-US"/>
          <w14:ligatures w14:val="standardContextual"/>
        </w:rPr>
        <w:t xml:space="preserve">. Bij de beëindiging van de aanstelling van het statutaire personeelslid, vermeld in § </w:t>
      </w:r>
      <w:r w:rsidR="007F3E43" w:rsidRPr="00FC3C9E">
        <w:rPr>
          <w:rFonts w:eastAsia="Calibri" w:cs="Arial"/>
          <w:kern w:val="2"/>
          <w:lang w:val="nl-BE" w:eastAsia="en-US"/>
          <w14:ligatures w14:val="standardContextual"/>
        </w:rPr>
        <w:t>3</w:t>
      </w:r>
      <w:r w:rsidRPr="00FC3C9E">
        <w:rPr>
          <w:rFonts w:eastAsia="Calibri" w:cs="Arial"/>
          <w:kern w:val="2"/>
          <w:lang w:val="nl-BE" w:eastAsia="en-US"/>
          <w14:ligatures w14:val="standardContextual"/>
        </w:rPr>
        <w:t xml:space="preserve">, </w:t>
      </w:r>
      <w:r w:rsidR="007F3E43" w:rsidRPr="00FC3C9E">
        <w:rPr>
          <w:rFonts w:eastAsia="Calibri" w:cs="Arial"/>
          <w:kern w:val="2"/>
          <w:lang w:val="nl-BE" w:eastAsia="en-US"/>
          <w14:ligatures w14:val="standardContextual"/>
        </w:rPr>
        <w:t>3</w:t>
      </w:r>
      <w:r w:rsidRPr="00FC3C9E">
        <w:rPr>
          <w:rFonts w:eastAsia="Calibri" w:cs="Arial"/>
          <w:kern w:val="2"/>
          <w:lang w:val="nl-BE" w:eastAsia="en-US"/>
          <w14:ligatures w14:val="standardContextual"/>
        </w:rPr>
        <w:t>° wordt het personeelslid schriftelijk van het ontslag op de hoogte gebracht.</w:t>
      </w:r>
    </w:p>
    <w:p w14:paraId="398AF73E" w14:textId="0826B209" w:rsidR="004D2E35" w:rsidRPr="00FC3C9E" w:rsidRDefault="004D2E35" w:rsidP="004D2E35">
      <w:pPr>
        <w:ind w:left="0"/>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 xml:space="preserve">Artikel </w:t>
      </w:r>
      <w:r w:rsidR="006763C7" w:rsidRPr="00FC3C9E">
        <w:rPr>
          <w:rFonts w:ascii="Calibri" w:eastAsia="Calibri" w:hAnsi="Calibri"/>
          <w:b/>
          <w:bCs/>
          <w:kern w:val="2"/>
          <w:sz w:val="22"/>
          <w:szCs w:val="22"/>
          <w:lang w:val="nl-BE" w:eastAsia="en-US"/>
          <w14:ligatures w14:val="standardContextual"/>
        </w:rPr>
        <w:t>8</w:t>
      </w:r>
      <w:r w:rsidR="008C18B6" w:rsidRPr="00FC3C9E">
        <w:rPr>
          <w:rFonts w:ascii="Calibri" w:eastAsia="Calibri" w:hAnsi="Calibri"/>
          <w:b/>
          <w:bCs/>
          <w:kern w:val="2"/>
          <w:sz w:val="22"/>
          <w:szCs w:val="22"/>
          <w:lang w:val="nl-BE" w:eastAsia="en-US"/>
          <w14:ligatures w14:val="standardContextual"/>
        </w:rPr>
        <w:t>5</w:t>
      </w:r>
    </w:p>
    <w:p w14:paraId="038E384E" w14:textId="58709C92" w:rsidR="00385463" w:rsidRPr="00FC3C9E" w:rsidRDefault="004D2E35" w:rsidP="00FC3C9E">
      <w:pPr>
        <w:spacing w:before="0" w:after="160" w:line="259" w:lineRule="auto"/>
        <w:ind w:left="0"/>
        <w:jc w:val="left"/>
      </w:pPr>
      <w:r w:rsidRPr="00FC3C9E">
        <w:rPr>
          <w:rFonts w:eastAsia="Calibri" w:cs="Arial"/>
          <w:kern w:val="2"/>
          <w:lang w:val="nl-BE" w:eastAsia="en-US"/>
          <w14:ligatures w14:val="standardContextual"/>
        </w:rPr>
        <w:t xml:space="preserve">§1. </w:t>
      </w:r>
      <w:r w:rsidR="00385463" w:rsidRPr="00FC3C9E">
        <w:t>Het personeelslid dat vrijwillig ontslag neemt, stelt de aanstellende overheid daarvan schriftelijk tegen ontvangstbewijs in kennis en doet een voorstel van opzegtermijn en datum van ingang hiervan.</w:t>
      </w:r>
    </w:p>
    <w:p w14:paraId="0212C7F4" w14:textId="77777777" w:rsidR="00385463" w:rsidRPr="00FC3C9E" w:rsidRDefault="00385463" w:rsidP="00385463">
      <w:pPr>
        <w:pStyle w:val="StandaardUitvullen"/>
        <w:ind w:left="0"/>
      </w:pPr>
      <w:r w:rsidRPr="00FC3C9E">
        <w:t>De aanstellende overheid neemt kennis van de aanvraag tot ontslag en brengt het personeelslid schriftelijk op de hoogte of zij akkoord gaat met dat voorstel.</w:t>
      </w:r>
    </w:p>
    <w:p w14:paraId="258D9749" w14:textId="77777777" w:rsidR="00385463" w:rsidRPr="00FC3C9E" w:rsidRDefault="00385463" w:rsidP="00385463">
      <w:pPr>
        <w:pStyle w:val="StandaardUitvullen"/>
        <w:ind w:left="0"/>
      </w:pPr>
      <w:r w:rsidRPr="00FC3C9E">
        <w:t>Indien de raad de aanstellende overheid is, wordt het personeelslid na de eerstvolgende raad schriftelijk op de hoogte gebracht.</w:t>
      </w:r>
    </w:p>
    <w:p w14:paraId="43F1957A" w14:textId="77777777" w:rsidR="00385463" w:rsidRPr="00FC3C9E" w:rsidRDefault="00385463" w:rsidP="00385463">
      <w:pPr>
        <w:pStyle w:val="StandaardUitvullen"/>
        <w:ind w:left="0"/>
      </w:pPr>
      <w:r w:rsidRPr="00FC3C9E">
        <w:t>Indien de aanstellende overheid niet akkoord gaat met het voorstel van datum waarop het personeelslid de dienst effectief verlaat, wordt deze datum vastgesteld in onderling akkoord tussen het personeelslid en de aanstellende overheid. Indien geen akkoord kan worden bereikt, worden de termijnen zoals omschreven in de wet op de arbeidsovereenkomsten toegepast.</w:t>
      </w:r>
    </w:p>
    <w:p w14:paraId="4679EDF2" w14:textId="170FAB21" w:rsidR="0093046D" w:rsidRPr="0093046D" w:rsidRDefault="0093046D" w:rsidP="0093046D">
      <w:pPr>
        <w:pStyle w:val="StandaardUitvullen"/>
        <w:ind w:left="0"/>
        <w:rPr>
          <w:lang w:val="nl-BE"/>
        </w:rPr>
      </w:pPr>
      <w:r w:rsidRPr="00FC3C9E">
        <w:rPr>
          <w:lang w:val="nl-BE"/>
        </w:rPr>
        <w:t>§2</w:t>
      </w:r>
      <w:r w:rsidR="00FC3C9E" w:rsidRPr="00FC3C9E">
        <w:rPr>
          <w:lang w:val="nl-BE"/>
        </w:rPr>
        <w:t>.</w:t>
      </w:r>
      <w:r w:rsidRPr="00FC3C9E">
        <w:rPr>
          <w:lang w:val="nl-BE"/>
        </w:rPr>
        <w:t xml:space="preserve"> Het personeelslid dat vervroegd met pensioen wenst te gaan vóór het bereiken </w:t>
      </w:r>
      <w:r w:rsidR="00912470" w:rsidRPr="00FC3C9E">
        <w:rPr>
          <w:lang w:val="nl-BE"/>
        </w:rPr>
        <w:t xml:space="preserve">van de pensioengerechtigde </w:t>
      </w:r>
      <w:proofErr w:type="spellStart"/>
      <w:r w:rsidR="00912470" w:rsidRPr="00FC3C9E">
        <w:rPr>
          <w:lang w:val="nl-BE"/>
        </w:rPr>
        <w:t>leeftijfd</w:t>
      </w:r>
      <w:proofErr w:type="spellEnd"/>
      <w:r w:rsidR="00912470" w:rsidRPr="00FC3C9E">
        <w:rPr>
          <w:lang w:val="nl-BE"/>
        </w:rPr>
        <w:t xml:space="preserve"> </w:t>
      </w:r>
      <w:r w:rsidRPr="00FC3C9E">
        <w:rPr>
          <w:lang w:val="nl-BE"/>
        </w:rPr>
        <w:t>brengt de aanstellende overheid schriftelijk op de hoogte. De opzegtermijn bedraagt drie maanden. De opzegtermijn gaat in op de eerste dag van de week die volgt op de betekening van het ontslag en wordt door geen enkele afwezigheid geschorst.</w:t>
      </w:r>
    </w:p>
    <w:p w14:paraId="40A4CA7B" w14:textId="77777777" w:rsidR="0093046D" w:rsidRDefault="0093046D" w:rsidP="00385463">
      <w:pPr>
        <w:pStyle w:val="StandaardUitvullen"/>
        <w:ind w:left="0"/>
      </w:pPr>
    </w:p>
    <w:p w14:paraId="3A30EA95" w14:textId="6753238F" w:rsidR="00385463" w:rsidRPr="00FC3C9E" w:rsidRDefault="004D2E35" w:rsidP="00FC3C9E">
      <w:pPr>
        <w:ind w:left="0"/>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lastRenderedPageBreak/>
        <w:t>Artikel</w:t>
      </w:r>
      <w:r w:rsidR="000B6A9A" w:rsidRPr="00FC3C9E">
        <w:rPr>
          <w:rFonts w:ascii="Calibri" w:eastAsia="Calibri" w:hAnsi="Calibri"/>
          <w:b/>
          <w:bCs/>
          <w:kern w:val="2"/>
          <w:sz w:val="22"/>
          <w:szCs w:val="22"/>
          <w:lang w:val="nl-BE" w:eastAsia="en-US"/>
          <w14:ligatures w14:val="standardContextual"/>
        </w:rPr>
        <w:t xml:space="preserve"> </w:t>
      </w:r>
      <w:r w:rsidR="006763C7" w:rsidRPr="00FC3C9E">
        <w:rPr>
          <w:rFonts w:ascii="Calibri" w:eastAsia="Calibri" w:hAnsi="Calibri"/>
          <w:b/>
          <w:bCs/>
          <w:kern w:val="2"/>
          <w:sz w:val="22"/>
          <w:szCs w:val="22"/>
          <w:lang w:val="nl-BE" w:eastAsia="en-US"/>
          <w14:ligatures w14:val="standardContextual"/>
        </w:rPr>
        <w:t>8</w:t>
      </w:r>
      <w:r w:rsidR="008C18B6" w:rsidRPr="00FC3C9E">
        <w:rPr>
          <w:rFonts w:ascii="Calibri" w:eastAsia="Calibri" w:hAnsi="Calibri"/>
          <w:b/>
          <w:bCs/>
          <w:kern w:val="2"/>
          <w:sz w:val="22"/>
          <w:szCs w:val="22"/>
          <w:lang w:val="nl-BE" w:eastAsia="en-US"/>
          <w14:ligatures w14:val="standardContextual"/>
        </w:rPr>
        <w:t>6</w:t>
      </w:r>
    </w:p>
    <w:p w14:paraId="26642959" w14:textId="045C8389" w:rsidR="00385463" w:rsidRPr="00FC3C9E" w:rsidRDefault="00385463" w:rsidP="00385463">
      <w:pPr>
        <w:pStyle w:val="StandaardUitvullen"/>
        <w:ind w:left="0"/>
        <w:rPr>
          <w:bCs/>
        </w:rPr>
      </w:pPr>
      <w:r w:rsidRPr="00FC3C9E">
        <w:rPr>
          <w:bCs/>
        </w:rPr>
        <w:t>§1</w:t>
      </w:r>
      <w:r w:rsidR="00FC3C9E" w:rsidRPr="00FC3C9E">
        <w:rPr>
          <w:bCs/>
        </w:rPr>
        <w:t>.</w:t>
      </w:r>
      <w:r w:rsidRPr="00FC3C9E">
        <w:rPr>
          <w:bCs/>
        </w:rPr>
        <w:t xml:space="preserve"> Het statutaire personeelslid op proef dat wordt ontslagen wegens definitief vastgestelde beroepsongeschiktheid heeft:</w:t>
      </w:r>
    </w:p>
    <w:p w14:paraId="6B9300AD" w14:textId="77777777" w:rsidR="00385463" w:rsidRPr="00FC3C9E" w:rsidRDefault="00385463" w:rsidP="009D4C40">
      <w:pPr>
        <w:pStyle w:val="StandaardUitvullen"/>
        <w:numPr>
          <w:ilvl w:val="1"/>
          <w:numId w:val="30"/>
        </w:numPr>
        <w:ind w:left="1418"/>
        <w:rPr>
          <w:bCs/>
        </w:rPr>
      </w:pPr>
      <w:r w:rsidRPr="00FC3C9E">
        <w:rPr>
          <w:bCs/>
        </w:rPr>
        <w:t>een opzegtermijn van veertien kalenderdagen, te rekenen vanaf de dag waarop het ontslag werd betekend, voor personeelsleden van niveau E, D en C.</w:t>
      </w:r>
    </w:p>
    <w:p w14:paraId="018DDE08" w14:textId="77777777" w:rsidR="00385463" w:rsidRPr="00FC3C9E" w:rsidRDefault="00385463" w:rsidP="009D4C40">
      <w:pPr>
        <w:pStyle w:val="StandaardUitvullen"/>
        <w:numPr>
          <w:ilvl w:val="1"/>
          <w:numId w:val="30"/>
        </w:numPr>
        <w:ind w:left="1418"/>
        <w:rPr>
          <w:bCs/>
        </w:rPr>
      </w:pPr>
      <w:r w:rsidRPr="00FC3C9E">
        <w:rPr>
          <w:bCs/>
        </w:rPr>
        <w:t>een opzegtermijn van 30 kalenderdagen, te rekenen vanaf de dag waarop het ontslag werd betekend, in alle andere situaties.</w:t>
      </w:r>
    </w:p>
    <w:p w14:paraId="3A8B8770" w14:textId="5D9980D8" w:rsidR="00385463" w:rsidRPr="00FC3C9E" w:rsidRDefault="00385463" w:rsidP="00385463">
      <w:pPr>
        <w:pStyle w:val="StandaardUitvullen"/>
        <w:ind w:left="0"/>
        <w:rPr>
          <w:bCs/>
        </w:rPr>
      </w:pPr>
      <w:r w:rsidRPr="00FC3C9E">
        <w:rPr>
          <w:bCs/>
        </w:rPr>
        <w:t>§2</w:t>
      </w:r>
      <w:r w:rsidR="00FC3C9E" w:rsidRPr="00FC3C9E">
        <w:rPr>
          <w:bCs/>
        </w:rPr>
        <w:t>.</w:t>
      </w:r>
      <w:r w:rsidRPr="00FC3C9E">
        <w:rPr>
          <w:bCs/>
        </w:rPr>
        <w:t xml:space="preserve"> Het statutaire personeelslid op proef dat wordt ontslagen wegens een afwezigheid wegens ziekte van minimum 3 maanden tijdens de proeftijd heeft geen opzeggingstermijn.</w:t>
      </w:r>
    </w:p>
    <w:p w14:paraId="15D7A5D0" w14:textId="4F2ED0CD" w:rsidR="00385463" w:rsidRDefault="00385463" w:rsidP="00385463">
      <w:pPr>
        <w:pStyle w:val="StandaardUitvullen"/>
        <w:ind w:left="0"/>
      </w:pPr>
      <w:r w:rsidRPr="00FC3C9E">
        <w:rPr>
          <w:bCs/>
        </w:rPr>
        <w:t>§3</w:t>
      </w:r>
      <w:r w:rsidR="00FC3C9E" w:rsidRPr="00FC3C9E">
        <w:rPr>
          <w:bCs/>
        </w:rPr>
        <w:t>.</w:t>
      </w:r>
      <w:r w:rsidRPr="00FC3C9E">
        <w:rPr>
          <w:bCs/>
        </w:rPr>
        <w:t xml:space="preserve"> Het</w:t>
      </w:r>
      <w:r w:rsidRPr="00FC3C9E">
        <w:t xml:space="preserve"> ontslag wordt met een aangetekende brief, die de datum van uitwerking vermeldt, betekend.</w:t>
      </w:r>
    </w:p>
    <w:p w14:paraId="135B0890" w14:textId="77777777" w:rsidR="00385463" w:rsidRPr="00385463" w:rsidRDefault="00385463" w:rsidP="00385463">
      <w:pPr>
        <w:pStyle w:val="Lijstalinea"/>
        <w:spacing w:before="0" w:after="160" w:line="259" w:lineRule="auto"/>
        <w:ind w:left="360"/>
        <w:jc w:val="left"/>
        <w:rPr>
          <w:rFonts w:eastAsia="Calibri" w:cs="Arial"/>
          <w:strike/>
          <w:kern w:val="2"/>
          <w:highlight w:val="yellow"/>
          <w:lang w:val="nl-BE" w:eastAsia="en-US"/>
          <w14:ligatures w14:val="standardContextual"/>
        </w:rPr>
      </w:pPr>
    </w:p>
    <w:p w14:paraId="678C1C17" w14:textId="28876C2C" w:rsidR="004D2E35" w:rsidRPr="00FC3C9E" w:rsidRDefault="004D2E35" w:rsidP="004D2E35">
      <w:pPr>
        <w:ind w:left="0"/>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Artikel</w:t>
      </w:r>
      <w:r w:rsidR="000B6A9A" w:rsidRPr="00FC3C9E">
        <w:rPr>
          <w:rFonts w:ascii="Calibri" w:eastAsia="Calibri" w:hAnsi="Calibri"/>
          <w:b/>
          <w:bCs/>
          <w:kern w:val="2"/>
          <w:sz w:val="22"/>
          <w:szCs w:val="22"/>
          <w:lang w:val="nl-BE" w:eastAsia="en-US"/>
          <w14:ligatures w14:val="standardContextual"/>
        </w:rPr>
        <w:t xml:space="preserve"> </w:t>
      </w:r>
      <w:r w:rsidR="006763C7" w:rsidRPr="00FC3C9E">
        <w:rPr>
          <w:rFonts w:ascii="Calibri" w:eastAsia="Calibri" w:hAnsi="Calibri"/>
          <w:b/>
          <w:bCs/>
          <w:kern w:val="2"/>
          <w:sz w:val="22"/>
          <w:szCs w:val="22"/>
          <w:lang w:val="nl-BE" w:eastAsia="en-US"/>
          <w14:ligatures w14:val="standardContextual"/>
        </w:rPr>
        <w:t>8</w:t>
      </w:r>
      <w:r w:rsidR="008C18B6" w:rsidRPr="00FC3C9E">
        <w:rPr>
          <w:rFonts w:ascii="Calibri" w:eastAsia="Calibri" w:hAnsi="Calibri"/>
          <w:b/>
          <w:bCs/>
          <w:kern w:val="2"/>
          <w:sz w:val="22"/>
          <w:szCs w:val="22"/>
          <w:lang w:val="nl-BE" w:eastAsia="en-US"/>
          <w14:ligatures w14:val="standardContextual"/>
        </w:rPr>
        <w:t>7</w:t>
      </w:r>
    </w:p>
    <w:p w14:paraId="2B2FFFFA" w14:textId="0063F559" w:rsidR="00385463" w:rsidRPr="00FC3C9E" w:rsidRDefault="00385463" w:rsidP="00385463">
      <w:pPr>
        <w:ind w:left="0"/>
        <w:rPr>
          <w:bCs/>
        </w:rPr>
      </w:pPr>
      <w:r w:rsidRPr="00FC3C9E">
        <w:rPr>
          <w:bCs/>
        </w:rPr>
        <w:t>§1</w:t>
      </w:r>
      <w:r w:rsidR="00FC3C9E" w:rsidRPr="00FC3C9E">
        <w:rPr>
          <w:bCs/>
        </w:rPr>
        <w:t>.</w:t>
      </w:r>
      <w:r w:rsidRPr="00FC3C9E">
        <w:rPr>
          <w:bCs/>
        </w:rPr>
        <w:t xml:space="preserve"> Het ontslag wegens definitief vastgestelde beroepsongeschiktheid van het vast aangestelde statutaire personeelslid wordt met een aangetekende brief betekend. Daarbij wordt de datum van uitwerking vermeld en wordt het personeelslid geïnformeerd over alle verplichtingen van bestuur en personeelslid die voortvloeien uit de wet van 20 juli 1991 houdende sociale en diverse bepalingen.</w:t>
      </w:r>
      <w:r w:rsidRPr="00FC3C9E">
        <w:rPr>
          <w:rStyle w:val="Voetnootmarkering"/>
          <w:bCs/>
        </w:rPr>
        <w:t xml:space="preserve">  </w:t>
      </w:r>
    </w:p>
    <w:p w14:paraId="6B7BD59C" w14:textId="77777777" w:rsidR="00385463" w:rsidRPr="00FC3C9E" w:rsidRDefault="00385463" w:rsidP="00385463">
      <w:pPr>
        <w:pStyle w:val="StandaardUitvullen"/>
        <w:ind w:left="0"/>
        <w:rPr>
          <w:bCs/>
        </w:rPr>
      </w:pPr>
      <w:r w:rsidRPr="00FC3C9E">
        <w:rPr>
          <w:bCs/>
        </w:rPr>
        <w:t>De opzegtermijn gaat in op de eerste dag van de maand die volgt op de betekening van het ontslag.</w:t>
      </w:r>
    </w:p>
    <w:p w14:paraId="08BEBFEE" w14:textId="4759F2C8" w:rsidR="00385463" w:rsidRPr="004E19EB" w:rsidRDefault="00385463" w:rsidP="00385463">
      <w:pPr>
        <w:ind w:left="0"/>
      </w:pPr>
      <w:r w:rsidRPr="00FC3C9E">
        <w:rPr>
          <w:bCs/>
        </w:rPr>
        <w:t>§2</w:t>
      </w:r>
      <w:r w:rsidR="00FC3C9E" w:rsidRPr="00FC3C9E">
        <w:rPr>
          <w:bCs/>
        </w:rPr>
        <w:t>.</w:t>
      </w:r>
      <w:r w:rsidRPr="00FC3C9E">
        <w:rPr>
          <w:bCs/>
        </w:rPr>
        <w:t xml:space="preserve"> De</w:t>
      </w:r>
      <w:r w:rsidRPr="00FC3C9E">
        <w:t xml:space="preserve"> opzegtermijn bedraagt drie maanden en wordt door geen enkele afwezigheid geschorst.</w:t>
      </w:r>
    </w:p>
    <w:p w14:paraId="0B7BE5EA" w14:textId="77777777" w:rsidR="00385463" w:rsidRPr="001E6D85" w:rsidRDefault="00385463" w:rsidP="004D2E35">
      <w:pPr>
        <w:spacing w:before="0" w:after="160" w:line="259" w:lineRule="auto"/>
        <w:ind w:left="0"/>
        <w:jc w:val="left"/>
        <w:rPr>
          <w:rFonts w:eastAsia="Calibri" w:cs="Arial"/>
          <w:kern w:val="2"/>
          <w:lang w:val="nl-BE" w:eastAsia="en-US"/>
          <w14:ligatures w14:val="standardContextual"/>
        </w:rPr>
      </w:pPr>
    </w:p>
    <w:p w14:paraId="259F696D" w14:textId="30DC59D3" w:rsidR="004D2E35" w:rsidRPr="00FC3C9E" w:rsidRDefault="004D2E35" w:rsidP="004D2E35">
      <w:pPr>
        <w:ind w:left="0"/>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Artikel</w:t>
      </w:r>
      <w:r w:rsidR="000B6A9A" w:rsidRPr="00FC3C9E">
        <w:rPr>
          <w:rFonts w:ascii="Calibri" w:eastAsia="Calibri" w:hAnsi="Calibri"/>
          <w:b/>
          <w:bCs/>
          <w:kern w:val="2"/>
          <w:sz w:val="22"/>
          <w:szCs w:val="22"/>
          <w:lang w:val="nl-BE" w:eastAsia="en-US"/>
          <w14:ligatures w14:val="standardContextual"/>
        </w:rPr>
        <w:t xml:space="preserve"> </w:t>
      </w:r>
      <w:r w:rsidR="006763C7" w:rsidRPr="00FC3C9E">
        <w:rPr>
          <w:rFonts w:ascii="Calibri" w:eastAsia="Calibri" w:hAnsi="Calibri"/>
          <w:b/>
          <w:bCs/>
          <w:kern w:val="2"/>
          <w:sz w:val="22"/>
          <w:szCs w:val="22"/>
          <w:lang w:val="nl-BE" w:eastAsia="en-US"/>
          <w14:ligatures w14:val="standardContextual"/>
        </w:rPr>
        <w:t>8</w:t>
      </w:r>
      <w:r w:rsidR="008C18B6" w:rsidRPr="00FC3C9E">
        <w:rPr>
          <w:rFonts w:ascii="Calibri" w:eastAsia="Calibri" w:hAnsi="Calibri"/>
          <w:b/>
          <w:bCs/>
          <w:kern w:val="2"/>
          <w:sz w:val="22"/>
          <w:szCs w:val="22"/>
          <w:lang w:val="nl-BE" w:eastAsia="en-US"/>
          <w14:ligatures w14:val="standardContextual"/>
        </w:rPr>
        <w:t>8</w:t>
      </w:r>
    </w:p>
    <w:p w14:paraId="46DBE06C" w14:textId="685CA948" w:rsidR="00385463" w:rsidRPr="00FC3C9E" w:rsidRDefault="00385463" w:rsidP="00FC3C9E">
      <w:pPr>
        <w:pStyle w:val="StandaardUitvullen"/>
        <w:ind w:left="0"/>
        <w:rPr>
          <w:lang w:eastAsia="en-US"/>
        </w:rPr>
      </w:pPr>
      <w:r w:rsidRPr="00FC3C9E">
        <w:rPr>
          <w:lang w:eastAsia="en-US"/>
        </w:rPr>
        <w:t>In onderling akkoord tussen het personeelslid en de aanstellende overheid kan de opzegtermijn van het vast aangestelde statutaire personeelslid dat ontslagen wordt wegens definitief vastgestelde beroepsongeschiktheid, worden ingekort.</w:t>
      </w:r>
    </w:p>
    <w:p w14:paraId="449017AF" w14:textId="6B81BF12" w:rsidR="006237BC" w:rsidRPr="00FC3C9E" w:rsidRDefault="006237BC" w:rsidP="00B44CF7">
      <w:pPr>
        <w:pStyle w:val="Kop2"/>
      </w:pPr>
      <w:bookmarkStart w:id="144" w:name="_Toc398797092"/>
      <w:bookmarkStart w:id="145" w:name="_Toc400031268"/>
      <w:bookmarkStart w:id="146" w:name="_Toc471909104"/>
      <w:bookmarkStart w:id="147" w:name="_Toc110948185"/>
      <w:bookmarkStart w:id="148" w:name="_Toc215738993"/>
      <w:r w:rsidRPr="00FC3C9E">
        <w:t xml:space="preserve">Hoofdstuk iii. </w:t>
      </w:r>
      <w:r w:rsidR="00FA3449" w:rsidRPr="00FC3C9E">
        <w:t>het outplacement</w:t>
      </w:r>
      <w:bookmarkEnd w:id="144"/>
      <w:bookmarkEnd w:id="145"/>
      <w:bookmarkEnd w:id="146"/>
      <w:bookmarkEnd w:id="147"/>
      <w:bookmarkEnd w:id="148"/>
    </w:p>
    <w:p w14:paraId="66E9632C" w14:textId="133A0B7B" w:rsidR="006237BC" w:rsidRPr="00037A46" w:rsidRDefault="00563F5F" w:rsidP="00CD575A">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Artikel</w:t>
      </w:r>
      <w:r w:rsidR="000B6A9A" w:rsidRPr="00FC3C9E">
        <w:rPr>
          <w:rFonts w:ascii="Calibri" w:eastAsia="Calibri" w:hAnsi="Calibri"/>
          <w:b/>
          <w:bCs/>
          <w:kern w:val="2"/>
          <w:sz w:val="22"/>
          <w:szCs w:val="22"/>
          <w:lang w:val="nl-BE" w:eastAsia="en-US"/>
          <w14:ligatures w14:val="standardContextual"/>
        </w:rPr>
        <w:t xml:space="preserve"> </w:t>
      </w:r>
      <w:r w:rsidR="008C18B6" w:rsidRPr="00FC3C9E">
        <w:rPr>
          <w:rFonts w:ascii="Calibri" w:eastAsia="Calibri" w:hAnsi="Calibri"/>
          <w:b/>
          <w:bCs/>
          <w:kern w:val="2"/>
          <w:sz w:val="22"/>
          <w:szCs w:val="22"/>
          <w:lang w:val="nl-BE" w:eastAsia="en-US"/>
          <w14:ligatures w14:val="standardContextual"/>
        </w:rPr>
        <w:t>89</w:t>
      </w:r>
    </w:p>
    <w:p w14:paraId="228E7D95" w14:textId="53AEAFDB" w:rsidR="006237BC" w:rsidRPr="008F294D" w:rsidRDefault="00AB077E" w:rsidP="008F294D">
      <w:pPr>
        <w:spacing w:before="0" w:after="160" w:line="259" w:lineRule="auto"/>
        <w:ind w:left="0"/>
        <w:jc w:val="left"/>
        <w:rPr>
          <w:rFonts w:eastAsia="Calibri" w:cs="Arial"/>
          <w:kern w:val="2"/>
          <w:lang w:val="nl-BE" w:eastAsia="en-US"/>
          <w14:ligatures w14:val="standardContextual"/>
        </w:rPr>
      </w:pPr>
      <w:r w:rsidRPr="008F294D">
        <w:rPr>
          <w:rFonts w:eastAsia="Calibri" w:cs="Arial"/>
          <w:kern w:val="2"/>
          <w:lang w:val="nl-BE" w:eastAsia="en-US"/>
          <w14:ligatures w14:val="standardContextual"/>
        </w:rPr>
        <w:t>§1</w:t>
      </w:r>
      <w:r w:rsidR="008F294D">
        <w:rPr>
          <w:rFonts w:eastAsia="Calibri" w:cs="Arial"/>
          <w:kern w:val="2"/>
          <w:lang w:val="nl-BE" w:eastAsia="en-US"/>
          <w14:ligatures w14:val="standardContextual"/>
        </w:rPr>
        <w:t>.</w:t>
      </w:r>
      <w:r w:rsidRPr="008F294D">
        <w:rPr>
          <w:rFonts w:eastAsia="Calibri" w:cs="Arial"/>
          <w:kern w:val="2"/>
          <w:lang w:val="nl-BE" w:eastAsia="en-US"/>
          <w14:ligatures w14:val="standardContextual"/>
        </w:rPr>
        <w:t xml:space="preserve"> </w:t>
      </w:r>
      <w:r w:rsidR="006237BC" w:rsidRPr="008F294D">
        <w:rPr>
          <w:rFonts w:eastAsia="Calibri" w:cs="Arial"/>
          <w:kern w:val="2"/>
          <w:lang w:val="nl-BE" w:eastAsia="en-US"/>
          <w14:ligatures w14:val="standardContextual"/>
        </w:rPr>
        <w:t>Indien het personeelslid een opzegtermijn heeft van minstens 30 weken, heeft het recht op een ontslagpakket.</w:t>
      </w:r>
    </w:p>
    <w:p w14:paraId="4F747480" w14:textId="753E8C1F" w:rsidR="006237BC" w:rsidRPr="008F294D" w:rsidRDefault="00AB077E" w:rsidP="008F294D">
      <w:pPr>
        <w:spacing w:before="0" w:after="160" w:line="259" w:lineRule="auto"/>
        <w:ind w:left="0"/>
        <w:jc w:val="left"/>
        <w:rPr>
          <w:rFonts w:eastAsia="Calibri" w:cs="Arial"/>
          <w:kern w:val="2"/>
          <w:lang w:val="nl-BE" w:eastAsia="en-US"/>
          <w14:ligatures w14:val="standardContextual"/>
        </w:rPr>
      </w:pPr>
      <w:r w:rsidRPr="008F294D">
        <w:rPr>
          <w:rFonts w:eastAsia="Calibri" w:cs="Arial"/>
          <w:kern w:val="2"/>
          <w:lang w:val="nl-BE" w:eastAsia="en-US"/>
          <w14:ligatures w14:val="standardContextual"/>
        </w:rPr>
        <w:t>§2</w:t>
      </w:r>
      <w:r w:rsidR="008F294D">
        <w:rPr>
          <w:rFonts w:eastAsia="Calibri" w:cs="Arial"/>
          <w:kern w:val="2"/>
          <w:lang w:val="nl-BE" w:eastAsia="en-US"/>
          <w14:ligatures w14:val="standardContextual"/>
        </w:rPr>
        <w:t>.</w:t>
      </w:r>
      <w:r w:rsidRPr="008F294D">
        <w:rPr>
          <w:rFonts w:eastAsia="Calibri" w:cs="Arial"/>
          <w:kern w:val="2"/>
          <w:lang w:val="nl-BE" w:eastAsia="en-US"/>
          <w14:ligatures w14:val="standardContextual"/>
        </w:rPr>
        <w:t xml:space="preserve"> </w:t>
      </w:r>
      <w:r w:rsidR="006237BC" w:rsidRPr="008F294D">
        <w:rPr>
          <w:rFonts w:eastAsia="Calibri" w:cs="Arial"/>
          <w:kern w:val="2"/>
          <w:lang w:val="nl-BE" w:eastAsia="en-US"/>
          <w14:ligatures w14:val="standardContextual"/>
        </w:rPr>
        <w:t>Indien het personeelslid wordt ontslagen met een opzegtermijn van minstens 30 weken bestaat het ontslagpakket uit een outplacementbegeleiding van 60 uren. De tijd hieraan besteed, wordt aangerekend op het sollicitatieverlof.</w:t>
      </w:r>
    </w:p>
    <w:p w14:paraId="41A63541" w14:textId="1662340C" w:rsidR="006237BC" w:rsidRPr="008F294D" w:rsidRDefault="00AB077E" w:rsidP="008F294D">
      <w:pPr>
        <w:spacing w:before="0" w:after="160" w:line="259" w:lineRule="auto"/>
        <w:ind w:left="0"/>
        <w:jc w:val="left"/>
        <w:rPr>
          <w:rFonts w:eastAsia="Calibri" w:cs="Arial"/>
          <w:kern w:val="2"/>
          <w:lang w:val="nl-BE" w:eastAsia="en-US"/>
          <w14:ligatures w14:val="standardContextual"/>
        </w:rPr>
      </w:pPr>
      <w:r w:rsidRPr="008F294D">
        <w:rPr>
          <w:rFonts w:eastAsia="Calibri" w:cs="Arial"/>
          <w:kern w:val="2"/>
          <w:lang w:val="nl-BE" w:eastAsia="en-US"/>
          <w14:ligatures w14:val="standardContextual"/>
        </w:rPr>
        <w:t>§3</w:t>
      </w:r>
      <w:r w:rsidR="008F294D">
        <w:rPr>
          <w:rFonts w:eastAsia="Calibri" w:cs="Arial"/>
          <w:kern w:val="2"/>
          <w:lang w:val="nl-BE" w:eastAsia="en-US"/>
          <w14:ligatures w14:val="standardContextual"/>
        </w:rPr>
        <w:t>.</w:t>
      </w:r>
      <w:r w:rsidRPr="008F294D">
        <w:rPr>
          <w:rFonts w:eastAsia="Calibri" w:cs="Arial"/>
          <w:kern w:val="2"/>
          <w:lang w:val="nl-BE" w:eastAsia="en-US"/>
          <w14:ligatures w14:val="standardContextual"/>
        </w:rPr>
        <w:t xml:space="preserve"> </w:t>
      </w:r>
      <w:r w:rsidR="006237BC" w:rsidRPr="008F294D">
        <w:rPr>
          <w:rFonts w:eastAsia="Calibri" w:cs="Arial"/>
          <w:kern w:val="2"/>
          <w:lang w:val="nl-BE" w:eastAsia="en-US"/>
          <w14:ligatures w14:val="standardContextual"/>
        </w:rPr>
        <w:t xml:space="preserve">Indien het personeelslid wordt ontslagen met een opzegvergoeding van minstens 30 weken, bestaat het ontslagpakket </w:t>
      </w:r>
      <w:r w:rsidR="000B17AD" w:rsidRPr="008F294D">
        <w:rPr>
          <w:rFonts w:eastAsia="Calibri" w:cs="Arial"/>
          <w:kern w:val="2"/>
          <w:lang w:val="nl-BE" w:eastAsia="en-US"/>
          <w14:ligatures w14:val="standardContextual"/>
        </w:rPr>
        <w:t>uit:</w:t>
      </w:r>
    </w:p>
    <w:p w14:paraId="2055E7E4" w14:textId="77777777" w:rsidR="006237BC" w:rsidRPr="002A66BD" w:rsidRDefault="006237BC" w:rsidP="009D4C40">
      <w:pPr>
        <w:pStyle w:val="Lijstalinea"/>
        <w:numPr>
          <w:ilvl w:val="0"/>
          <w:numId w:val="81"/>
        </w:numPr>
        <w:spacing w:before="0" w:after="160" w:line="259" w:lineRule="auto"/>
        <w:jc w:val="left"/>
        <w:rPr>
          <w:rFonts w:eastAsia="Calibri" w:cs="Arial"/>
          <w:kern w:val="2"/>
          <w:lang w:val="nl-BE" w:eastAsia="en-US"/>
          <w14:ligatures w14:val="standardContextual"/>
        </w:rPr>
      </w:pPr>
      <w:r w:rsidRPr="002A66BD">
        <w:rPr>
          <w:rFonts w:eastAsia="Calibri" w:cs="Arial"/>
          <w:kern w:val="2"/>
          <w:lang w:val="nl-BE" w:eastAsia="en-US"/>
          <w14:ligatures w14:val="standardContextual"/>
        </w:rPr>
        <w:t>een opzegvergoeding gelijk aan minstens 30 weken loon, waarvan 4 weken worden aangerekend voor de waarde van de outplacementbegeleiding;</w:t>
      </w:r>
    </w:p>
    <w:p w14:paraId="1AADD12D" w14:textId="77777777" w:rsidR="006237BC" w:rsidRPr="002A66BD" w:rsidRDefault="006237BC" w:rsidP="009D4C40">
      <w:pPr>
        <w:pStyle w:val="Lijstalinea"/>
        <w:numPr>
          <w:ilvl w:val="0"/>
          <w:numId w:val="81"/>
        </w:numPr>
        <w:spacing w:before="0" w:after="160" w:line="259" w:lineRule="auto"/>
        <w:jc w:val="left"/>
        <w:rPr>
          <w:rFonts w:eastAsia="Calibri" w:cs="Arial"/>
          <w:kern w:val="2"/>
          <w:lang w:val="nl-BE" w:eastAsia="en-US"/>
          <w14:ligatures w14:val="standardContextual"/>
        </w:rPr>
      </w:pPr>
      <w:r w:rsidRPr="002A66BD">
        <w:rPr>
          <w:rFonts w:eastAsia="Calibri" w:cs="Arial"/>
          <w:kern w:val="2"/>
          <w:lang w:val="nl-BE" w:eastAsia="en-US"/>
          <w14:ligatures w14:val="standardContextual"/>
        </w:rPr>
        <w:t>een outplacementbegeleiding van 60 uren, ter waarde van 1/12van het jaarloon van het kalenderjaar dat het ontslag voorafgaat, met een minimumwaarde van 1.800 euro en een maximumwaarde van 5.500 euro.</w:t>
      </w:r>
    </w:p>
    <w:p w14:paraId="193E596E" w14:textId="3C7EDACD" w:rsidR="006237BC" w:rsidRPr="0052167D" w:rsidRDefault="001A0332" w:rsidP="001A0332">
      <w:pPr>
        <w:pStyle w:val="StandaardUitvullen"/>
        <w:ind w:left="0"/>
        <w:rPr>
          <w:b/>
          <w:bCs/>
          <w:lang w:eastAsia="en-US"/>
        </w:rPr>
      </w:pPr>
      <w:r w:rsidRPr="0052167D">
        <w:rPr>
          <w:b/>
          <w:bCs/>
          <w:lang w:eastAsia="en-US"/>
        </w:rPr>
        <w:t xml:space="preserve">Artikel </w:t>
      </w:r>
      <w:r w:rsidR="006763C7" w:rsidRPr="002679BC">
        <w:rPr>
          <w:b/>
          <w:bCs/>
          <w:lang w:eastAsia="en-US"/>
        </w:rPr>
        <w:t>9</w:t>
      </w:r>
      <w:r w:rsidR="008C18B6" w:rsidRPr="002679BC">
        <w:rPr>
          <w:b/>
          <w:bCs/>
          <w:lang w:eastAsia="en-US"/>
        </w:rPr>
        <w:t>0</w:t>
      </w:r>
    </w:p>
    <w:p w14:paraId="23E4AAA3" w14:textId="45D724F2" w:rsidR="008C18B6" w:rsidRPr="00D96313" w:rsidRDefault="0052167D" w:rsidP="00FC3C9E">
      <w:pPr>
        <w:pStyle w:val="StandaardUitvullen"/>
        <w:ind w:left="0"/>
        <w:rPr>
          <w:lang w:eastAsia="en-US"/>
        </w:rPr>
      </w:pPr>
      <w:r>
        <w:rPr>
          <w:lang w:eastAsia="en-US"/>
        </w:rPr>
        <w:t>Indien de werkgever zich beroept op medische overmacht om de arbeidsovereenkomst te beëindigen, wordt er 1.800 euro gestort aan het ‘Terug Naar Werk’-fonds.</w:t>
      </w:r>
    </w:p>
    <w:p w14:paraId="167305FC" w14:textId="15D405AF" w:rsidR="008C18B6" w:rsidRPr="00FC3C9E" w:rsidRDefault="008C18B6" w:rsidP="008C18B6">
      <w:pPr>
        <w:pStyle w:val="Kop1"/>
        <w:jc w:val="left"/>
        <w:rPr>
          <w:bCs/>
        </w:rPr>
      </w:pPr>
      <w:bookmarkStart w:id="149" w:name="_Toc357153868"/>
      <w:bookmarkStart w:id="150" w:name="_Toc482603050"/>
      <w:bookmarkStart w:id="151" w:name="_Toc110948176"/>
      <w:bookmarkStart w:id="152" w:name="_Toc215738994"/>
      <w:bookmarkStart w:id="153" w:name="OLE_LINK41"/>
      <w:r w:rsidRPr="00FC3C9E">
        <w:rPr>
          <w:bCs/>
        </w:rPr>
        <w:lastRenderedPageBreak/>
        <w:t xml:space="preserve">TITEL 4 </w:t>
      </w:r>
      <w:bookmarkEnd w:id="149"/>
      <w:bookmarkEnd w:id="150"/>
      <w:bookmarkEnd w:id="151"/>
      <w:r w:rsidR="00DA7F47" w:rsidRPr="00FC3C9E">
        <w:rPr>
          <w:bCs/>
        </w:rPr>
        <w:t>OVERDRACHT EN TERBESCHIKKINGSTELLING VAN PERSONEEL</w:t>
      </w:r>
      <w:bookmarkEnd w:id="152"/>
    </w:p>
    <w:p w14:paraId="1DD4B0EE" w14:textId="6757AB89" w:rsidR="008C18B6" w:rsidRPr="00FC3C9E" w:rsidRDefault="008C18B6" w:rsidP="008C18B6">
      <w:pPr>
        <w:pStyle w:val="Kop5"/>
      </w:pPr>
      <w:r w:rsidRPr="00FC3C9E">
        <w:t>Artikel 91</w:t>
      </w:r>
    </w:p>
    <w:p w14:paraId="0C65A75B" w14:textId="1425C69F" w:rsidR="008C18B6" w:rsidRPr="00FC3C9E" w:rsidRDefault="00DA7F47" w:rsidP="00BD780E">
      <w:pPr>
        <w:ind w:left="0"/>
      </w:pPr>
      <w:r w:rsidRPr="00FC3C9E">
        <w:t>§1</w:t>
      </w:r>
      <w:r w:rsidR="00BD780E">
        <w:t>.</w:t>
      </w:r>
      <w:r w:rsidRPr="00FC3C9E">
        <w:t xml:space="preserve"> Onverminderd</w:t>
      </w:r>
      <w:r w:rsidR="008C18B6" w:rsidRPr="00FC3C9E">
        <w:t xml:space="preserve"> andersluidende wettelijke of decretale bepalingen en met uitzondering van de personeelsleden, vermeld in artikel 162, §1, en 183, §1, DLB kunnen een gemeente, het autonoom gemeentebedrijf van die gemeente, het openbaar centrum voor maatschappelijk welzijn dat de gemeente bedient, een publiekrechtelijke vereniging van dat openbaar centrum voor maatschappelijk welzijn en een intergemeentelijk samenwerkingsverband waarin een van de voormelde besturen deelneemt, aan elkaar personeel overdragen.</w:t>
      </w:r>
    </w:p>
    <w:p w14:paraId="589BFF25" w14:textId="084184E7" w:rsidR="008C18B6" w:rsidRPr="00FC3C9E" w:rsidRDefault="00DA7F47" w:rsidP="00BD780E">
      <w:pPr>
        <w:ind w:left="0"/>
      </w:pPr>
      <w:r w:rsidRPr="00FC3C9E">
        <w:t>§2</w:t>
      </w:r>
      <w:r w:rsidR="00BD780E">
        <w:t>.</w:t>
      </w:r>
      <w:r w:rsidRPr="00FC3C9E">
        <w:t xml:space="preserve"> Onverminderd</w:t>
      </w:r>
      <w:r w:rsidR="008C18B6" w:rsidRPr="00FC3C9E">
        <w:t xml:space="preserve"> andersluidende wettelijke of decretale bepalingen en met uitzondering van de personeelsleden, vermeld in artikel 162, §1, en 183, §1, DLB kunnen de overheden, vermeld in </w:t>
      </w:r>
      <w:r w:rsidRPr="00FC3C9E">
        <w:t>§</w:t>
      </w:r>
      <w:r w:rsidR="008C18B6" w:rsidRPr="00FC3C9E">
        <w:t>1, contractueel personeel overdragen aan een gemeentelijk extern verzelfstandigd agentschap in privaatrechtelijke vorm, een ziekenhuisvereniging, een vereniging of vennootschap voor sociale dienstverlening, een woonzorgvereniging of woonzorgvennootschap of aan een woonmaatschappij als vermeld in boek 4, deel 1, titel 3, van de Vlaamse Codex Wonen van 2021.</w:t>
      </w:r>
    </w:p>
    <w:p w14:paraId="089A4BC6" w14:textId="51A0A82B" w:rsidR="008C18B6" w:rsidRPr="00FC3C9E" w:rsidRDefault="00DA7F47" w:rsidP="00BD780E">
      <w:pPr>
        <w:ind w:left="0"/>
      </w:pPr>
      <w:r w:rsidRPr="00FC3C9E">
        <w:t>§3</w:t>
      </w:r>
      <w:r w:rsidR="00BD780E">
        <w:t>.</w:t>
      </w:r>
      <w:r w:rsidRPr="00FC3C9E">
        <w:t xml:space="preserve"> </w:t>
      </w:r>
      <w:r w:rsidR="008C18B6" w:rsidRPr="00FC3C9E">
        <w:t>Beide besturen dienen akkoord te gaan met de overdracht. Het uitvoerend orgaan van het bestuur licht het personeelslid in over de op handen zijnde beslissing en voorziet in de begeleiding naar de nieuwe betrekking.</w:t>
      </w:r>
    </w:p>
    <w:p w14:paraId="06F95BCD" w14:textId="77777777" w:rsidR="008C18B6" w:rsidRPr="00FC3C9E" w:rsidRDefault="008C18B6" w:rsidP="00BD780E">
      <w:pPr>
        <w:ind w:left="0"/>
      </w:pPr>
      <w:r w:rsidRPr="00FC3C9E">
        <w:t xml:space="preserve">De overdracht kan geen reden voor ontslag zijn. </w:t>
      </w:r>
    </w:p>
    <w:p w14:paraId="34360783" w14:textId="77777777" w:rsidR="008C18B6" w:rsidRPr="00FC3C9E" w:rsidRDefault="008C18B6" w:rsidP="00BD780E">
      <w:pPr>
        <w:ind w:left="0"/>
      </w:pPr>
      <w:r w:rsidRPr="00FC3C9E">
        <w:t xml:space="preserve">De personeelsleden behouden voor minstens een jaar hun rechtspositieregeling. </w:t>
      </w:r>
    </w:p>
    <w:p w14:paraId="012F0510" w14:textId="63FE775D" w:rsidR="008C18B6" w:rsidRPr="00FC3C9E" w:rsidRDefault="008C18B6" w:rsidP="00BD780E">
      <w:pPr>
        <w:ind w:left="0"/>
      </w:pPr>
      <w:r w:rsidRPr="00FC3C9E">
        <w:t>De personeelsleden behouden na de overdracht de aard van het dienstverband, hun graad, hun anciënniteit, hun prestatieregeling, hun salarisschaal en hun rechten en verplichtingen zoals vastgesteld in hun arbeidscontract of bestaande arbeidsbetrekking</w:t>
      </w:r>
    </w:p>
    <w:bookmarkEnd w:id="153"/>
    <w:p w14:paraId="78DB68C4" w14:textId="60146BEF" w:rsidR="008C18B6" w:rsidRPr="00FC3C9E" w:rsidRDefault="008C18B6" w:rsidP="008C18B6">
      <w:pPr>
        <w:pStyle w:val="Kop5"/>
      </w:pPr>
      <w:r w:rsidRPr="00FC3C9E">
        <w:t>Artikel 92</w:t>
      </w:r>
    </w:p>
    <w:p w14:paraId="26A5EC13" w14:textId="2A1AEB7C" w:rsidR="008C18B6" w:rsidRPr="00BD780E" w:rsidRDefault="008C18B6" w:rsidP="00BD780E">
      <w:pPr>
        <w:ind w:left="0"/>
      </w:pPr>
      <w:r w:rsidRPr="00BD780E">
        <w:t>§1</w:t>
      </w:r>
      <w:r w:rsidR="00BD780E" w:rsidRPr="00BD780E">
        <w:t>.</w:t>
      </w:r>
      <w:r w:rsidRPr="00BD780E">
        <w:t xml:space="preserve"> Statutaire personeelsleden kunnen ter beschikking gesteld worden aan: </w:t>
      </w:r>
    </w:p>
    <w:p w14:paraId="2D0260C5" w14:textId="77777777" w:rsidR="008C18B6" w:rsidRPr="00BD780E" w:rsidRDefault="008C18B6" w:rsidP="008C18B6">
      <w:r w:rsidRPr="00BD780E">
        <w:t xml:space="preserve">1. een extern verzelfstandigd agentschap als vermeld in artikel 225 DLB; </w:t>
      </w:r>
    </w:p>
    <w:p w14:paraId="79362306" w14:textId="77777777" w:rsidR="008C18B6" w:rsidRPr="00BD780E" w:rsidRDefault="008C18B6" w:rsidP="008C18B6">
      <w:r w:rsidRPr="00BD780E">
        <w:t xml:space="preserve">2. een vereniging of een vennootschap als vermeld in artikel 475, 496, 501, 508 en 513 DLB; </w:t>
      </w:r>
    </w:p>
    <w:p w14:paraId="3C2F322E" w14:textId="77777777" w:rsidR="008C18B6" w:rsidRPr="00BD780E" w:rsidRDefault="008C18B6" w:rsidP="008C18B6">
      <w:r w:rsidRPr="00BD780E">
        <w:t xml:space="preserve">3. een samenwerkingsverband als vermeld in deel 3, titel 3, DLB; </w:t>
      </w:r>
    </w:p>
    <w:p w14:paraId="045AD8CB" w14:textId="77777777" w:rsidR="008C18B6" w:rsidRPr="00BD780E" w:rsidRDefault="008C18B6" w:rsidP="008C18B6">
      <w:r w:rsidRPr="00BD780E">
        <w:t xml:space="preserve">4. een vereniging als vermeld in artikel 386 DLB; </w:t>
      </w:r>
    </w:p>
    <w:p w14:paraId="47F2C9F4" w14:textId="483A6C55" w:rsidR="008C18B6" w:rsidRPr="00BD780E" w:rsidRDefault="008C18B6" w:rsidP="008C18B6">
      <w:r w:rsidRPr="00BD780E">
        <w:t xml:space="preserve">5. een andere overheid dan die vermeld in punt 1° tot en met punt 4° ; </w:t>
      </w:r>
    </w:p>
    <w:p w14:paraId="0245587E" w14:textId="77777777" w:rsidR="008C18B6" w:rsidRPr="00BD780E" w:rsidRDefault="008C18B6" w:rsidP="008C18B6">
      <w:r w:rsidRPr="00BD780E">
        <w:t xml:space="preserve">6. een vereniging zonder winstoogmerk als vermeld in de wet van 27 juni 1921 betreffende de verenigingen zonder winstoogmerk, de stichtingen en de Europese politieke partijen en stichtingen, waarin de stad al dan niet deelneemt en waarvan de activiteit verband houdt met een gemeentelijk belang </w:t>
      </w:r>
    </w:p>
    <w:p w14:paraId="719B6BC5" w14:textId="77777777" w:rsidR="008C18B6" w:rsidRPr="00BD780E" w:rsidRDefault="008C18B6" w:rsidP="008C18B6">
      <w:r w:rsidRPr="00BD780E">
        <w:t xml:space="preserve">7. de woonmaatschappij, vermeld in boek 4, deel 1, titel 3, van de Vlaamse Codex Wonen van 2021. </w:t>
      </w:r>
    </w:p>
    <w:p w14:paraId="5AB6B630" w14:textId="5C00E9EC" w:rsidR="008C18B6" w:rsidRPr="00BD780E" w:rsidRDefault="008C18B6" w:rsidP="00BD780E">
      <w:pPr>
        <w:ind w:left="0"/>
      </w:pPr>
      <w:r w:rsidRPr="00BD780E">
        <w:t>§2</w:t>
      </w:r>
      <w:r w:rsidR="00BD780E" w:rsidRPr="00BD780E">
        <w:t>.</w:t>
      </w:r>
      <w:r w:rsidRPr="00BD780E">
        <w:t xml:space="preserve"> Overeenkomstig artikel 144bis Nieuwe Gemeentewet/artikel 61 OCMW-wet kunnen contractuele personeelsleden ter beschikking gesteld worden. Met behoud van andersluidende wettelijke of decretale bepalingen gelden de voorwaarden zoals beschreven in dit hoofdstuk.</w:t>
      </w:r>
    </w:p>
    <w:p w14:paraId="5AD452A0" w14:textId="1B60649F" w:rsidR="008C18B6" w:rsidRPr="00FC3C9E" w:rsidRDefault="008C18B6" w:rsidP="00BD780E">
      <w:pPr>
        <w:ind w:left="0"/>
      </w:pPr>
      <w:r w:rsidRPr="00BD780E">
        <w:t>§3</w:t>
      </w:r>
      <w:r w:rsidR="00BD780E">
        <w:rPr>
          <w:b/>
          <w:bCs/>
        </w:rPr>
        <w:t>.</w:t>
      </w:r>
      <w:r w:rsidRPr="00FC3C9E">
        <w:t xml:space="preserve"> De terbeschikkingstelling van het personeelslid is enkel mogelijk na overleg met het betrokken personeelslid, en na akkoord indien het een contractueel personeelslid betreft. </w:t>
      </w:r>
    </w:p>
    <w:p w14:paraId="2C29E310" w14:textId="2E7832DE" w:rsidR="008C18B6" w:rsidRDefault="008C18B6" w:rsidP="008C18B6"/>
    <w:p w14:paraId="25A734CE" w14:textId="77777777" w:rsidR="002679BC" w:rsidRPr="00FC3C9E" w:rsidRDefault="002679BC" w:rsidP="008C18B6"/>
    <w:p w14:paraId="22025E4B" w14:textId="0D92AADF" w:rsidR="008C18B6" w:rsidRPr="00FC3C9E" w:rsidRDefault="008C18B6" w:rsidP="008C18B6">
      <w:pPr>
        <w:pStyle w:val="Kop5"/>
      </w:pPr>
      <w:r w:rsidRPr="00FC3C9E">
        <w:lastRenderedPageBreak/>
        <w:t>Artikel 93</w:t>
      </w:r>
    </w:p>
    <w:p w14:paraId="4FE815D2" w14:textId="632D9388" w:rsidR="008C18B6" w:rsidRPr="00BD780E" w:rsidRDefault="008C18B6" w:rsidP="00BD780E">
      <w:pPr>
        <w:ind w:left="0"/>
        <w:rPr>
          <w:bCs/>
        </w:rPr>
      </w:pPr>
      <w:r w:rsidRPr="00BD780E">
        <w:rPr>
          <w:bCs/>
        </w:rPr>
        <w:t>§1</w:t>
      </w:r>
      <w:r w:rsidR="00BD780E" w:rsidRPr="00BD780E">
        <w:rPr>
          <w:bCs/>
        </w:rPr>
        <w:t>.</w:t>
      </w:r>
      <w:r w:rsidRPr="00BD780E">
        <w:rPr>
          <w:bCs/>
        </w:rPr>
        <w:t xml:space="preserve"> De gebruiker oefent functioneel werkgeversgezag uit over het ter beschikking gesteld personeelslid. Dit betreft: het geven van instructies en bevelen, het maken van afspraken met het personeelslid, de dagelijkse werkorganisatie, werktijdregeling, verlofregeling (zoals ziekte, invaliditeit,  bevallingsverlof en vakantieverlof ).</w:t>
      </w:r>
    </w:p>
    <w:p w14:paraId="159A0A6F" w14:textId="19E8F224" w:rsidR="008C18B6" w:rsidRPr="00BD780E" w:rsidRDefault="008C18B6" w:rsidP="00BD780E">
      <w:pPr>
        <w:ind w:left="0"/>
        <w:rPr>
          <w:bCs/>
        </w:rPr>
      </w:pPr>
      <w:r w:rsidRPr="00BD780E">
        <w:rPr>
          <w:bCs/>
        </w:rPr>
        <w:t>§2</w:t>
      </w:r>
      <w:r w:rsidR="00BD780E" w:rsidRPr="00BD780E">
        <w:rPr>
          <w:bCs/>
        </w:rPr>
        <w:t>.</w:t>
      </w:r>
      <w:r w:rsidRPr="00BD780E">
        <w:rPr>
          <w:bCs/>
        </w:rPr>
        <w:t xml:space="preserve"> Het ter beschikking gesteld personeelslid is onderworpen aan de arbeidsorganisatie van de gebruiker. Met arbeidsorganisatie wordt in dit geval onder meer bedoeld: de arbeidsduur, de feestdagenregeling, de zondagsrust, de vrouwenarbeid, de arbeid van jeugdige personen, de nachtarbeid of het welzijn op het werk.</w:t>
      </w:r>
    </w:p>
    <w:p w14:paraId="518F0270" w14:textId="052A6158" w:rsidR="008C18B6" w:rsidRPr="00BD780E" w:rsidRDefault="008C18B6" w:rsidP="00BD780E">
      <w:pPr>
        <w:ind w:left="0"/>
        <w:rPr>
          <w:bCs/>
        </w:rPr>
      </w:pPr>
      <w:r w:rsidRPr="00BD780E">
        <w:rPr>
          <w:bCs/>
        </w:rPr>
        <w:t>§3</w:t>
      </w:r>
      <w:r w:rsidR="00BD780E" w:rsidRPr="00BD780E">
        <w:rPr>
          <w:bCs/>
        </w:rPr>
        <w:t>.</w:t>
      </w:r>
      <w:r w:rsidRPr="00BD780E">
        <w:rPr>
          <w:bCs/>
        </w:rPr>
        <w:t xml:space="preserve"> Het arbeidsreglement van de gebruiker is van toepassing op het personeelslid tijdens de tijd dat hij ter beschikking staat van de gebruiker.</w:t>
      </w:r>
    </w:p>
    <w:p w14:paraId="765D72C7" w14:textId="7F5D26A3" w:rsidR="008C18B6" w:rsidRPr="00BD780E" w:rsidRDefault="008C18B6" w:rsidP="00BD780E">
      <w:pPr>
        <w:ind w:left="0"/>
        <w:rPr>
          <w:bCs/>
        </w:rPr>
      </w:pPr>
      <w:r w:rsidRPr="00BD780E">
        <w:rPr>
          <w:bCs/>
        </w:rPr>
        <w:t>§4</w:t>
      </w:r>
      <w:r w:rsidR="00BD780E" w:rsidRPr="00BD780E">
        <w:rPr>
          <w:bCs/>
        </w:rPr>
        <w:t>.</w:t>
      </w:r>
      <w:r w:rsidRPr="00BD780E">
        <w:rPr>
          <w:bCs/>
        </w:rPr>
        <w:t xml:space="preserve"> Het juridisch werkgeverschap blijft berusten bij de aanstellende overheid van hetzij de gemeente, hetzij het OCMW.</w:t>
      </w:r>
    </w:p>
    <w:p w14:paraId="7A09324D" w14:textId="77777777" w:rsidR="008C18B6" w:rsidRPr="00BD780E" w:rsidRDefault="008C18B6" w:rsidP="00BD780E">
      <w:pPr>
        <w:ind w:left="0"/>
        <w:rPr>
          <w:bCs/>
        </w:rPr>
      </w:pPr>
      <w:r w:rsidRPr="00BD780E">
        <w:rPr>
          <w:bCs/>
        </w:rPr>
        <w:t>Het ter beschikking stellende bestuur dat optreedt als juridische werkgever:</w:t>
      </w:r>
    </w:p>
    <w:p w14:paraId="4DDBB779" w14:textId="77777777" w:rsidR="008C18B6" w:rsidRPr="00BD780E" w:rsidRDefault="008C18B6" w:rsidP="008C18B6">
      <w:pPr>
        <w:rPr>
          <w:bCs/>
        </w:rPr>
      </w:pPr>
      <w:r w:rsidRPr="00BD780E">
        <w:rPr>
          <w:bCs/>
        </w:rPr>
        <w:t>- bepaalt het loon- en andere arbeidsvoorwaarden (excl. arbeids-en rusttijden)</w:t>
      </w:r>
    </w:p>
    <w:p w14:paraId="011A6E69" w14:textId="77777777" w:rsidR="008C18B6" w:rsidRPr="00BD780E" w:rsidRDefault="008C18B6" w:rsidP="008C18B6">
      <w:pPr>
        <w:rPr>
          <w:bCs/>
        </w:rPr>
      </w:pPr>
      <w:r w:rsidRPr="00BD780E">
        <w:rPr>
          <w:bCs/>
        </w:rPr>
        <w:t xml:space="preserve">- beslist na overleg met de gebruiker over de aard van de werkzaamheden </w:t>
      </w:r>
      <w:proofErr w:type="spellStart"/>
      <w:r w:rsidRPr="00BD780E">
        <w:rPr>
          <w:bCs/>
        </w:rPr>
        <w:t>adhv</w:t>
      </w:r>
      <w:proofErr w:type="spellEnd"/>
      <w:r w:rsidRPr="00BD780E">
        <w:rPr>
          <w:bCs/>
        </w:rPr>
        <w:t xml:space="preserve"> de functiebeschrijvingen, over het ontslag, de disciplinaire maatregelen en de toekenning van langdurige verloven en afwezigheden indien vervanging van het ter beschikking gesteld personeelslid noodzakelijk is om de tijdelijke of definitieve afwezigheid op te vangen.</w:t>
      </w:r>
    </w:p>
    <w:p w14:paraId="6E0A5043" w14:textId="77777777" w:rsidR="008C18B6" w:rsidRPr="00BD780E" w:rsidRDefault="008C18B6" w:rsidP="008C18B6">
      <w:pPr>
        <w:rPr>
          <w:bCs/>
        </w:rPr>
      </w:pPr>
      <w:r w:rsidRPr="00BD780E">
        <w:rPr>
          <w:bCs/>
        </w:rPr>
        <w:t>- blijft bevoegd voor de opvolging van de evaluatie (</w:t>
      </w:r>
      <w:proofErr w:type="spellStart"/>
      <w:r w:rsidRPr="00BD780E">
        <w:rPr>
          <w:bCs/>
        </w:rPr>
        <w:t>bvb</w:t>
      </w:r>
      <w:proofErr w:type="spellEnd"/>
      <w:r w:rsidRPr="00BD780E">
        <w:rPr>
          <w:bCs/>
        </w:rPr>
        <w:t xml:space="preserve">. doorstroming in de functionele loopbaan) en evalueert het ter beschikking gesteld personeelslid op basis van een verslag van de functioneel leidinggevende. </w:t>
      </w:r>
    </w:p>
    <w:p w14:paraId="1CB61B4C" w14:textId="77777777" w:rsidR="008C18B6" w:rsidRPr="00BD780E" w:rsidRDefault="008C18B6" w:rsidP="008C18B6">
      <w:pPr>
        <w:rPr>
          <w:bCs/>
        </w:rPr>
      </w:pPr>
      <w:r w:rsidRPr="00BD780E">
        <w:rPr>
          <w:bCs/>
        </w:rPr>
        <w:t>- kan in voorkomend geval een tuchtprocedure tegen het ter beschikking gesteld personeelslid opstarten op verslag van de gebruiker.</w:t>
      </w:r>
    </w:p>
    <w:p w14:paraId="1141E27E" w14:textId="26397C6E" w:rsidR="008C18B6" w:rsidRPr="00FC3C9E" w:rsidRDefault="008C18B6" w:rsidP="00BD780E">
      <w:pPr>
        <w:ind w:left="0"/>
      </w:pPr>
      <w:r w:rsidRPr="00BD780E">
        <w:rPr>
          <w:bCs/>
        </w:rPr>
        <w:t>§5</w:t>
      </w:r>
      <w:r w:rsidR="00BD780E" w:rsidRPr="00BD780E">
        <w:rPr>
          <w:bCs/>
        </w:rPr>
        <w:t>.</w:t>
      </w:r>
      <w:r w:rsidRPr="00BD780E">
        <w:rPr>
          <w:bCs/>
        </w:rPr>
        <w:t xml:space="preserve"> De hiërarchisch overste van een interne dienst – die aangeleverd wordt hetzij door de gemeente, hetzij door het OCMW –  heeft het functioneel gezag over zowel het OCMW- als het gemeentepersoneel</w:t>
      </w:r>
      <w:r w:rsidRPr="00FC3C9E">
        <w:t xml:space="preserve">.   </w:t>
      </w:r>
    </w:p>
    <w:p w14:paraId="279AB1E0" w14:textId="1B1D34A4" w:rsidR="008C18B6" w:rsidRPr="00FC3C9E" w:rsidRDefault="008C18B6" w:rsidP="008C18B6">
      <w:pPr>
        <w:pStyle w:val="Kop5"/>
      </w:pPr>
      <w:r w:rsidRPr="00FC3C9E">
        <w:t>Artikel 94</w:t>
      </w:r>
    </w:p>
    <w:p w14:paraId="74A69764" w14:textId="77777777" w:rsidR="008C18B6" w:rsidRPr="00FC3C9E" w:rsidRDefault="008C18B6" w:rsidP="00BD780E">
      <w:pPr>
        <w:ind w:left="0"/>
      </w:pPr>
      <w:r w:rsidRPr="00FC3C9E">
        <w:t>De terbeschikkingstelling van het personeelslid is onderworpen aan volgende voorwaarden:</w:t>
      </w:r>
    </w:p>
    <w:p w14:paraId="360AE04C" w14:textId="77777777" w:rsidR="008C18B6" w:rsidRPr="00FC3C9E" w:rsidRDefault="008C18B6" w:rsidP="009D4C40">
      <w:pPr>
        <w:numPr>
          <w:ilvl w:val="0"/>
          <w:numId w:val="33"/>
        </w:numPr>
        <w:ind w:left="1211"/>
      </w:pPr>
      <w:r w:rsidRPr="00FC3C9E">
        <w:t xml:space="preserve"> De terbeschikkingstelling moet een beperkte tijd hebben en betrekking hebben op een opdracht die rechtstreeks verband houdt met een gemeentelijk belang</w:t>
      </w:r>
      <w:r w:rsidRPr="00FC3C9E">
        <w:rPr>
          <w:vertAlign w:val="superscript"/>
        </w:rPr>
        <w:t xml:space="preserve">  </w:t>
      </w:r>
      <w:r w:rsidRPr="00FC3C9E">
        <w:t>.</w:t>
      </w:r>
    </w:p>
    <w:p w14:paraId="5A4B9EF2" w14:textId="77777777" w:rsidR="008C18B6" w:rsidRPr="00FC3C9E" w:rsidRDefault="008C18B6" w:rsidP="009D4C40">
      <w:pPr>
        <w:numPr>
          <w:ilvl w:val="0"/>
          <w:numId w:val="33"/>
        </w:numPr>
        <w:ind w:left="1211"/>
      </w:pPr>
      <w:r w:rsidRPr="00FC3C9E">
        <w:t xml:space="preserve"> De arbeidsvoorwaarden en het salaris, met inbegrip van de vergoedingen, voordelen, verloven en afwezigheden, van het ter beschikking gesteld personeelslid worden exclusief vastgesteld door het ter beschikking stellend bestuur. Het ter beschikking stellend bestuur betaalt het salaris, eventueel aangevuld met toelagen en vergoedingen, rechtstreeks aan het ter beschikking gesteld personeelslid.  </w:t>
      </w:r>
    </w:p>
    <w:p w14:paraId="221D93DD" w14:textId="77777777" w:rsidR="008C18B6" w:rsidRPr="00FC3C9E" w:rsidRDefault="008C18B6" w:rsidP="009D4C40">
      <w:pPr>
        <w:numPr>
          <w:ilvl w:val="0"/>
          <w:numId w:val="33"/>
        </w:numPr>
        <w:ind w:left="1211"/>
      </w:pPr>
      <w:r w:rsidRPr="00FC3C9E">
        <w:t>Gedurende de periode waarin het personeelslid ter beschikking van de gebruiker wordt gesteld is de gebruiker verantwoordelijk voor de toepassing van de bepalingen van de wetgeving inzake de reglementering en de bescherming van de arbeid die gelden op de plaats van het werk zoals bedoeld bij artikel 19 van de wet van 24 juli 1987 betreffende de tijdelijke arbeid, de uitzendarbeid en het ter beschikking stellen van werknemers ten behoeve van gebruikers.</w:t>
      </w:r>
    </w:p>
    <w:p w14:paraId="18686AE8" w14:textId="4F5F19A6" w:rsidR="008C18B6" w:rsidRPr="00FC3C9E" w:rsidRDefault="008C18B6" w:rsidP="009D4C40">
      <w:pPr>
        <w:numPr>
          <w:ilvl w:val="0"/>
          <w:numId w:val="33"/>
        </w:numPr>
        <w:ind w:left="1211"/>
      </w:pPr>
      <w:r w:rsidRPr="00FC3C9E">
        <w:t>De voorwaarden en de duur van de terbeschikkingstelling evenals de aard van de opdracht moeten worden vastgesteld in een geschrift, goedgekeurd door de aanstellende overheid en ondertekend door de algemeen directeur, de gebruiker en het personeelslid nog voor het begin van de terbeschikkingstelling.</w:t>
      </w:r>
    </w:p>
    <w:p w14:paraId="0E6DFF6B" w14:textId="72EC0FCE" w:rsidR="003A11FB" w:rsidRPr="00037A46" w:rsidRDefault="003A11FB" w:rsidP="008C2BDD">
      <w:pPr>
        <w:pStyle w:val="Kop1"/>
        <w:jc w:val="left"/>
        <w:rPr>
          <w:bCs/>
        </w:rPr>
      </w:pPr>
      <w:bookmarkStart w:id="154" w:name="_Toc110948186"/>
      <w:bookmarkStart w:id="155" w:name="_Toc215738995"/>
      <w:bookmarkEnd w:id="142"/>
      <w:bookmarkEnd w:id="143"/>
      <w:r w:rsidRPr="00037A46">
        <w:rPr>
          <w:bCs/>
        </w:rPr>
        <w:lastRenderedPageBreak/>
        <w:t xml:space="preserve">TITEL </w:t>
      </w:r>
      <w:r w:rsidR="00EB0610">
        <w:rPr>
          <w:bCs/>
        </w:rPr>
        <w:t>5</w:t>
      </w:r>
      <w:r w:rsidRPr="00037A46">
        <w:rPr>
          <w:bCs/>
        </w:rPr>
        <w:t>. HET SALARIS</w:t>
      </w:r>
      <w:bookmarkEnd w:id="154"/>
      <w:bookmarkEnd w:id="155"/>
    </w:p>
    <w:p w14:paraId="2CEC5F20" w14:textId="6807ED9B" w:rsidR="003A11FB" w:rsidRPr="00037A46" w:rsidRDefault="003A11FB" w:rsidP="00B44CF7">
      <w:pPr>
        <w:pStyle w:val="Kop2"/>
      </w:pPr>
      <w:bookmarkStart w:id="156" w:name="_Toc110948187"/>
      <w:bookmarkStart w:id="157" w:name="_Toc215738996"/>
      <w:r w:rsidRPr="00037A46">
        <w:t>Hoofdstuk i. algemene bepalingen</w:t>
      </w:r>
      <w:bookmarkEnd w:id="156"/>
      <w:bookmarkEnd w:id="157"/>
    </w:p>
    <w:p w14:paraId="4A18A2C7" w14:textId="5B535A51" w:rsidR="002A66BD" w:rsidRPr="00FC3C9E" w:rsidRDefault="002A66BD" w:rsidP="002A66BD">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Artikel</w:t>
      </w:r>
      <w:r w:rsidR="000B6A9A" w:rsidRPr="00FC3C9E">
        <w:rPr>
          <w:rFonts w:ascii="Calibri" w:eastAsia="Calibri" w:hAnsi="Calibri"/>
          <w:b/>
          <w:bCs/>
          <w:kern w:val="2"/>
          <w:sz w:val="22"/>
          <w:szCs w:val="22"/>
          <w:lang w:val="nl-BE" w:eastAsia="en-US"/>
          <w14:ligatures w14:val="standardContextual"/>
        </w:rPr>
        <w:t xml:space="preserve"> </w:t>
      </w:r>
      <w:r w:rsidR="006763C7" w:rsidRPr="00FC3C9E">
        <w:rPr>
          <w:rFonts w:ascii="Calibri" w:eastAsia="Calibri" w:hAnsi="Calibri"/>
          <w:b/>
          <w:bCs/>
          <w:kern w:val="2"/>
          <w:sz w:val="22"/>
          <w:szCs w:val="22"/>
          <w:lang w:val="nl-BE" w:eastAsia="en-US"/>
          <w14:ligatures w14:val="standardContextual"/>
        </w:rPr>
        <w:t>9</w:t>
      </w:r>
      <w:r w:rsidR="008C18B6" w:rsidRPr="00FC3C9E">
        <w:rPr>
          <w:rFonts w:ascii="Calibri" w:eastAsia="Calibri" w:hAnsi="Calibri"/>
          <w:b/>
          <w:bCs/>
          <w:kern w:val="2"/>
          <w:sz w:val="22"/>
          <w:szCs w:val="22"/>
          <w:lang w:val="nl-BE" w:eastAsia="en-US"/>
          <w14:ligatures w14:val="standardContextual"/>
        </w:rPr>
        <w:t>5</w:t>
      </w:r>
    </w:p>
    <w:p w14:paraId="64709FD9" w14:textId="77EC5FD0" w:rsidR="002A66BD" w:rsidRPr="00FC3C9E" w:rsidRDefault="002A66BD" w:rsidP="002A66BD">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D</w:t>
      </w:r>
      <w:r w:rsidR="00C35C11" w:rsidRPr="00FC3C9E">
        <w:rPr>
          <w:rFonts w:eastAsia="Calibri" w:cs="Arial"/>
          <w:kern w:val="2"/>
          <w:lang w:val="nl-BE" w:eastAsia="en-US"/>
          <w14:ligatures w14:val="standardContextual"/>
        </w:rPr>
        <w:t>eze titel</w:t>
      </w:r>
      <w:r w:rsidRPr="00FC3C9E">
        <w:rPr>
          <w:rFonts w:eastAsia="Calibri" w:cs="Arial"/>
          <w:kern w:val="2"/>
          <w:lang w:val="nl-BE" w:eastAsia="en-US"/>
          <w14:ligatures w14:val="standardContextual"/>
        </w:rPr>
        <w:t xml:space="preserve"> is van toepassing bij de vaststelling van het salaris van een personeelslid dat via aanwerving, bevordering</w:t>
      </w:r>
      <w:r w:rsidR="004D3A20" w:rsidRPr="00FC3C9E">
        <w:rPr>
          <w:rFonts w:eastAsia="Calibri" w:cs="Arial"/>
          <w:kern w:val="2"/>
          <w:lang w:val="nl-BE" w:eastAsia="en-US"/>
          <w14:ligatures w14:val="standardContextual"/>
        </w:rPr>
        <w:t xml:space="preserve">, </w:t>
      </w:r>
      <w:r w:rsidRPr="00FC3C9E">
        <w:rPr>
          <w:rFonts w:eastAsia="Calibri" w:cs="Arial"/>
          <w:kern w:val="2"/>
          <w:lang w:val="nl-BE" w:eastAsia="en-US"/>
          <w14:ligatures w14:val="standardContextual"/>
        </w:rPr>
        <w:t xml:space="preserve">interne </w:t>
      </w:r>
      <w:r w:rsidR="004D3A20" w:rsidRPr="00FC3C9E">
        <w:rPr>
          <w:rFonts w:eastAsia="Calibri" w:cs="Arial"/>
          <w:kern w:val="2"/>
          <w:lang w:val="nl-BE" w:eastAsia="en-US"/>
          <w14:ligatures w14:val="standardContextual"/>
        </w:rPr>
        <w:t xml:space="preserve">of externe </w:t>
      </w:r>
      <w:r w:rsidRPr="00FC3C9E">
        <w:rPr>
          <w:rFonts w:eastAsia="Calibri" w:cs="Arial"/>
          <w:kern w:val="2"/>
          <w:lang w:val="nl-BE" w:eastAsia="en-US"/>
          <w14:ligatures w14:val="standardContextual"/>
        </w:rPr>
        <w:t>personeelsmobiliteit wordt aangesteld.</w:t>
      </w:r>
    </w:p>
    <w:p w14:paraId="030A0B65" w14:textId="0D6B8C11" w:rsidR="003A11FB" w:rsidRPr="00FC3C9E" w:rsidRDefault="003A11FB" w:rsidP="002A66BD">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 xml:space="preserve">Artikel </w:t>
      </w:r>
      <w:r w:rsidR="006763C7" w:rsidRPr="00FC3C9E">
        <w:rPr>
          <w:rFonts w:ascii="Calibri" w:eastAsia="Calibri" w:hAnsi="Calibri"/>
          <w:b/>
          <w:bCs/>
          <w:kern w:val="2"/>
          <w:sz w:val="22"/>
          <w:szCs w:val="22"/>
          <w:lang w:val="nl-BE" w:eastAsia="en-US"/>
          <w14:ligatures w14:val="standardContextual"/>
        </w:rPr>
        <w:t>9</w:t>
      </w:r>
      <w:r w:rsidR="008C18B6" w:rsidRPr="00FC3C9E">
        <w:rPr>
          <w:rFonts w:ascii="Calibri" w:eastAsia="Calibri" w:hAnsi="Calibri"/>
          <w:b/>
          <w:bCs/>
          <w:kern w:val="2"/>
          <w:sz w:val="22"/>
          <w:szCs w:val="22"/>
          <w:lang w:val="nl-BE" w:eastAsia="en-US"/>
          <w14:ligatures w14:val="standardContextual"/>
        </w:rPr>
        <w:t>6</w:t>
      </w:r>
    </w:p>
    <w:p w14:paraId="3363E115" w14:textId="77777777" w:rsidR="003A11FB" w:rsidRPr="00FC3C9E" w:rsidRDefault="003A11FB" w:rsidP="004B64EB">
      <w:pPr>
        <w:pStyle w:val="StandaardUitvullen"/>
        <w:ind w:left="0"/>
      </w:pPr>
      <w:r w:rsidRPr="00FC3C9E">
        <w:t>Het jaarsalaris van het personeel is vastgelegd in salarisschalen, die bestaan uit:</w:t>
      </w:r>
    </w:p>
    <w:p w14:paraId="19BEAFBC" w14:textId="77777777" w:rsidR="003A11FB" w:rsidRPr="00FC3C9E" w:rsidRDefault="003A11FB" w:rsidP="00E80C0C">
      <w:pPr>
        <w:pStyle w:val="StandaardUitvullen"/>
        <w:numPr>
          <w:ilvl w:val="0"/>
          <w:numId w:val="4"/>
        </w:numPr>
      </w:pPr>
      <w:r w:rsidRPr="00FC3C9E">
        <w:t>een minimumsalaris;</w:t>
      </w:r>
    </w:p>
    <w:p w14:paraId="43688641" w14:textId="77777777" w:rsidR="003A11FB" w:rsidRPr="00FC3C9E" w:rsidRDefault="003A11FB" w:rsidP="00E80C0C">
      <w:pPr>
        <w:pStyle w:val="StandaardUitvullen"/>
        <w:numPr>
          <w:ilvl w:val="0"/>
          <w:numId w:val="4"/>
        </w:numPr>
      </w:pPr>
      <w:r w:rsidRPr="00FC3C9E">
        <w:t>de salaristrappen, die het resultaat zijn van de periodieke verhogingen;</w:t>
      </w:r>
    </w:p>
    <w:p w14:paraId="1BF345FB" w14:textId="77777777" w:rsidR="003A11FB" w:rsidRPr="00FC3C9E" w:rsidRDefault="003A11FB" w:rsidP="00E80C0C">
      <w:pPr>
        <w:pStyle w:val="StandaardUitvullen"/>
        <w:numPr>
          <w:ilvl w:val="0"/>
          <w:numId w:val="4"/>
        </w:numPr>
      </w:pPr>
      <w:r w:rsidRPr="00FC3C9E">
        <w:t>een maximumsalaris.</w:t>
      </w:r>
    </w:p>
    <w:p w14:paraId="5ED063E8" w14:textId="184C5688" w:rsidR="003A11FB" w:rsidRPr="00FC3C9E" w:rsidRDefault="003A11FB" w:rsidP="00CD575A">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 xml:space="preserve">Artikel </w:t>
      </w:r>
      <w:r w:rsidR="006763C7" w:rsidRPr="00FC3C9E">
        <w:rPr>
          <w:rFonts w:ascii="Calibri" w:eastAsia="Calibri" w:hAnsi="Calibri"/>
          <w:b/>
          <w:bCs/>
          <w:kern w:val="2"/>
          <w:sz w:val="22"/>
          <w:szCs w:val="22"/>
          <w:lang w:val="nl-BE" w:eastAsia="en-US"/>
          <w14:ligatures w14:val="standardContextual"/>
        </w:rPr>
        <w:t>9</w:t>
      </w:r>
      <w:r w:rsidR="008C18B6" w:rsidRPr="00FC3C9E">
        <w:rPr>
          <w:rFonts w:ascii="Calibri" w:eastAsia="Calibri" w:hAnsi="Calibri"/>
          <w:b/>
          <w:bCs/>
          <w:kern w:val="2"/>
          <w:sz w:val="22"/>
          <w:szCs w:val="22"/>
          <w:lang w:val="nl-BE" w:eastAsia="en-US"/>
          <w14:ligatures w14:val="standardContextual"/>
        </w:rPr>
        <w:t>7</w:t>
      </w:r>
    </w:p>
    <w:p w14:paraId="7B959E2F" w14:textId="33A55142" w:rsidR="00D83C88" w:rsidRPr="00FC3C9E" w:rsidRDefault="0003475E" w:rsidP="004B64EB">
      <w:pPr>
        <w:pStyle w:val="StandaardUitvullen"/>
        <w:ind w:left="0"/>
        <w:rPr>
          <w:b/>
          <w:strike/>
        </w:rPr>
      </w:pPr>
      <w:r w:rsidRPr="00FC3C9E">
        <w:t>Elke salarisschaal wordt aangeduid met één van de letters A, B, C, D, die overeenstemmen met de niveaus, gevolgd door een cijfer</w:t>
      </w:r>
      <w:r w:rsidR="00C250AA" w:rsidRPr="00FC3C9E">
        <w:t>.</w:t>
      </w:r>
    </w:p>
    <w:p w14:paraId="35E26849" w14:textId="5E6631E9" w:rsidR="003A11FB" w:rsidRPr="00FC3C9E" w:rsidRDefault="003A11FB" w:rsidP="004B64EB">
      <w:pPr>
        <w:pStyle w:val="StandaardUitvullen"/>
        <w:ind w:left="0"/>
      </w:pPr>
      <w:r w:rsidRPr="00FC3C9E">
        <w:t>Het eerste lid is ni</w:t>
      </w:r>
      <w:r w:rsidR="0091412F" w:rsidRPr="00FC3C9E">
        <w:t xml:space="preserve">et van toepassing op de </w:t>
      </w:r>
      <w:r w:rsidR="003474E1" w:rsidRPr="00FC3C9E">
        <w:t>algemeen directeur</w:t>
      </w:r>
      <w:r w:rsidR="00E9193F" w:rsidRPr="00FC3C9E">
        <w:t>,</w:t>
      </w:r>
      <w:r w:rsidRPr="00FC3C9E">
        <w:t xml:space="preserve"> de </w:t>
      </w:r>
      <w:r w:rsidR="003474E1" w:rsidRPr="00FC3C9E">
        <w:t>financieel directeur</w:t>
      </w:r>
      <w:r w:rsidR="00E9193F" w:rsidRPr="00FC3C9E">
        <w:t xml:space="preserve"> en de personeels</w:t>
      </w:r>
      <w:r w:rsidR="0074006E" w:rsidRPr="00FC3C9E">
        <w:t>leden ingeschaald in een IFIC-categorie</w:t>
      </w:r>
      <w:r w:rsidRPr="00FC3C9E">
        <w:t>.</w:t>
      </w:r>
      <w:r w:rsidR="00AB4939" w:rsidRPr="00FC3C9E">
        <w:t xml:space="preserve"> </w:t>
      </w:r>
    </w:p>
    <w:p w14:paraId="49C7920F" w14:textId="75B81277" w:rsidR="003A11FB" w:rsidRPr="00FC3C9E" w:rsidRDefault="003A11FB" w:rsidP="00CD575A">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Artikel</w:t>
      </w:r>
      <w:r w:rsidR="000B6A9A" w:rsidRPr="00FC3C9E">
        <w:rPr>
          <w:rFonts w:ascii="Calibri" w:eastAsia="Calibri" w:hAnsi="Calibri"/>
          <w:b/>
          <w:bCs/>
          <w:kern w:val="2"/>
          <w:sz w:val="22"/>
          <w:szCs w:val="22"/>
          <w:lang w:val="nl-BE" w:eastAsia="en-US"/>
          <w14:ligatures w14:val="standardContextual"/>
        </w:rPr>
        <w:t xml:space="preserve"> </w:t>
      </w:r>
      <w:r w:rsidR="006763C7" w:rsidRPr="00FC3C9E">
        <w:rPr>
          <w:rFonts w:ascii="Calibri" w:eastAsia="Calibri" w:hAnsi="Calibri"/>
          <w:b/>
          <w:bCs/>
          <w:kern w:val="2"/>
          <w:sz w:val="22"/>
          <w:szCs w:val="22"/>
          <w:lang w:val="nl-BE" w:eastAsia="en-US"/>
          <w14:ligatures w14:val="standardContextual"/>
        </w:rPr>
        <w:t>9</w:t>
      </w:r>
      <w:r w:rsidR="008C18B6" w:rsidRPr="00FC3C9E">
        <w:rPr>
          <w:rFonts w:ascii="Calibri" w:eastAsia="Calibri" w:hAnsi="Calibri"/>
          <w:b/>
          <w:bCs/>
          <w:kern w:val="2"/>
          <w:sz w:val="22"/>
          <w:szCs w:val="22"/>
          <w:lang w:val="nl-BE" w:eastAsia="en-US"/>
          <w14:ligatures w14:val="standardContextual"/>
        </w:rPr>
        <w:t>8</w:t>
      </w:r>
    </w:p>
    <w:p w14:paraId="083B259D" w14:textId="12F29A1E" w:rsidR="003A11FB" w:rsidRPr="00FC3C9E" w:rsidRDefault="003A11FB" w:rsidP="004B64EB">
      <w:pPr>
        <w:pStyle w:val="StandaardUitvullen"/>
        <w:ind w:left="0"/>
      </w:pPr>
      <w:r w:rsidRPr="00FC3C9E">
        <w:t>Aan de graden worden de salarisschalen en de functionele loopbanen</w:t>
      </w:r>
      <w:r w:rsidR="0036529B" w:rsidRPr="00FC3C9E">
        <w:t xml:space="preserve"> verbonden</w:t>
      </w:r>
      <w:r w:rsidR="00BB2CFA" w:rsidRPr="00FC3C9E">
        <w:t xml:space="preserve">, vermeld in artikel 40 tot </w:t>
      </w:r>
      <w:r w:rsidR="000938FB" w:rsidRPr="00FC3C9E">
        <w:t>45</w:t>
      </w:r>
      <w:r w:rsidR="00BB2CFA" w:rsidRPr="00FC3C9E">
        <w:t>,</w:t>
      </w:r>
      <w:r w:rsidRPr="00FC3C9E">
        <w:t xml:space="preserve"> die overeenkomen met de ernaast vermelde lettercijfercode</w:t>
      </w:r>
      <w:r w:rsidRPr="00FC3C9E">
        <w:rPr>
          <w:color w:val="0000FF"/>
        </w:rPr>
        <w:t>.</w:t>
      </w:r>
      <w:r w:rsidRPr="00FC3C9E">
        <w:t xml:space="preserve"> De uitgewerkte salarisschalen bevinden zich in bijlage.</w:t>
      </w:r>
    </w:p>
    <w:p w14:paraId="601EBB8B" w14:textId="12D637F7" w:rsidR="003A11FB" w:rsidRPr="00FC3C9E" w:rsidRDefault="005E2103" w:rsidP="004B64EB">
      <w:pPr>
        <w:pStyle w:val="StandaardUitvullen"/>
        <w:ind w:left="0"/>
      </w:pPr>
      <w:r w:rsidRPr="00FC3C9E">
        <w:t xml:space="preserve">De salarisschaal van de </w:t>
      </w:r>
      <w:r w:rsidR="003474E1" w:rsidRPr="00FC3C9E">
        <w:t>algemeen directeur</w:t>
      </w:r>
      <w:r w:rsidR="003A11FB" w:rsidRPr="00FC3C9E">
        <w:t xml:space="preserve"> is de hoogste salarisschaal binnen </w:t>
      </w:r>
      <w:r w:rsidR="0074006E" w:rsidRPr="00FC3C9E">
        <w:t>het bestuur</w:t>
      </w:r>
      <w:r w:rsidR="003A11FB" w:rsidRPr="00FC3C9E">
        <w:t>.</w:t>
      </w:r>
    </w:p>
    <w:p w14:paraId="1FAFF2D4" w14:textId="48940485" w:rsidR="00990792" w:rsidRPr="00990792" w:rsidRDefault="00990792" w:rsidP="00990792">
      <w:pPr>
        <w:pStyle w:val="StandaardUitvullen"/>
        <w:ind w:left="0"/>
        <w:rPr>
          <w:b/>
          <w:bCs/>
        </w:rPr>
      </w:pPr>
      <w:r w:rsidRPr="00FC3C9E">
        <w:rPr>
          <w:b/>
          <w:bCs/>
        </w:rPr>
        <w:t>Artikel</w:t>
      </w:r>
      <w:r w:rsidR="00E4619C" w:rsidRPr="00FC3C9E">
        <w:rPr>
          <w:b/>
          <w:bCs/>
        </w:rPr>
        <w:t xml:space="preserve"> </w:t>
      </w:r>
      <w:r w:rsidR="006763C7" w:rsidRPr="00FC3C9E">
        <w:rPr>
          <w:b/>
          <w:bCs/>
        </w:rPr>
        <w:t>9</w:t>
      </w:r>
      <w:r w:rsidR="008C18B6" w:rsidRPr="00FC3C9E">
        <w:rPr>
          <w:b/>
          <w:bCs/>
        </w:rPr>
        <w:t>9</w:t>
      </w:r>
    </w:p>
    <w:p w14:paraId="3C036111" w14:textId="77777777" w:rsidR="00990792" w:rsidRDefault="00990792" w:rsidP="00990792">
      <w:pPr>
        <w:pStyle w:val="StandaardUitvullen"/>
        <w:ind w:left="0"/>
      </w:pPr>
      <w:r>
        <w:t>Het personeelslid wordt bezoldigd in de salarisschaal die verbonden is aan zijn graad.</w:t>
      </w:r>
    </w:p>
    <w:p w14:paraId="36FC0BE2" w14:textId="77777777" w:rsidR="00990792" w:rsidRDefault="00990792" w:rsidP="00990792">
      <w:pPr>
        <w:pStyle w:val="StandaardUitvullen"/>
        <w:ind w:left="0"/>
      </w:pPr>
      <w:r>
        <w:t>Het personeelslid ontvangt het salaris in de salarisschaal dat overeenstemt met zijn geldelijke en eventuele schaalanciënniteit (enkel voor de functionele loopbanen).</w:t>
      </w:r>
    </w:p>
    <w:p w14:paraId="5C886D8D" w14:textId="77777777" w:rsidR="00990792" w:rsidRDefault="00990792" w:rsidP="00990792">
      <w:pPr>
        <w:pStyle w:val="StandaardUitvullen"/>
        <w:ind w:left="0"/>
      </w:pPr>
      <w:r>
        <w:t>Het personeelslid dat geen recht heeft op het meerekenen van vroegere diensten, ontvangt het beginsalaris van de eerste salarisschaal (van de functionele loopbaan indien van toepassing) die verbonden is aan zijn graad.</w:t>
      </w:r>
    </w:p>
    <w:p w14:paraId="3919C39E" w14:textId="77777777" w:rsidR="00990792" w:rsidRDefault="00990792" w:rsidP="00990792">
      <w:pPr>
        <w:pStyle w:val="StandaardUitvullen"/>
        <w:ind w:left="0"/>
      </w:pPr>
      <w:r>
        <w:t>Het salaris van een deeltijds personeelslid wordt vastgesteld in verhouding tot zijn prestaties.</w:t>
      </w:r>
    </w:p>
    <w:p w14:paraId="3834B740" w14:textId="77777777" w:rsidR="00990792" w:rsidRDefault="00990792" w:rsidP="00990792">
      <w:pPr>
        <w:pStyle w:val="StandaardUitvullen"/>
        <w:ind w:left="0"/>
      </w:pPr>
      <w:r>
        <w:t>Het uitvoerend orgaan van het lokaal bestuur of, als hij daartoe door de raad in het kader van het dagelijks personeelsbeheer gemachtigd is, het hoofd van het personeel, stelt het individuele jaarsalaris van de personeelsleden vast.</w:t>
      </w:r>
    </w:p>
    <w:p w14:paraId="5B1D4FCE" w14:textId="62C95BBC" w:rsidR="00990792" w:rsidRPr="00990792" w:rsidRDefault="00990792" w:rsidP="00990792">
      <w:pPr>
        <w:pStyle w:val="StandaardUitvullen"/>
        <w:ind w:left="0"/>
        <w:rPr>
          <w:b/>
          <w:bCs/>
        </w:rPr>
      </w:pPr>
      <w:r w:rsidRPr="00FC3C9E">
        <w:rPr>
          <w:b/>
          <w:bCs/>
        </w:rPr>
        <w:t xml:space="preserve">Artikel </w:t>
      </w:r>
      <w:r w:rsidR="008C18B6" w:rsidRPr="00FC3C9E">
        <w:rPr>
          <w:b/>
          <w:bCs/>
        </w:rPr>
        <w:t>100</w:t>
      </w:r>
    </w:p>
    <w:p w14:paraId="0E8B6F46" w14:textId="01D1DAA8" w:rsidR="00990792" w:rsidRDefault="00990792" w:rsidP="00990792">
      <w:pPr>
        <w:pStyle w:val="StandaardUitvullen"/>
        <w:ind w:left="0"/>
      </w:pPr>
      <w:r>
        <w:t>De algemeen directe</w:t>
      </w:r>
      <w:r w:rsidR="00FE79C3">
        <w:t>ur</w:t>
      </w:r>
      <w:r>
        <w:t xml:space="preserve"> stelt het individuele jaarsalaris van het personeelslid vast.</w:t>
      </w:r>
    </w:p>
    <w:p w14:paraId="16389751" w14:textId="77777777" w:rsidR="00990792" w:rsidRDefault="00990792" w:rsidP="00990792">
      <w:pPr>
        <w:pStyle w:val="StandaardUitvullen"/>
        <w:ind w:left="0"/>
      </w:pPr>
      <w:r>
        <w:t>Het college van burgemeester en schepenen stelt het individuele jaarsalaris van de algemeen en financieel directeur vast.</w:t>
      </w:r>
    </w:p>
    <w:p w14:paraId="23733DEC" w14:textId="77777777" w:rsidR="00855674" w:rsidRDefault="00855674" w:rsidP="00990792">
      <w:pPr>
        <w:pStyle w:val="StandaardUitvullen"/>
        <w:ind w:left="0"/>
        <w:rPr>
          <w:b/>
          <w:bCs/>
        </w:rPr>
      </w:pPr>
    </w:p>
    <w:p w14:paraId="0D639AF6" w14:textId="77777777" w:rsidR="00855674" w:rsidRDefault="00855674" w:rsidP="00990792">
      <w:pPr>
        <w:pStyle w:val="StandaardUitvullen"/>
        <w:ind w:left="0"/>
        <w:rPr>
          <w:b/>
          <w:bCs/>
        </w:rPr>
      </w:pPr>
    </w:p>
    <w:p w14:paraId="1411AB76" w14:textId="31F8ED23" w:rsidR="00990792" w:rsidRPr="00FC3C9E" w:rsidRDefault="00990792" w:rsidP="00990792">
      <w:pPr>
        <w:pStyle w:val="StandaardUitvullen"/>
        <w:ind w:left="0"/>
        <w:rPr>
          <w:b/>
          <w:bCs/>
        </w:rPr>
      </w:pPr>
      <w:r w:rsidRPr="00FC3C9E">
        <w:rPr>
          <w:b/>
          <w:bCs/>
        </w:rPr>
        <w:lastRenderedPageBreak/>
        <w:t xml:space="preserve">Artikel </w:t>
      </w:r>
      <w:r w:rsidR="008C18B6" w:rsidRPr="00FC3C9E">
        <w:rPr>
          <w:b/>
          <w:bCs/>
        </w:rPr>
        <w:t>101</w:t>
      </w:r>
    </w:p>
    <w:p w14:paraId="4E1F1EDC" w14:textId="72F4B700" w:rsidR="003957DC" w:rsidRPr="00FC3C9E" w:rsidRDefault="00107CA7" w:rsidP="00107CA7">
      <w:pPr>
        <w:pStyle w:val="StandaardUitvullen"/>
        <w:ind w:left="0"/>
      </w:pPr>
      <w:r w:rsidRPr="00FC3C9E">
        <w:t>§1. Beroepservaring in de publieke en private sector of als zelfstandige wordt in aanmerking genomen voor de toekenning van geldelijke anciënniteit</w:t>
      </w:r>
      <w:r w:rsidR="009E3737" w:rsidRPr="00FC3C9E">
        <w:t>.</w:t>
      </w:r>
    </w:p>
    <w:p w14:paraId="653160B3" w14:textId="0B39543E" w:rsidR="000F73BE" w:rsidRPr="00FC3C9E" w:rsidRDefault="000F73BE" w:rsidP="00107CA7">
      <w:pPr>
        <w:pStyle w:val="StandaardUitvullen"/>
        <w:ind w:left="0"/>
      </w:pPr>
      <w:r w:rsidRPr="00FC3C9E">
        <w:t>Beroepservaring op gelijkwaardig niveau in de publieke sector wordt in aanmerking genomen voor de toekenning van schaalanciënniteit op voorwaarde dat ze relevant is voor de uitoefening van de functie waarin het personeelslid wordt aangesteld.</w:t>
      </w:r>
    </w:p>
    <w:p w14:paraId="4F26B6F1" w14:textId="5AD58231" w:rsidR="00107CA7" w:rsidRPr="002C59B4" w:rsidRDefault="000F73BE" w:rsidP="00107CA7">
      <w:pPr>
        <w:pStyle w:val="StandaardUitvullen"/>
        <w:ind w:left="0"/>
      </w:pPr>
      <w:r w:rsidRPr="00FC3C9E">
        <w:t xml:space="preserve">§2. </w:t>
      </w:r>
      <w:r w:rsidR="002C59B4" w:rsidRPr="00FC3C9E">
        <w:t>De toekenning van schaalanciënniteit gebeurt enkel bij de aanwerving van knelpuntberoepen (zie lijst VDAB).</w:t>
      </w:r>
      <w:r w:rsidR="002C59B4">
        <w:t xml:space="preserve"> </w:t>
      </w:r>
      <w:r w:rsidR="00107CA7" w:rsidRPr="002C59B4">
        <w:t>Beroepservaring in de publieke en private sector of als zelfstandige wordt in aanmerking genomen voor de toekenning van schaalanciënniteit, op voorwaarde dat ze relevant is voor de uitoefening van de functie waarin het personeelslid wordt aangesteld.</w:t>
      </w:r>
      <w:r w:rsidR="001D3FA9" w:rsidRPr="002C59B4">
        <w:t xml:space="preserve"> </w:t>
      </w:r>
    </w:p>
    <w:p w14:paraId="783461B1" w14:textId="30572B9A" w:rsidR="00A66788" w:rsidRPr="002C59B4" w:rsidRDefault="00A66788" w:rsidP="00107CA7">
      <w:pPr>
        <w:pStyle w:val="StandaardUitvullen"/>
        <w:ind w:left="0"/>
      </w:pPr>
      <w:r w:rsidRPr="002C59B4">
        <w:t>Relevante beroepservaring opgebouwd bij het lokaal bestuur Beersel wordt bij bevordering in aanmerking genomen voor de toekenning van schaalanciënniteit</w:t>
      </w:r>
      <w:r w:rsidR="0052167D" w:rsidRPr="002C59B4">
        <w:t>, op voorwaarde dat de functie erkend is als knelpuntberoep</w:t>
      </w:r>
      <w:r w:rsidRPr="002C59B4">
        <w:t>.</w:t>
      </w:r>
    </w:p>
    <w:p w14:paraId="67443BAC" w14:textId="64E1FBC5" w:rsidR="00990792" w:rsidRDefault="00990792" w:rsidP="00990792">
      <w:pPr>
        <w:pStyle w:val="StandaardUitvullen"/>
        <w:ind w:left="0"/>
      </w:pPr>
      <w:r>
        <w:t>§</w:t>
      </w:r>
      <w:r w:rsidR="000F73BE">
        <w:t>3</w:t>
      </w:r>
      <w:r>
        <w:t>. De relevantie van de beroepservaring wordt beoordeeld op basis van een vergelijking van de ervaring met de voorwaarden en met de functievereisten van de functie waarin personeelsleden aangesteld worden. De personeelsleden leveren het bewijs van hun beroepservaring.</w:t>
      </w:r>
    </w:p>
    <w:p w14:paraId="3FB2238E" w14:textId="77777777" w:rsidR="00990792" w:rsidRDefault="00990792" w:rsidP="00990792">
      <w:pPr>
        <w:pStyle w:val="StandaardUitvullen"/>
        <w:ind w:left="0"/>
      </w:pPr>
      <w:r>
        <w:t>Het personeelslid levert zelf de bewijsstukken voor de diensten die in de publieke sector, de privésector of als zelfstandige gepresteerd werden. Als bewijsstukken worden o.a. aanvaard:</w:t>
      </w:r>
    </w:p>
    <w:p w14:paraId="300AD1E8" w14:textId="77777777" w:rsidR="00990792" w:rsidRDefault="00990792" w:rsidP="00024FC2">
      <w:pPr>
        <w:pStyle w:val="StandaardUitvullen"/>
        <w:ind w:left="708"/>
      </w:pPr>
      <w:r>
        <w:t>1.</w:t>
      </w:r>
      <w:r>
        <w:tab/>
        <w:t>attesten van de vroegere werkgever die bevestigen dat een werknemer een bepaalde functie heeft uitgeoefend en hoelang, en die weergeven wat die functie concreet inhield;</w:t>
      </w:r>
    </w:p>
    <w:p w14:paraId="2A238A86" w14:textId="77777777" w:rsidR="00990792" w:rsidRDefault="00990792" w:rsidP="00024FC2">
      <w:pPr>
        <w:pStyle w:val="StandaardUitvullen"/>
        <w:ind w:left="708"/>
      </w:pPr>
      <w:r>
        <w:t>2.</w:t>
      </w:r>
      <w:r>
        <w:tab/>
        <w:t>de functiebeschrijving van de vroeger uitgeoefende functie;</w:t>
      </w:r>
    </w:p>
    <w:p w14:paraId="3085F6F8" w14:textId="77777777" w:rsidR="00990792" w:rsidRDefault="00990792" w:rsidP="00024FC2">
      <w:pPr>
        <w:pStyle w:val="StandaardUitvullen"/>
        <w:ind w:left="708"/>
      </w:pPr>
      <w:r>
        <w:t>3.</w:t>
      </w:r>
      <w:r>
        <w:tab/>
        <w:t>evaluaties over de uitoefening van de vroegere functie;</w:t>
      </w:r>
    </w:p>
    <w:p w14:paraId="1E605C17" w14:textId="77777777" w:rsidR="00990792" w:rsidRDefault="00990792" w:rsidP="00024FC2">
      <w:pPr>
        <w:pStyle w:val="StandaardUitvullen"/>
        <w:ind w:left="708"/>
      </w:pPr>
      <w:r>
        <w:t>4.</w:t>
      </w:r>
      <w:r>
        <w:tab/>
        <w:t>zo nodig, attesten of getuigschriften van aanvullende vorming voor de functie;</w:t>
      </w:r>
    </w:p>
    <w:p w14:paraId="71B9A995" w14:textId="77777777" w:rsidR="00990792" w:rsidRDefault="00990792" w:rsidP="00024FC2">
      <w:pPr>
        <w:pStyle w:val="StandaardUitvullen"/>
        <w:ind w:left="708"/>
      </w:pPr>
      <w:r>
        <w:t>5.</w:t>
      </w:r>
      <w:r>
        <w:tab/>
        <w:t>…</w:t>
      </w:r>
    </w:p>
    <w:p w14:paraId="5478EEBE" w14:textId="1788DE14" w:rsidR="003B41C4" w:rsidRDefault="003B41C4" w:rsidP="00990792">
      <w:pPr>
        <w:pStyle w:val="StandaardUitvullen"/>
        <w:ind w:left="0"/>
      </w:pPr>
      <w:r w:rsidRPr="003B41C4">
        <w:t>§</w:t>
      </w:r>
      <w:r w:rsidR="000F73BE">
        <w:t>4</w:t>
      </w:r>
      <w:r>
        <w:t>.</w:t>
      </w:r>
      <w:r w:rsidRPr="003B41C4">
        <w:t xml:space="preserve"> De relevante jaren worden met terugwerkende kracht vanaf de indiensttreding van het personeelslid in rekening gebracht indien de afgifte van de attesten </w:t>
      </w:r>
      <w:r w:rsidR="000B17AD" w:rsidRPr="003B41C4">
        <w:t>gebeurt</w:t>
      </w:r>
      <w:r w:rsidRPr="003B41C4">
        <w:t xml:space="preserve"> binnen de 3 maanden te rekenen vanaf datum van de indiensttreding. Bij laattijdige indiening is er geen regularisatie en wordt de meeneembare anciënniteit de eerste van de volgende maand na indiening gevaloriseerd.</w:t>
      </w:r>
    </w:p>
    <w:p w14:paraId="7AABA10D" w14:textId="6BE4AB5C" w:rsidR="00990792" w:rsidRDefault="00990792" w:rsidP="00990792">
      <w:pPr>
        <w:pStyle w:val="StandaardUitvullen"/>
        <w:ind w:left="0"/>
      </w:pPr>
      <w:r>
        <w:t>§</w:t>
      </w:r>
      <w:r w:rsidR="000F73BE">
        <w:t>5</w:t>
      </w:r>
      <w:r>
        <w:t>. De geldelijke anciënniteit die met toepassing van §1 en §2 verkregen wordt, blijft behouden voor het verdere verloop van de loopbaan bij hetzelfde bestuur.</w:t>
      </w:r>
    </w:p>
    <w:p w14:paraId="254E6D87" w14:textId="06D349AD" w:rsidR="00990792" w:rsidRPr="00FC3C9E" w:rsidRDefault="00990792" w:rsidP="00990792">
      <w:pPr>
        <w:pStyle w:val="StandaardUitvullen"/>
        <w:ind w:left="0"/>
      </w:pPr>
      <w:r>
        <w:t>§</w:t>
      </w:r>
      <w:r w:rsidR="000F73BE">
        <w:t>6</w:t>
      </w:r>
      <w:r>
        <w:t xml:space="preserve">. De diensten die in aanmerking komen voor de vaststelling van de geldelijke en schaalanciënniteit, </w:t>
      </w:r>
      <w:r w:rsidRPr="00FC3C9E">
        <w:t>worden berekend per kalendermaand.</w:t>
      </w:r>
    </w:p>
    <w:p w14:paraId="4CCCACFB" w14:textId="44902034" w:rsidR="00990792" w:rsidRPr="0036646C" w:rsidRDefault="00990792" w:rsidP="00990792">
      <w:pPr>
        <w:pStyle w:val="StandaardUitvullen"/>
        <w:ind w:left="0"/>
        <w:rPr>
          <w:b/>
          <w:bCs/>
        </w:rPr>
      </w:pPr>
      <w:r w:rsidRPr="00FC3C9E">
        <w:rPr>
          <w:b/>
          <w:bCs/>
        </w:rPr>
        <w:t xml:space="preserve">Artikel </w:t>
      </w:r>
      <w:r w:rsidR="008C18B6" w:rsidRPr="00FC3C9E">
        <w:rPr>
          <w:b/>
          <w:bCs/>
        </w:rPr>
        <w:t>102</w:t>
      </w:r>
    </w:p>
    <w:p w14:paraId="63150A53" w14:textId="77777777" w:rsidR="00990792" w:rsidRDefault="00990792" w:rsidP="00990792">
      <w:pPr>
        <w:pStyle w:val="StandaardUitvullen"/>
        <w:ind w:left="0"/>
      </w:pPr>
      <w:r>
        <w:t xml:space="preserve">Volgende perioden worden meegerekend bij de vaststelling van de geldelijke </w:t>
      </w:r>
      <w:r w:rsidRPr="00D5294C">
        <w:t>en schaalanciënniteit</w:t>
      </w:r>
      <w:r>
        <w:t xml:space="preserve"> tijdens het verdere verloop van de loopbaan bij hetzelfde bestuur:</w:t>
      </w:r>
    </w:p>
    <w:p w14:paraId="3939F6A2" w14:textId="2B742132" w:rsidR="00990792" w:rsidRDefault="00990792" w:rsidP="009D4C40">
      <w:pPr>
        <w:pStyle w:val="StandaardUitvullen"/>
        <w:numPr>
          <w:ilvl w:val="0"/>
          <w:numId w:val="82"/>
        </w:numPr>
      </w:pPr>
      <w:r>
        <w:t>een periode van dienstactiviteit bij verlof of afwezigheid als ze op dat ogenblik het recht op salaris volledig of gedeeltelijk behouden;</w:t>
      </w:r>
    </w:p>
    <w:p w14:paraId="7FB76E94" w14:textId="212A4532" w:rsidR="00990792" w:rsidRDefault="00990792" w:rsidP="009D4C40">
      <w:pPr>
        <w:pStyle w:val="StandaardUitvullen"/>
        <w:numPr>
          <w:ilvl w:val="0"/>
          <w:numId w:val="82"/>
        </w:numPr>
      </w:pPr>
      <w:r>
        <w:t>een periode van arbeidsongeval, ongeval van en naar het werk of een beroepsziekte;</w:t>
      </w:r>
    </w:p>
    <w:p w14:paraId="3B1A19C7" w14:textId="6DAD5452" w:rsidR="00990792" w:rsidRDefault="00990792" w:rsidP="009D4C40">
      <w:pPr>
        <w:pStyle w:val="StandaardUitvullen"/>
        <w:numPr>
          <w:ilvl w:val="0"/>
          <w:numId w:val="82"/>
        </w:numPr>
      </w:pPr>
      <w:r>
        <w:t>een periode van disponibiliteit tot 12 maanden (ononderbroken periode);</w:t>
      </w:r>
    </w:p>
    <w:p w14:paraId="735BC46D" w14:textId="2D88C0BB" w:rsidR="00990792" w:rsidRDefault="00990792" w:rsidP="009D4C40">
      <w:pPr>
        <w:pStyle w:val="StandaardUitvullen"/>
        <w:numPr>
          <w:ilvl w:val="0"/>
          <w:numId w:val="82"/>
        </w:numPr>
      </w:pPr>
      <w:r>
        <w:t>een periode van loopbaanonderbreking voor ouderschapsverlof;</w:t>
      </w:r>
    </w:p>
    <w:p w14:paraId="228B8156" w14:textId="725691FC" w:rsidR="00990792" w:rsidRDefault="00990792" w:rsidP="009D4C40">
      <w:pPr>
        <w:pStyle w:val="StandaardUitvullen"/>
        <w:numPr>
          <w:ilvl w:val="0"/>
          <w:numId w:val="82"/>
        </w:numPr>
      </w:pPr>
      <w:r>
        <w:t>een periode van loopbaanonderbreking voor bijstand of verzorging van een zwaar ziek gezins- of familielid;</w:t>
      </w:r>
    </w:p>
    <w:p w14:paraId="5CED7DE8" w14:textId="7E2B5865" w:rsidR="00990792" w:rsidRDefault="00990792" w:rsidP="009D4C40">
      <w:pPr>
        <w:pStyle w:val="StandaardUitvullen"/>
        <w:numPr>
          <w:ilvl w:val="0"/>
          <w:numId w:val="82"/>
        </w:numPr>
      </w:pPr>
      <w:r>
        <w:t>een periode van loopbaanonderbreking voor het verlenen van palliatieve zorgen;</w:t>
      </w:r>
    </w:p>
    <w:p w14:paraId="1E0419EE" w14:textId="5FEB119A" w:rsidR="00990792" w:rsidRDefault="00990792" w:rsidP="009D4C40">
      <w:pPr>
        <w:pStyle w:val="StandaardUitvullen"/>
        <w:numPr>
          <w:ilvl w:val="0"/>
          <w:numId w:val="82"/>
        </w:numPr>
      </w:pPr>
      <w:r>
        <w:lastRenderedPageBreak/>
        <w:t>een periode van loopbaanonderbreking voor mantelzorg;</w:t>
      </w:r>
    </w:p>
    <w:p w14:paraId="1E63817A" w14:textId="580F24F9" w:rsidR="00990792" w:rsidRDefault="00990792" w:rsidP="009D4C40">
      <w:pPr>
        <w:pStyle w:val="StandaardUitvullen"/>
        <w:numPr>
          <w:ilvl w:val="0"/>
          <w:numId w:val="82"/>
        </w:numPr>
      </w:pPr>
      <w:r>
        <w:t>een periode van zorgkrediet;</w:t>
      </w:r>
    </w:p>
    <w:p w14:paraId="6A6AD9C5" w14:textId="580A511A" w:rsidR="00990792" w:rsidRDefault="00990792" w:rsidP="009D4C40">
      <w:pPr>
        <w:pStyle w:val="StandaardUitvullen"/>
        <w:numPr>
          <w:ilvl w:val="0"/>
          <w:numId w:val="82"/>
        </w:numPr>
      </w:pPr>
      <w:r>
        <w:t>een periode van adoptieverlof;</w:t>
      </w:r>
    </w:p>
    <w:p w14:paraId="20313A1A" w14:textId="1ED63AD3" w:rsidR="00990792" w:rsidRDefault="00990792" w:rsidP="009D4C40">
      <w:pPr>
        <w:pStyle w:val="StandaardUitvullen"/>
        <w:numPr>
          <w:ilvl w:val="0"/>
          <w:numId w:val="82"/>
        </w:numPr>
      </w:pPr>
      <w:r>
        <w:t>een periode van pleegzorgverlof;</w:t>
      </w:r>
    </w:p>
    <w:p w14:paraId="1B8EC1A0" w14:textId="1B9B651B" w:rsidR="00990792" w:rsidRDefault="00990792" w:rsidP="009D4C40">
      <w:pPr>
        <w:pStyle w:val="StandaardUitvullen"/>
        <w:numPr>
          <w:ilvl w:val="0"/>
          <w:numId w:val="82"/>
        </w:numPr>
      </w:pPr>
      <w:r>
        <w:t>een periode van pleegouderverlof;</w:t>
      </w:r>
    </w:p>
    <w:p w14:paraId="4EA6EA38" w14:textId="338275FB" w:rsidR="00990792" w:rsidRDefault="00990792" w:rsidP="009D4C40">
      <w:pPr>
        <w:pStyle w:val="StandaardUitvullen"/>
        <w:numPr>
          <w:ilvl w:val="0"/>
          <w:numId w:val="82"/>
        </w:numPr>
      </w:pPr>
      <w:r>
        <w:t>een periode van omstandigheidsverlof naar aanleiding van een familiale gebeurtenis;</w:t>
      </w:r>
    </w:p>
    <w:p w14:paraId="7474510A" w14:textId="2EF4E85D" w:rsidR="00990792" w:rsidRDefault="00990792" w:rsidP="009D4C40">
      <w:pPr>
        <w:pStyle w:val="StandaardUitvullen"/>
        <w:numPr>
          <w:ilvl w:val="0"/>
          <w:numId w:val="82"/>
        </w:numPr>
      </w:pPr>
      <w:r>
        <w:t>een periode met recht op een uitkering in het kader van de ziekte- en invaliditeitsverzekering die een ander uitkering is dan de uitkering vermeld in punt 14°;</w:t>
      </w:r>
    </w:p>
    <w:p w14:paraId="2D55DFA6" w14:textId="04830AE2" w:rsidR="00990792" w:rsidRDefault="00990792" w:rsidP="009D4C40">
      <w:pPr>
        <w:pStyle w:val="StandaardUitvullen"/>
        <w:numPr>
          <w:ilvl w:val="0"/>
          <w:numId w:val="82"/>
        </w:numPr>
      </w:pPr>
      <w:r>
        <w:t>een periode van ziekte of ongeval privéleven met recht op een uitkering in het kader van de verplichte ziekte- en invaliditeitsuitkering tot 12 maanden (ononderbroken periode);</w:t>
      </w:r>
    </w:p>
    <w:p w14:paraId="5271B640" w14:textId="32454470" w:rsidR="00990792" w:rsidRDefault="00990792" w:rsidP="009D4C40">
      <w:pPr>
        <w:pStyle w:val="StandaardUitvullen"/>
        <w:numPr>
          <w:ilvl w:val="0"/>
          <w:numId w:val="82"/>
        </w:numPr>
      </w:pPr>
      <w:r>
        <w:t>een afwezigheid wegens militaire dienst die geen volledige kalendermaand beslaat;</w:t>
      </w:r>
    </w:p>
    <w:p w14:paraId="6F699202" w14:textId="265F4957" w:rsidR="00990792" w:rsidRDefault="00990792" w:rsidP="009D4C40">
      <w:pPr>
        <w:pStyle w:val="StandaardUitvullen"/>
        <w:numPr>
          <w:ilvl w:val="0"/>
          <w:numId w:val="82"/>
        </w:numPr>
      </w:pPr>
      <w:r>
        <w:t>een tijdelijke afwezigheid van statutaire personeelsleden die hun functie niet kunnen uitoefenen wegens overmacht (een plotse en onvoorziene gebeurtenis die zich voordoet buiten de wil van het personeelslid en het bestuur, die tijdelijk van aard is en die de verdere uitvoering van de prestaties volledig onmogelijk maak);</w:t>
      </w:r>
    </w:p>
    <w:p w14:paraId="401351FC" w14:textId="308D617A" w:rsidR="00990792" w:rsidRDefault="00990792" w:rsidP="009D4C40">
      <w:pPr>
        <w:pStyle w:val="StandaardUitvullen"/>
        <w:numPr>
          <w:ilvl w:val="0"/>
          <w:numId w:val="82"/>
        </w:numPr>
      </w:pPr>
      <w:r>
        <w:t>een periode van tijdelijke werkloosheid met recht op een uitkering in het kader van de werkloosheidsverzekering;</w:t>
      </w:r>
    </w:p>
    <w:p w14:paraId="403D02BE" w14:textId="3AE15B1D" w:rsidR="00990792" w:rsidRPr="00FC3C9E" w:rsidRDefault="00990792" w:rsidP="009D4C40">
      <w:pPr>
        <w:pStyle w:val="StandaardUitvullen"/>
        <w:numPr>
          <w:ilvl w:val="0"/>
          <w:numId w:val="82"/>
        </w:numPr>
      </w:pPr>
      <w:r>
        <w:t xml:space="preserve">een </w:t>
      </w:r>
      <w:r w:rsidRPr="00FC3C9E">
        <w:t>periode van afwezigheid wegens dwingende redenen en wegens het zorgverlof.</w:t>
      </w:r>
    </w:p>
    <w:p w14:paraId="4DEC4340" w14:textId="7857D8E1" w:rsidR="002D52B0" w:rsidRPr="00FC3C9E" w:rsidRDefault="002D52B0" w:rsidP="009D4C40">
      <w:pPr>
        <w:pStyle w:val="StandaardUitvullen"/>
        <w:numPr>
          <w:ilvl w:val="0"/>
          <w:numId w:val="82"/>
        </w:numPr>
      </w:pPr>
      <w:r w:rsidRPr="00FC3C9E">
        <w:t>Onbetaald verlof zoals omschreven in artikel 197, §1 punt 1°</w:t>
      </w:r>
      <w:r w:rsidR="00C57FB4" w:rsidRPr="00FC3C9E">
        <w:t xml:space="preserve"> </w:t>
      </w:r>
      <w:r w:rsidRPr="00FC3C9E">
        <w:t>.</w:t>
      </w:r>
    </w:p>
    <w:p w14:paraId="7F9F16D3" w14:textId="607768DB" w:rsidR="00990792" w:rsidRPr="00FC3C9E" w:rsidRDefault="00990792" w:rsidP="00990792">
      <w:pPr>
        <w:pStyle w:val="StandaardUitvullen"/>
        <w:ind w:left="0"/>
        <w:rPr>
          <w:b/>
          <w:bCs/>
        </w:rPr>
      </w:pPr>
      <w:r w:rsidRPr="00FC3C9E">
        <w:rPr>
          <w:b/>
          <w:bCs/>
        </w:rPr>
        <w:t xml:space="preserve">Artikel </w:t>
      </w:r>
      <w:r w:rsidR="008C18B6" w:rsidRPr="00FC3C9E">
        <w:rPr>
          <w:b/>
          <w:bCs/>
        </w:rPr>
        <w:t>103</w:t>
      </w:r>
    </w:p>
    <w:p w14:paraId="153B9AC2" w14:textId="77777777" w:rsidR="00990792" w:rsidRPr="00FC3C9E" w:rsidRDefault="00990792" w:rsidP="00990792">
      <w:pPr>
        <w:pStyle w:val="StandaardUitvullen"/>
        <w:ind w:left="0"/>
      </w:pPr>
      <w:r w:rsidRPr="00FC3C9E">
        <w:t>Om de geldelijke en schaalanciënniteit vast te stellen wordt de beroepservaring meegerekend tegen 100%, ongeacht of ze is opgedaan in het kader van een voltijdse of een deeltijdse tewerkstelling.</w:t>
      </w:r>
    </w:p>
    <w:p w14:paraId="2AACD2EE" w14:textId="77777777" w:rsidR="00990792" w:rsidRDefault="00990792" w:rsidP="00990792">
      <w:pPr>
        <w:pStyle w:val="StandaardUitvullen"/>
        <w:ind w:left="0"/>
      </w:pPr>
      <w:r w:rsidRPr="00FC3C9E">
        <w:t>De geldelijke anciënniteit die verworven is in twee of meer gelijktijdig uitgeoefende functies, wordt voor dezelfde periode maximaal voor een volledige prestatie gevaloriseerd.</w:t>
      </w:r>
    </w:p>
    <w:p w14:paraId="0ED0FCA5" w14:textId="14CC4A87" w:rsidR="003A11FB" w:rsidRPr="00A777E7" w:rsidRDefault="003A11FB" w:rsidP="00B44CF7">
      <w:pPr>
        <w:pStyle w:val="Kop2"/>
      </w:pPr>
      <w:bookmarkStart w:id="158" w:name="_Toc110948188"/>
      <w:bookmarkStart w:id="159" w:name="_Toc215738997"/>
      <w:r w:rsidRPr="00B976AB">
        <w:t>Hoofdstuk ii. de toekenning van periodieke salarisverhogingen door de opbouw van geldelijke anciënNiteit</w:t>
      </w:r>
      <w:bookmarkEnd w:id="158"/>
      <w:bookmarkEnd w:id="159"/>
    </w:p>
    <w:p w14:paraId="0278F0F4" w14:textId="5BEA96A6" w:rsidR="003A11FB" w:rsidRPr="00B976AB" w:rsidRDefault="003A11FB" w:rsidP="003A11FB">
      <w:pPr>
        <w:pStyle w:val="Kop3"/>
      </w:pPr>
      <w:bookmarkStart w:id="160" w:name="_Toc110948189"/>
      <w:bookmarkStart w:id="161" w:name="_Toc215738998"/>
      <w:r w:rsidRPr="00B976AB">
        <w:t>Afdeling 1. diensten bij een overheid</w:t>
      </w:r>
      <w:bookmarkEnd w:id="160"/>
      <w:bookmarkEnd w:id="161"/>
    </w:p>
    <w:p w14:paraId="74C07E27" w14:textId="40F11277" w:rsidR="003A11FB" w:rsidRPr="00B976AB" w:rsidRDefault="003A11FB" w:rsidP="003A11FB">
      <w:pPr>
        <w:pStyle w:val="Kop5"/>
      </w:pPr>
      <w:r w:rsidRPr="00FC3C9E">
        <w:t xml:space="preserve">Artikel </w:t>
      </w:r>
      <w:r w:rsidR="006763C7" w:rsidRPr="00FC3C9E">
        <w:t>10</w:t>
      </w:r>
      <w:r w:rsidR="008C18B6" w:rsidRPr="00FC3C9E">
        <w:t>4</w:t>
      </w:r>
    </w:p>
    <w:p w14:paraId="17B4A33F" w14:textId="0C55795D" w:rsidR="00E0531C" w:rsidRPr="00B976AB" w:rsidRDefault="00E0531C" w:rsidP="00D53CA3">
      <w:pPr>
        <w:pStyle w:val="StandaardUitvullen"/>
        <w:ind w:left="0"/>
      </w:pPr>
      <w:r w:rsidRPr="00B976AB">
        <w:t xml:space="preserve">Voor de toekenning van periodieke salarisverhogingen komen alleen de werkelijke diensten in statutair of contractueel </w:t>
      </w:r>
      <w:r w:rsidR="000B17AD" w:rsidRPr="00B976AB">
        <w:t>verband in</w:t>
      </w:r>
      <w:r w:rsidRPr="00B976AB">
        <w:t xml:space="preserve"> aanmerking die het personeelslid als titularis van een bezoldigde betrekking heeft geleverd in dienst </w:t>
      </w:r>
      <w:r w:rsidR="000B17AD" w:rsidRPr="00B976AB">
        <w:t>van:</w:t>
      </w:r>
    </w:p>
    <w:p w14:paraId="07E762DC" w14:textId="77777777" w:rsidR="00E0531C" w:rsidRPr="00B976AB" w:rsidRDefault="00E0531C" w:rsidP="009D4C40">
      <w:pPr>
        <w:pStyle w:val="StandaardUitvullen"/>
        <w:numPr>
          <w:ilvl w:val="1"/>
          <w:numId w:val="30"/>
        </w:numPr>
        <w:ind w:left="1418" w:hanging="567"/>
      </w:pPr>
      <w:r w:rsidRPr="00B976AB">
        <w:t xml:space="preserve">de provincies, de gemeenten en de </w:t>
      </w:r>
      <w:proofErr w:type="spellStart"/>
      <w:r w:rsidRPr="00B976AB">
        <w:t>OCMW's</w:t>
      </w:r>
      <w:proofErr w:type="spellEnd"/>
      <w:r w:rsidRPr="00B976AB">
        <w:t xml:space="preserve"> van België, de publiekrechtelijke verenigingen</w:t>
      </w:r>
      <w:r w:rsidR="004100B1" w:rsidRPr="00B976AB">
        <w:t xml:space="preserve"> </w:t>
      </w:r>
      <w:r w:rsidRPr="00B976AB">
        <w:t>waarvan ze deel uitmaken en de instellingen die eronder ressorteren;</w:t>
      </w:r>
    </w:p>
    <w:p w14:paraId="52C84386" w14:textId="77777777" w:rsidR="00E0531C" w:rsidRPr="00B976AB" w:rsidRDefault="00E0531C" w:rsidP="009D4C40">
      <w:pPr>
        <w:pStyle w:val="StandaardUitvullen"/>
        <w:numPr>
          <w:ilvl w:val="1"/>
          <w:numId w:val="30"/>
        </w:numPr>
        <w:ind w:left="1418" w:hanging="567"/>
      </w:pPr>
      <w:r w:rsidRPr="00B976AB">
        <w:t>de diensten en instellingen van de federale overheid, van de gemeenschappen en gewesten en de internationale instellingen waarvan ze lid zijn;</w:t>
      </w:r>
    </w:p>
    <w:p w14:paraId="67D34EF5" w14:textId="77777777" w:rsidR="00E0531C" w:rsidRPr="00B976AB" w:rsidRDefault="00E0531C" w:rsidP="009D4C40">
      <w:pPr>
        <w:pStyle w:val="StandaardUitvullen"/>
        <w:numPr>
          <w:ilvl w:val="1"/>
          <w:numId w:val="30"/>
        </w:numPr>
        <w:ind w:left="1418" w:hanging="567"/>
      </w:pPr>
      <w:r w:rsidRPr="00B976AB">
        <w:t>de diensten en instellingen en de lokale overheden van een lidstaat van de Europese Unie of van de Europese Economische Ruimte;</w:t>
      </w:r>
    </w:p>
    <w:p w14:paraId="308900B2" w14:textId="77777777" w:rsidR="00E0531C" w:rsidRPr="00B976AB" w:rsidRDefault="00E0531C" w:rsidP="009D4C40">
      <w:pPr>
        <w:pStyle w:val="StandaardUitvullen"/>
        <w:numPr>
          <w:ilvl w:val="1"/>
          <w:numId w:val="30"/>
        </w:numPr>
        <w:ind w:left="1418" w:hanging="567"/>
      </w:pPr>
      <w:r w:rsidRPr="00B976AB">
        <w:t>de gesubsidieerde vrije onderwijsinstellingen of de gesubsidieerde vrije centra voor leerlingenbegeleiding;</w:t>
      </w:r>
    </w:p>
    <w:p w14:paraId="12EC7187" w14:textId="77777777" w:rsidR="00E0531C" w:rsidRPr="00B976AB" w:rsidRDefault="00E0531C" w:rsidP="009D4C40">
      <w:pPr>
        <w:pStyle w:val="StandaardUitvullen"/>
        <w:numPr>
          <w:ilvl w:val="1"/>
          <w:numId w:val="30"/>
        </w:numPr>
        <w:ind w:left="1418" w:hanging="567"/>
      </w:pPr>
      <w:r w:rsidRPr="00B976AB">
        <w:t>de publiekrechtelijke en vrije universiteiten;</w:t>
      </w:r>
    </w:p>
    <w:p w14:paraId="13CBF8C0" w14:textId="77777777" w:rsidR="003A11FB" w:rsidRPr="00B976AB" w:rsidRDefault="00E0531C" w:rsidP="009D4C40">
      <w:pPr>
        <w:pStyle w:val="StandaardUitvullen"/>
        <w:numPr>
          <w:ilvl w:val="1"/>
          <w:numId w:val="30"/>
        </w:numPr>
        <w:ind w:left="1418" w:hanging="567"/>
      </w:pPr>
      <w:r w:rsidRPr="00B976AB">
        <w:lastRenderedPageBreak/>
        <w:t>elke andere instelling naar Belgisch recht of naar het recht van een lidstaat van de Europese Economische Ruimte die beantwoordt aan collectieve behoeften van algemeen of lokaal belang, en waarbij in de oprichting of bijzondere leiding ervan het overwicht van de overheid tot uiting komt.</w:t>
      </w:r>
    </w:p>
    <w:p w14:paraId="131293C7" w14:textId="6A8C2484" w:rsidR="003A11FB" w:rsidRPr="00FC3C9E" w:rsidRDefault="003A11FB" w:rsidP="003A11FB">
      <w:pPr>
        <w:pStyle w:val="Kop5"/>
      </w:pPr>
      <w:r w:rsidRPr="00FC3C9E">
        <w:t xml:space="preserve">Artikel </w:t>
      </w:r>
      <w:r w:rsidR="006763C7" w:rsidRPr="00FC3C9E">
        <w:t>10</w:t>
      </w:r>
      <w:r w:rsidR="008C18B6" w:rsidRPr="00FC3C9E">
        <w:t>5</w:t>
      </w:r>
    </w:p>
    <w:p w14:paraId="4ABBEB58" w14:textId="44BE60AF" w:rsidR="003A11FB" w:rsidRPr="00B976AB" w:rsidRDefault="00E0531C" w:rsidP="00D53CA3">
      <w:pPr>
        <w:pStyle w:val="StandaardUitvullen"/>
        <w:ind w:left="0"/>
      </w:pPr>
      <w:r w:rsidRPr="00FC3C9E">
        <w:t xml:space="preserve">Voor de toepassing van artikel </w:t>
      </w:r>
      <w:r w:rsidR="00A807EB" w:rsidRPr="00FC3C9E">
        <w:t>104</w:t>
      </w:r>
      <w:r w:rsidRPr="00FC3C9E">
        <w:t xml:space="preserve"> moet worden verstaan onder werkelijke diensten: alle diensten die recht geven op een salaris of die bij ontstentenis van een salaris krachtens deze rechtspositieregeling toch in aanmerking worden genomen</w:t>
      </w:r>
      <w:r w:rsidRPr="00B976AB">
        <w:t xml:space="preserve"> voor de vaststelling van het salaris.</w:t>
      </w:r>
    </w:p>
    <w:p w14:paraId="264075B3" w14:textId="2C14046B" w:rsidR="003A11FB" w:rsidRPr="00B976AB" w:rsidRDefault="003A11FB" w:rsidP="003A11FB">
      <w:pPr>
        <w:pStyle w:val="Kop3"/>
      </w:pPr>
      <w:bookmarkStart w:id="162" w:name="_Toc110948190"/>
      <w:bookmarkStart w:id="163" w:name="_Toc215738999"/>
      <w:r w:rsidRPr="00B976AB">
        <w:t>Afdeling 2. diensten in de privésector of als zelfstandige</w:t>
      </w:r>
      <w:bookmarkEnd w:id="162"/>
      <w:bookmarkEnd w:id="163"/>
    </w:p>
    <w:p w14:paraId="11F008A1" w14:textId="4D284923" w:rsidR="003A11FB" w:rsidRPr="00FC3C9E" w:rsidRDefault="003A11FB" w:rsidP="003A11FB">
      <w:pPr>
        <w:pStyle w:val="Kop5"/>
      </w:pPr>
      <w:r w:rsidRPr="00FC3C9E">
        <w:t xml:space="preserve">Artikel </w:t>
      </w:r>
      <w:r w:rsidR="006763C7" w:rsidRPr="00FC3C9E">
        <w:t>10</w:t>
      </w:r>
      <w:r w:rsidR="008C18B6" w:rsidRPr="00FC3C9E">
        <w:t>6</w:t>
      </w:r>
    </w:p>
    <w:p w14:paraId="4087CF98" w14:textId="7EED6FA2" w:rsidR="00F17458" w:rsidRPr="00BD780E" w:rsidRDefault="00057DE7" w:rsidP="00D53CA3">
      <w:pPr>
        <w:ind w:left="0"/>
        <w:rPr>
          <w:bCs/>
          <w:lang w:val="nl-BE" w:eastAsia="en-US"/>
        </w:rPr>
      </w:pPr>
      <w:r w:rsidRPr="00BD780E">
        <w:rPr>
          <w:bCs/>
        </w:rPr>
        <w:t>§</w:t>
      </w:r>
      <w:r w:rsidR="003A11FB" w:rsidRPr="00BD780E">
        <w:rPr>
          <w:bCs/>
        </w:rPr>
        <w:t>1</w:t>
      </w:r>
      <w:r w:rsidR="00BD780E" w:rsidRPr="00BD780E">
        <w:rPr>
          <w:bCs/>
        </w:rPr>
        <w:t>.</w:t>
      </w:r>
      <w:r w:rsidR="00C129C2" w:rsidRPr="00BD780E">
        <w:rPr>
          <w:bCs/>
        </w:rPr>
        <w:t xml:space="preserve"> </w:t>
      </w:r>
      <w:r w:rsidR="00F17458" w:rsidRPr="00BD780E">
        <w:rPr>
          <w:bCs/>
          <w:lang w:val="nl-BE" w:eastAsia="en-US"/>
        </w:rPr>
        <w:t>Beroepservaring in de privésector of als zelfstandige wordt volledig in aanmerking genomen voor de toekenning van periodieke salarisverhogingen, op voorwaarde dat ze relevant is voor de uitoefening van de functie. Deze aanpassing is geldig voor alle indiens</w:t>
      </w:r>
      <w:r w:rsidR="0096281A" w:rsidRPr="00BD780E">
        <w:rPr>
          <w:bCs/>
          <w:lang w:val="nl-BE" w:eastAsia="en-US"/>
        </w:rPr>
        <w:t>t</w:t>
      </w:r>
      <w:r w:rsidR="00F17458" w:rsidRPr="00BD780E">
        <w:rPr>
          <w:bCs/>
          <w:lang w:val="nl-BE" w:eastAsia="en-US"/>
        </w:rPr>
        <w:t>tredingen na 1 januari 2020</w:t>
      </w:r>
    </w:p>
    <w:p w14:paraId="3533E285" w14:textId="19842E35" w:rsidR="003A11FB" w:rsidRPr="00BD780E" w:rsidRDefault="00057DE7" w:rsidP="00D53CA3">
      <w:pPr>
        <w:ind w:left="0"/>
        <w:rPr>
          <w:bCs/>
        </w:rPr>
      </w:pPr>
      <w:r w:rsidRPr="00BD780E">
        <w:rPr>
          <w:bCs/>
        </w:rPr>
        <w:t>§</w:t>
      </w:r>
      <w:r w:rsidR="003A11FB" w:rsidRPr="00BD780E">
        <w:rPr>
          <w:bCs/>
        </w:rPr>
        <w:t>2</w:t>
      </w:r>
      <w:r w:rsidR="00BD780E" w:rsidRPr="00BD780E">
        <w:rPr>
          <w:bCs/>
        </w:rPr>
        <w:t>.</w:t>
      </w:r>
      <w:r w:rsidR="003A11FB" w:rsidRPr="00BD780E">
        <w:rPr>
          <w:bCs/>
        </w:rPr>
        <w:t xml:space="preserve"> De relevantie van de beroepservaring wordt beoordeeld op basis van een vergelijking van die ervaring met de voorwaarden en met het functieprofiel voor de functie waarin het personeelslid aangesteld wordt. </w:t>
      </w:r>
    </w:p>
    <w:p w14:paraId="2285DC2A" w14:textId="77777777" w:rsidR="003A11FB" w:rsidRPr="00BD780E" w:rsidRDefault="003A11FB" w:rsidP="00D53CA3">
      <w:pPr>
        <w:pStyle w:val="StandaardUitvullen"/>
        <w:ind w:left="0"/>
        <w:rPr>
          <w:bCs/>
          <w:szCs w:val="24"/>
        </w:rPr>
      </w:pPr>
      <w:r w:rsidRPr="00BD780E">
        <w:rPr>
          <w:bCs/>
          <w:szCs w:val="24"/>
        </w:rPr>
        <w:t>Het personeelslid levert zelf de bewijsstukken van de beroepservaring.</w:t>
      </w:r>
    </w:p>
    <w:p w14:paraId="045BF48E" w14:textId="77777777" w:rsidR="003A11FB" w:rsidRPr="00BD780E" w:rsidRDefault="003A11FB" w:rsidP="00D53CA3">
      <w:pPr>
        <w:pStyle w:val="StandaardUitvullen"/>
        <w:ind w:left="0"/>
        <w:rPr>
          <w:bCs/>
          <w:szCs w:val="24"/>
        </w:rPr>
      </w:pPr>
      <w:r w:rsidRPr="00BD780E">
        <w:rPr>
          <w:bCs/>
          <w:szCs w:val="24"/>
        </w:rPr>
        <w:t>De geldelijke anciënniteit die op die manier verkregen wordt, blijft behouden voor het verdere verloop van de loopbaan.</w:t>
      </w:r>
    </w:p>
    <w:p w14:paraId="345CBBD6" w14:textId="4AE759A8" w:rsidR="003A11FB" w:rsidRPr="00BD780E" w:rsidRDefault="003A11FB" w:rsidP="003A11FB">
      <w:pPr>
        <w:pStyle w:val="Kop3"/>
        <w:rPr>
          <w:bCs/>
        </w:rPr>
      </w:pPr>
      <w:bookmarkStart w:id="164" w:name="_Toc110948191"/>
      <w:bookmarkStart w:id="165" w:name="_Toc215739000"/>
      <w:r w:rsidRPr="00BD780E">
        <w:rPr>
          <w:bCs/>
        </w:rPr>
        <w:t>Afdeling 3. de valorisatie van de diensten</w:t>
      </w:r>
      <w:bookmarkEnd w:id="164"/>
      <w:bookmarkEnd w:id="165"/>
    </w:p>
    <w:p w14:paraId="649ECB85" w14:textId="683E741A" w:rsidR="003A11FB" w:rsidRPr="00BD780E" w:rsidRDefault="003A11FB" w:rsidP="003A11FB">
      <w:pPr>
        <w:pStyle w:val="Kop5"/>
        <w:rPr>
          <w:b w:val="0"/>
          <w:bCs/>
        </w:rPr>
      </w:pPr>
      <w:r w:rsidRPr="00BD780E">
        <w:rPr>
          <w:b w:val="0"/>
          <w:bCs/>
        </w:rPr>
        <w:t>Artikel</w:t>
      </w:r>
      <w:r w:rsidR="004C431F" w:rsidRPr="00BD780E">
        <w:rPr>
          <w:b w:val="0"/>
          <w:bCs/>
        </w:rPr>
        <w:t xml:space="preserve"> </w:t>
      </w:r>
      <w:r w:rsidR="006763C7" w:rsidRPr="00BD780E">
        <w:rPr>
          <w:b w:val="0"/>
          <w:bCs/>
        </w:rPr>
        <w:t>10</w:t>
      </w:r>
      <w:r w:rsidR="008C18B6" w:rsidRPr="00BD780E">
        <w:rPr>
          <w:b w:val="0"/>
          <w:bCs/>
        </w:rPr>
        <w:t>7</w:t>
      </w:r>
    </w:p>
    <w:p w14:paraId="3AF291CC" w14:textId="24563035" w:rsidR="003A11FB" w:rsidRPr="00BD780E" w:rsidRDefault="00057DE7" w:rsidP="00D53CA3">
      <w:pPr>
        <w:ind w:left="0"/>
        <w:rPr>
          <w:bCs/>
        </w:rPr>
      </w:pPr>
      <w:r w:rsidRPr="00BD780E">
        <w:rPr>
          <w:bCs/>
        </w:rPr>
        <w:t>§</w:t>
      </w:r>
      <w:r w:rsidR="003A11FB" w:rsidRPr="00BD780E">
        <w:rPr>
          <w:bCs/>
        </w:rPr>
        <w:t>1</w:t>
      </w:r>
      <w:r w:rsidR="00BD780E" w:rsidRPr="00BD780E">
        <w:rPr>
          <w:bCs/>
        </w:rPr>
        <w:t>.</w:t>
      </w:r>
      <w:r w:rsidR="00C129C2" w:rsidRPr="00BD780E">
        <w:rPr>
          <w:bCs/>
        </w:rPr>
        <w:t xml:space="preserve"> </w:t>
      </w:r>
      <w:r w:rsidR="003A11FB" w:rsidRPr="00BD780E">
        <w:rPr>
          <w:bCs/>
        </w:rPr>
        <w:t xml:space="preserve">De diensten die in overeenstemming met artikel </w:t>
      </w:r>
      <w:r w:rsidR="00EC5432" w:rsidRPr="00BD780E">
        <w:rPr>
          <w:bCs/>
        </w:rPr>
        <w:t>10</w:t>
      </w:r>
      <w:r w:rsidR="00A807EB" w:rsidRPr="00BD780E">
        <w:rPr>
          <w:bCs/>
        </w:rPr>
        <w:t>4</w:t>
      </w:r>
      <w:r w:rsidR="003A11FB" w:rsidRPr="00BD780E">
        <w:rPr>
          <w:bCs/>
        </w:rPr>
        <w:t xml:space="preserve"> en </w:t>
      </w:r>
      <w:r w:rsidR="00EC5432" w:rsidRPr="00BD780E">
        <w:rPr>
          <w:bCs/>
        </w:rPr>
        <w:t>10</w:t>
      </w:r>
      <w:r w:rsidR="00A807EB" w:rsidRPr="00BD780E">
        <w:rPr>
          <w:bCs/>
        </w:rPr>
        <w:t>5</w:t>
      </w:r>
      <w:r w:rsidR="003A11FB" w:rsidRPr="00BD780E">
        <w:rPr>
          <w:bCs/>
        </w:rPr>
        <w:t xml:space="preserve"> gepresteerd werden, worden voor de vaststelling van de geldelijke anciënniteit meegerekend voor honderd procent, ongeacht of ze voltijds dan wel deeltijds gepresteerd worden. </w:t>
      </w:r>
    </w:p>
    <w:p w14:paraId="06D008D8" w14:textId="6E0A8326" w:rsidR="003A11FB" w:rsidRPr="00BD780E" w:rsidRDefault="00057DE7" w:rsidP="00D53CA3">
      <w:pPr>
        <w:ind w:left="0"/>
        <w:rPr>
          <w:bCs/>
        </w:rPr>
      </w:pPr>
      <w:r w:rsidRPr="00BD780E">
        <w:rPr>
          <w:bCs/>
        </w:rPr>
        <w:t>§</w:t>
      </w:r>
      <w:r w:rsidR="00F17458" w:rsidRPr="00BD780E">
        <w:rPr>
          <w:bCs/>
        </w:rPr>
        <w:t>2</w:t>
      </w:r>
      <w:r w:rsidR="00BD780E" w:rsidRPr="00BD780E">
        <w:rPr>
          <w:bCs/>
        </w:rPr>
        <w:t>.</w:t>
      </w:r>
      <w:r w:rsidR="00B35911" w:rsidRPr="00BD780E">
        <w:rPr>
          <w:bCs/>
        </w:rPr>
        <w:t xml:space="preserve"> </w:t>
      </w:r>
      <w:r w:rsidR="003A11FB" w:rsidRPr="00BD780E">
        <w:rPr>
          <w:bCs/>
        </w:rPr>
        <w:t xml:space="preserve">De geldelijke anciënniteit, verworven in twee of meer gelijktijdig uitgeoefende functies, wordt voor dezelfde periode maximaal voor een volledige prestatie gevaloriseerd. Ze is bovendien in actieve deeltijdse functies niet onderling </w:t>
      </w:r>
      <w:proofErr w:type="spellStart"/>
      <w:r w:rsidR="003A11FB" w:rsidRPr="00BD780E">
        <w:rPr>
          <w:bCs/>
        </w:rPr>
        <w:t>cumuleerbaar</w:t>
      </w:r>
      <w:proofErr w:type="spellEnd"/>
      <w:r w:rsidR="003A11FB" w:rsidRPr="00BD780E">
        <w:rPr>
          <w:bCs/>
        </w:rPr>
        <w:t xml:space="preserve"> voor de toekenning van de periodieke verhogingen.</w:t>
      </w:r>
    </w:p>
    <w:p w14:paraId="75EFEFC0" w14:textId="28DE2A53" w:rsidR="00BE7A2B" w:rsidRPr="00FC3C9E" w:rsidRDefault="00F17458" w:rsidP="00D53CA3">
      <w:pPr>
        <w:ind w:left="0"/>
        <w:rPr>
          <w:lang w:val="nl-BE"/>
        </w:rPr>
      </w:pPr>
      <w:r w:rsidRPr="00BD780E">
        <w:rPr>
          <w:bCs/>
        </w:rPr>
        <w:t>§3</w:t>
      </w:r>
      <w:r w:rsidR="00BD780E" w:rsidRPr="00BD780E">
        <w:rPr>
          <w:bCs/>
        </w:rPr>
        <w:t>.</w:t>
      </w:r>
      <w:r w:rsidRPr="00BD780E">
        <w:rPr>
          <w:bCs/>
        </w:rPr>
        <w:t xml:space="preserve"> </w:t>
      </w:r>
      <w:r w:rsidR="00BE7A2B" w:rsidRPr="00BD780E">
        <w:rPr>
          <w:bCs/>
          <w:lang w:val="nl-BE"/>
        </w:rPr>
        <w:t>De geldende regels betreffende de valorisatie van diensten op moment van indiensttreding blijven van toepassing</w:t>
      </w:r>
      <w:r w:rsidR="00BE7A2B" w:rsidRPr="00FC3C9E">
        <w:rPr>
          <w:lang w:val="nl-BE"/>
        </w:rPr>
        <w:t xml:space="preserve"> voor het verdere verloop van de loopbaan.</w:t>
      </w:r>
    </w:p>
    <w:p w14:paraId="10CD9C2D" w14:textId="71E00364" w:rsidR="003A11FB" w:rsidRPr="00FC3C9E" w:rsidRDefault="003A11FB" w:rsidP="00BE7A2B">
      <w:pPr>
        <w:ind w:left="0"/>
        <w:rPr>
          <w:b/>
        </w:rPr>
      </w:pPr>
      <w:r w:rsidRPr="00FC3C9E">
        <w:rPr>
          <w:b/>
        </w:rPr>
        <w:t xml:space="preserve">Artikel </w:t>
      </w:r>
      <w:r w:rsidR="006763C7" w:rsidRPr="00FC3C9E">
        <w:rPr>
          <w:b/>
        </w:rPr>
        <w:t>10</w:t>
      </w:r>
      <w:r w:rsidR="008C18B6" w:rsidRPr="00FC3C9E">
        <w:rPr>
          <w:b/>
        </w:rPr>
        <w:t>8</w:t>
      </w:r>
    </w:p>
    <w:p w14:paraId="3AED34E7" w14:textId="77777777" w:rsidR="003A11FB" w:rsidRPr="00FC3C9E" w:rsidRDefault="005E2103" w:rsidP="00D53CA3">
      <w:pPr>
        <w:pStyle w:val="StandaardUitvullen"/>
        <w:ind w:left="0"/>
      </w:pPr>
      <w:r w:rsidRPr="00FC3C9E">
        <w:t xml:space="preserve">De </w:t>
      </w:r>
      <w:r w:rsidR="003474E1" w:rsidRPr="00FC3C9E">
        <w:t>algemeen directeur</w:t>
      </w:r>
      <w:r w:rsidR="00692546" w:rsidRPr="00FC3C9E">
        <w:t>, gemachtigd door de raad in het kader van het dagelijks personeelsbeheer, stelt de duur vast van de in aanmerking komende diensten die het personeelslid in het onderwijs als interim of als tijdelijk personeelslid heeft gepresteerd aan de hand van het attest, verstrekt door de bevoegde autoriteiten.</w:t>
      </w:r>
    </w:p>
    <w:p w14:paraId="3913517E" w14:textId="77777777" w:rsidR="003A11FB" w:rsidRPr="00B976AB" w:rsidRDefault="003A11FB" w:rsidP="00D53CA3">
      <w:pPr>
        <w:pStyle w:val="StandaardUitvullen"/>
        <w:ind w:left="0"/>
      </w:pPr>
      <w:r w:rsidRPr="00FC3C9E">
        <w:t>De diensten, vermeld op het attest, die in tienden zijn betaald, en die per schooljaar geen volledig jaar werkelijke diensten vertegenwoordigen, worden dag per dag samengeteld. Het totale aantal zo gewerkte dagen wordt vermenigvuldigd</w:t>
      </w:r>
      <w:r w:rsidRPr="00B976AB">
        <w:t xml:space="preserve"> met 1,2. Het totaal van de rekenkundige bewerking wordt vervolgens gedeeld door 30. Het quotiënt geeft het aantal in aanmerking te nemen maanden. Met de rest wordt geen rekening gehouden.</w:t>
      </w:r>
    </w:p>
    <w:p w14:paraId="352A24DE" w14:textId="77777777" w:rsidR="003A11FB" w:rsidRPr="00B976AB" w:rsidRDefault="003A11FB" w:rsidP="00D53CA3">
      <w:pPr>
        <w:pStyle w:val="StandaardUitvullen"/>
        <w:ind w:left="0"/>
      </w:pPr>
      <w:r w:rsidRPr="00B976AB">
        <w:t>De diensten, vermeld op hetzelfde attest, die bewijzen dat het personeelslid een volledig schooljaar heeft gewerkt, gelden voor een totaal van driehonderd dagen en leveren één jaar in aanmerking te nemen diensten op.</w:t>
      </w:r>
    </w:p>
    <w:p w14:paraId="2CD5272D" w14:textId="1FC80874" w:rsidR="003A11FB" w:rsidRPr="00FC3C9E" w:rsidRDefault="003A11FB" w:rsidP="003A11FB">
      <w:pPr>
        <w:pStyle w:val="Kop5"/>
      </w:pPr>
      <w:r w:rsidRPr="00FC3C9E">
        <w:lastRenderedPageBreak/>
        <w:t>Artikel</w:t>
      </w:r>
      <w:r w:rsidR="004C431F" w:rsidRPr="00FC3C9E">
        <w:t xml:space="preserve"> </w:t>
      </w:r>
      <w:r w:rsidR="006763C7" w:rsidRPr="00FC3C9E">
        <w:t>10</w:t>
      </w:r>
      <w:r w:rsidR="008C18B6" w:rsidRPr="00FC3C9E">
        <w:t>9</w:t>
      </w:r>
    </w:p>
    <w:p w14:paraId="084CAA9D" w14:textId="416F4045" w:rsidR="00692546" w:rsidRPr="00BD780E" w:rsidRDefault="00692546" w:rsidP="00D53CA3">
      <w:pPr>
        <w:pStyle w:val="StandaardUitvullen"/>
        <w:ind w:left="0"/>
        <w:rPr>
          <w:bCs/>
        </w:rPr>
      </w:pPr>
      <w:r w:rsidRPr="00BD780E">
        <w:rPr>
          <w:bCs/>
        </w:rPr>
        <w:t>§1</w:t>
      </w:r>
      <w:r w:rsidR="00BD780E" w:rsidRPr="00BD780E">
        <w:rPr>
          <w:bCs/>
        </w:rPr>
        <w:t>.</w:t>
      </w:r>
      <w:r w:rsidRPr="00BD780E">
        <w:rPr>
          <w:bCs/>
        </w:rPr>
        <w:t xml:space="preserve"> De diensten die in aanmerking komen, worden berekend per kalendermaand. De diensten die niet zijn begonnen op de eerste dag van een maand of geëindigd op de laatste dag van een maand, worden niet meegerekend, tenzij uit de attesten blijkt dat het personeelslid in de loop van een maand zonder onderbreking overgaat van de ene werkgever naar een andere. Ook indien er zich een weekend of feestdag tussen de overgang bevindt.</w:t>
      </w:r>
    </w:p>
    <w:p w14:paraId="003A0488" w14:textId="2410A014" w:rsidR="003A11FB" w:rsidRPr="00FC3C9E" w:rsidRDefault="00692546" w:rsidP="00D53CA3">
      <w:pPr>
        <w:pStyle w:val="StandaardUitvullen"/>
        <w:ind w:left="0"/>
      </w:pPr>
      <w:r w:rsidRPr="00BD780E">
        <w:rPr>
          <w:bCs/>
        </w:rPr>
        <w:t>§2</w:t>
      </w:r>
      <w:r w:rsidR="00BD780E" w:rsidRPr="00BD780E">
        <w:rPr>
          <w:bCs/>
        </w:rPr>
        <w:t>.</w:t>
      </w:r>
      <w:r w:rsidRPr="00BD780E">
        <w:rPr>
          <w:bCs/>
        </w:rPr>
        <w:t xml:space="preserve"> De relevante jaren worden met terugwerkende kracht vanaf de indiensttreding van het personeelslid in rekening gebracht</w:t>
      </w:r>
      <w:r w:rsidRPr="00FC3C9E">
        <w:t xml:space="preserve"> indien de afgifte van de attesten </w:t>
      </w:r>
      <w:r w:rsidR="000B17AD" w:rsidRPr="00FC3C9E">
        <w:t>gebeurt</w:t>
      </w:r>
      <w:r w:rsidRPr="00FC3C9E">
        <w:t xml:space="preserve"> binnen de 3 maanden te rekenen vanaf datum van de indiensttreding. Bij laattijdige indiening is er geen regulari</w:t>
      </w:r>
      <w:r w:rsidR="0081123F" w:rsidRPr="00FC3C9E">
        <w:t>satie en wordt de meeneembare anciënniteit</w:t>
      </w:r>
      <w:r w:rsidRPr="00FC3C9E">
        <w:t xml:space="preserve"> de eerste van de volgende maand na indiening gevaloriseerd.</w:t>
      </w:r>
    </w:p>
    <w:p w14:paraId="4CCC916C" w14:textId="15357F9F" w:rsidR="003A11FB" w:rsidRPr="00FC3C9E" w:rsidRDefault="003A11FB" w:rsidP="00B44CF7">
      <w:pPr>
        <w:pStyle w:val="Kop2"/>
      </w:pPr>
      <w:bookmarkStart w:id="166" w:name="_Toc110948192"/>
      <w:bookmarkStart w:id="167" w:name="_Toc215739001"/>
      <w:r w:rsidRPr="00FC3C9E">
        <w:t>Hoofdstuk iii. bijzondere bepalingen</w:t>
      </w:r>
      <w:bookmarkEnd w:id="166"/>
      <w:bookmarkEnd w:id="167"/>
    </w:p>
    <w:p w14:paraId="5EF3C908" w14:textId="50BE1AD5" w:rsidR="003A11FB" w:rsidRPr="00FC3C9E" w:rsidRDefault="003A11FB" w:rsidP="00CD575A">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Artikel</w:t>
      </w:r>
      <w:r w:rsidR="004C431F" w:rsidRPr="00FC3C9E">
        <w:rPr>
          <w:rFonts w:ascii="Calibri" w:eastAsia="Calibri" w:hAnsi="Calibri"/>
          <w:b/>
          <w:bCs/>
          <w:kern w:val="2"/>
          <w:sz w:val="22"/>
          <w:szCs w:val="22"/>
          <w:lang w:val="nl-BE" w:eastAsia="en-US"/>
          <w14:ligatures w14:val="standardContextual"/>
        </w:rPr>
        <w:t xml:space="preserve"> </w:t>
      </w:r>
      <w:r w:rsidR="006763C7" w:rsidRPr="00FC3C9E">
        <w:rPr>
          <w:rFonts w:ascii="Calibri" w:eastAsia="Calibri" w:hAnsi="Calibri"/>
          <w:b/>
          <w:bCs/>
          <w:kern w:val="2"/>
          <w:sz w:val="22"/>
          <w:szCs w:val="22"/>
          <w:lang w:val="nl-BE" w:eastAsia="en-US"/>
          <w14:ligatures w14:val="standardContextual"/>
        </w:rPr>
        <w:t>1</w:t>
      </w:r>
      <w:r w:rsidR="008C18B6" w:rsidRPr="00FC3C9E">
        <w:rPr>
          <w:rFonts w:ascii="Calibri" w:eastAsia="Calibri" w:hAnsi="Calibri"/>
          <w:b/>
          <w:bCs/>
          <w:kern w:val="2"/>
          <w:sz w:val="22"/>
          <w:szCs w:val="22"/>
          <w:lang w:val="nl-BE" w:eastAsia="en-US"/>
          <w14:ligatures w14:val="standardContextual"/>
        </w:rPr>
        <w:t>10</w:t>
      </w:r>
    </w:p>
    <w:p w14:paraId="4974163E" w14:textId="77777777" w:rsidR="003A11FB" w:rsidRPr="00FC3C9E" w:rsidRDefault="003A11FB" w:rsidP="00D53CA3">
      <w:pPr>
        <w:pStyle w:val="StandaardUitvullen"/>
        <w:ind w:left="0"/>
      </w:pPr>
      <w:r w:rsidRPr="00FC3C9E">
        <w:t>Personeelsleden die na een onderbreking terug in dienst komen, behouden hun destijds verworven geldelijke anciënniteit. Indien zij terug in dienst komen in dezelfde graad bij het bestuur, behouden zij hun totale geldelijke en schaalanciënniteit.</w:t>
      </w:r>
    </w:p>
    <w:p w14:paraId="4D9E987F" w14:textId="114F1E42" w:rsidR="003A11FB" w:rsidRPr="00FC3C9E" w:rsidRDefault="003A11FB" w:rsidP="00CD575A">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 xml:space="preserve">Artikel </w:t>
      </w:r>
      <w:r w:rsidR="008C18B6" w:rsidRPr="00FC3C9E">
        <w:rPr>
          <w:rFonts w:ascii="Calibri" w:eastAsia="Calibri" w:hAnsi="Calibri"/>
          <w:b/>
          <w:bCs/>
          <w:kern w:val="2"/>
          <w:sz w:val="22"/>
          <w:szCs w:val="22"/>
          <w:lang w:val="nl-BE" w:eastAsia="en-US"/>
          <w14:ligatures w14:val="standardContextual"/>
        </w:rPr>
        <w:t>111</w:t>
      </w:r>
    </w:p>
    <w:p w14:paraId="584D1EC5" w14:textId="77777777" w:rsidR="003A11FB" w:rsidRPr="00FC3C9E" w:rsidRDefault="003A11FB" w:rsidP="00D53CA3">
      <w:pPr>
        <w:pStyle w:val="StandaardUitvullen"/>
        <w:ind w:left="0"/>
      </w:pPr>
      <w:r w:rsidRPr="00FC3C9E">
        <w:t>Het personeelslid dat bevorderd wordt, krijgt in zijn nieuwe graad nooit een salaris dat lager is dan het salaris dat het in zijn vorige graad zou hebben gekregen</w:t>
      </w:r>
    </w:p>
    <w:p w14:paraId="21A25538" w14:textId="004B8606" w:rsidR="003A11FB" w:rsidRPr="00FC3C9E" w:rsidRDefault="003A11FB" w:rsidP="00CD575A">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Artikel</w:t>
      </w:r>
      <w:r w:rsidR="004C431F" w:rsidRPr="00FC3C9E">
        <w:rPr>
          <w:rFonts w:ascii="Calibri" w:eastAsia="Calibri" w:hAnsi="Calibri"/>
          <w:b/>
          <w:bCs/>
          <w:kern w:val="2"/>
          <w:sz w:val="22"/>
          <w:szCs w:val="22"/>
          <w:lang w:val="nl-BE" w:eastAsia="en-US"/>
          <w14:ligatures w14:val="standardContextual"/>
        </w:rPr>
        <w:t xml:space="preserve"> </w:t>
      </w:r>
      <w:r w:rsidR="006763C7" w:rsidRPr="00FC3C9E">
        <w:rPr>
          <w:rFonts w:ascii="Calibri" w:eastAsia="Calibri" w:hAnsi="Calibri"/>
          <w:b/>
          <w:bCs/>
          <w:kern w:val="2"/>
          <w:sz w:val="22"/>
          <w:szCs w:val="22"/>
          <w:lang w:val="nl-BE" w:eastAsia="en-US"/>
          <w14:ligatures w14:val="standardContextual"/>
        </w:rPr>
        <w:t>1</w:t>
      </w:r>
      <w:r w:rsidR="008C18B6" w:rsidRPr="00FC3C9E">
        <w:rPr>
          <w:rFonts w:ascii="Calibri" w:eastAsia="Calibri" w:hAnsi="Calibri"/>
          <w:b/>
          <w:bCs/>
          <w:kern w:val="2"/>
          <w:sz w:val="22"/>
          <w:szCs w:val="22"/>
          <w:lang w:val="nl-BE" w:eastAsia="en-US"/>
          <w14:ligatures w14:val="standardContextual"/>
        </w:rPr>
        <w:t>12</w:t>
      </w:r>
    </w:p>
    <w:p w14:paraId="6BABFD2A" w14:textId="3F6A672C" w:rsidR="003A11FB" w:rsidRPr="00BD780E" w:rsidRDefault="00057DE7" w:rsidP="00D53CA3">
      <w:pPr>
        <w:ind w:left="0"/>
        <w:rPr>
          <w:bCs/>
        </w:rPr>
      </w:pPr>
      <w:r w:rsidRPr="00BD780E">
        <w:rPr>
          <w:bCs/>
        </w:rPr>
        <w:t>§</w:t>
      </w:r>
      <w:r w:rsidR="003A11FB" w:rsidRPr="00BD780E">
        <w:rPr>
          <w:bCs/>
        </w:rPr>
        <w:t>1</w:t>
      </w:r>
      <w:r w:rsidR="00BD780E" w:rsidRPr="00BD780E">
        <w:rPr>
          <w:bCs/>
        </w:rPr>
        <w:t>.</w:t>
      </w:r>
      <w:r w:rsidR="002509C4" w:rsidRPr="00BD780E">
        <w:rPr>
          <w:bCs/>
        </w:rPr>
        <w:t xml:space="preserve"> </w:t>
      </w:r>
      <w:r w:rsidR="003A11FB" w:rsidRPr="00BD780E">
        <w:rPr>
          <w:bCs/>
        </w:rPr>
        <w:t>Het personeelslid dat bevorderd wordt naar een graad van een hoger niveau heeft ten minste recht op de volgende verhoging van zijn jaarsalaris tegen 100%:</w:t>
      </w:r>
    </w:p>
    <w:p w14:paraId="401C1A76" w14:textId="77777777" w:rsidR="003A11FB" w:rsidRPr="00BD780E" w:rsidRDefault="003A11FB" w:rsidP="00E80C0C">
      <w:pPr>
        <w:pStyle w:val="StandaardUitvullen"/>
        <w:numPr>
          <w:ilvl w:val="0"/>
          <w:numId w:val="5"/>
        </w:numPr>
        <w:rPr>
          <w:bCs/>
        </w:rPr>
      </w:pPr>
      <w:r w:rsidRPr="00BD780E">
        <w:rPr>
          <w:bCs/>
        </w:rPr>
        <w:t>620 euro bij bevordering naar niveau D;</w:t>
      </w:r>
    </w:p>
    <w:p w14:paraId="112FF16B" w14:textId="77777777" w:rsidR="003A11FB" w:rsidRPr="00BD780E" w:rsidRDefault="003A11FB" w:rsidP="00E80C0C">
      <w:pPr>
        <w:pStyle w:val="StandaardUitvullen"/>
        <w:numPr>
          <w:ilvl w:val="0"/>
          <w:numId w:val="5"/>
        </w:numPr>
        <w:rPr>
          <w:bCs/>
        </w:rPr>
      </w:pPr>
      <w:r w:rsidRPr="00BD780E">
        <w:rPr>
          <w:bCs/>
        </w:rPr>
        <w:t>745 euro bij bevordering naar niveau C;</w:t>
      </w:r>
    </w:p>
    <w:p w14:paraId="774D5376" w14:textId="77777777" w:rsidR="003A11FB" w:rsidRPr="00BD780E" w:rsidRDefault="003A11FB" w:rsidP="00E80C0C">
      <w:pPr>
        <w:pStyle w:val="StandaardUitvullen"/>
        <w:numPr>
          <w:ilvl w:val="0"/>
          <w:numId w:val="5"/>
        </w:numPr>
        <w:rPr>
          <w:bCs/>
        </w:rPr>
      </w:pPr>
      <w:r w:rsidRPr="00BD780E">
        <w:rPr>
          <w:bCs/>
        </w:rPr>
        <w:t>870 euro bij bevordering naar niveau B;</w:t>
      </w:r>
    </w:p>
    <w:p w14:paraId="6C87BB8B" w14:textId="77777777" w:rsidR="003A11FB" w:rsidRPr="00BD780E" w:rsidRDefault="003A11FB" w:rsidP="00E80C0C">
      <w:pPr>
        <w:pStyle w:val="StandaardUitvullen"/>
        <w:numPr>
          <w:ilvl w:val="0"/>
          <w:numId w:val="5"/>
        </w:numPr>
        <w:rPr>
          <w:bCs/>
        </w:rPr>
      </w:pPr>
      <w:r w:rsidRPr="00BD780E">
        <w:rPr>
          <w:bCs/>
        </w:rPr>
        <w:t>1240 euro bij bevordering naar niveau A.</w:t>
      </w:r>
    </w:p>
    <w:p w14:paraId="2E32B012" w14:textId="77777777" w:rsidR="003A11FB" w:rsidRPr="00BD780E" w:rsidRDefault="003A11FB" w:rsidP="00D53CA3">
      <w:pPr>
        <w:pStyle w:val="StandaardUitvullen"/>
        <w:ind w:left="0"/>
        <w:rPr>
          <w:bCs/>
        </w:rPr>
      </w:pPr>
      <w:r w:rsidRPr="00BD780E">
        <w:rPr>
          <w:bCs/>
        </w:rPr>
        <w:t xml:space="preserve">Als het jaarsalaris in de nieuwe graad niet ten minste het bedrag, vermeld in het eerste lid, hoger is dan het jaarsalaris dat het personeelslid in zijn oude graad zou hebben gekregen, wordt het jaarsalaris in de nieuwe graad verhoogd tot de minimale verhoging, vermeld in het eerste lid, bereikt wordt. </w:t>
      </w:r>
    </w:p>
    <w:p w14:paraId="69995DA8" w14:textId="77777777" w:rsidR="003A11FB" w:rsidRPr="00BD780E" w:rsidRDefault="003A11FB" w:rsidP="00D53CA3">
      <w:pPr>
        <w:pStyle w:val="Plattetekst2"/>
        <w:spacing w:after="0" w:line="240" w:lineRule="auto"/>
        <w:ind w:left="0"/>
        <w:rPr>
          <w:bCs/>
        </w:rPr>
      </w:pPr>
      <w:r w:rsidRPr="00BD780E">
        <w:rPr>
          <w:bCs/>
        </w:rPr>
        <w:t>Die minimale salarisverhoging wordt gegarandeerd gedurende de hele functionele loopbaan in de graad waarnaar het personeelslid overgaat. Daartoe wordt telkens zijn oude salarisschaal, met inbegrip van de periodieke verhogingen, maar zonder het verloop in de functionele loopbaan, vergeleken met de nieuwe salarisschaal, met inbegrip van de toepassing van de periodieke verhogingen en het verloop in de functionele loopbaan.</w:t>
      </w:r>
    </w:p>
    <w:p w14:paraId="3BAADBEF" w14:textId="069B10B0" w:rsidR="003A11FB" w:rsidRPr="00BD780E" w:rsidRDefault="00057DE7" w:rsidP="00D5115B">
      <w:pPr>
        <w:ind w:left="0"/>
        <w:rPr>
          <w:bCs/>
        </w:rPr>
      </w:pPr>
      <w:r w:rsidRPr="00BD780E">
        <w:rPr>
          <w:bCs/>
        </w:rPr>
        <w:t>§</w:t>
      </w:r>
      <w:r w:rsidR="003A11FB" w:rsidRPr="00BD780E">
        <w:rPr>
          <w:bCs/>
        </w:rPr>
        <w:t>2</w:t>
      </w:r>
      <w:r w:rsidR="00BD780E" w:rsidRPr="00BD780E">
        <w:rPr>
          <w:bCs/>
        </w:rPr>
        <w:t>.</w:t>
      </w:r>
      <w:r w:rsidR="002509C4" w:rsidRPr="00BD780E">
        <w:rPr>
          <w:bCs/>
        </w:rPr>
        <w:t xml:space="preserve"> </w:t>
      </w:r>
      <w:r w:rsidR="003A11FB" w:rsidRPr="00BD780E">
        <w:rPr>
          <w:bCs/>
        </w:rPr>
        <w:t>De minimale salarisverhoging is ook van toepassing als een personeelslid in dienst van het bestuur via een aanwervingsprocedure aangesteld wordt in een graad van een hoger niveau.</w:t>
      </w:r>
    </w:p>
    <w:p w14:paraId="1712FE5D" w14:textId="618795F8" w:rsidR="00692546" w:rsidRPr="00FC3C9E" w:rsidRDefault="00692546" w:rsidP="00D53CA3">
      <w:pPr>
        <w:ind w:left="0"/>
      </w:pPr>
      <w:r w:rsidRPr="00BD780E">
        <w:rPr>
          <w:bCs/>
        </w:rPr>
        <w:t>§</w:t>
      </w:r>
      <w:r w:rsidR="006746A7" w:rsidRPr="00BD780E">
        <w:rPr>
          <w:bCs/>
        </w:rPr>
        <w:t>3</w:t>
      </w:r>
      <w:r w:rsidR="00BD780E" w:rsidRPr="00BD780E">
        <w:rPr>
          <w:bCs/>
        </w:rPr>
        <w:t>.</w:t>
      </w:r>
      <w:r w:rsidRPr="00BD780E">
        <w:rPr>
          <w:bCs/>
        </w:rPr>
        <w:t xml:space="preserve"> De</w:t>
      </w:r>
      <w:r w:rsidRPr="00037A46">
        <w:t xml:space="preserve"> min</w:t>
      </w:r>
      <w:r w:rsidRPr="00FC3C9E">
        <w:t>imale salarisverhoging is een integraal onderdeel van het jaarsalaris.</w:t>
      </w:r>
    </w:p>
    <w:p w14:paraId="09531E66" w14:textId="2C83F3EF" w:rsidR="008C18B6" w:rsidRPr="00FC3C9E" w:rsidRDefault="003A11FB" w:rsidP="00CD575A">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Artikel</w:t>
      </w:r>
      <w:r w:rsidR="004C431F" w:rsidRPr="00FC3C9E">
        <w:rPr>
          <w:rFonts w:ascii="Calibri" w:eastAsia="Calibri" w:hAnsi="Calibri"/>
          <w:b/>
          <w:bCs/>
          <w:kern w:val="2"/>
          <w:sz w:val="22"/>
          <w:szCs w:val="22"/>
          <w:lang w:val="nl-BE" w:eastAsia="en-US"/>
          <w14:ligatures w14:val="standardContextual"/>
        </w:rPr>
        <w:t xml:space="preserve"> </w:t>
      </w:r>
      <w:r w:rsidR="008C18B6" w:rsidRPr="00FC3C9E">
        <w:rPr>
          <w:rFonts w:ascii="Calibri" w:eastAsia="Calibri" w:hAnsi="Calibri"/>
          <w:b/>
          <w:bCs/>
          <w:kern w:val="2"/>
          <w:sz w:val="22"/>
          <w:szCs w:val="22"/>
          <w:lang w:val="nl-BE" w:eastAsia="en-US"/>
          <w14:ligatures w14:val="standardContextual"/>
        </w:rPr>
        <w:t>113</w:t>
      </w:r>
    </w:p>
    <w:p w14:paraId="5074CC78" w14:textId="4264DDED" w:rsidR="003A11FB" w:rsidRPr="00BD780E" w:rsidRDefault="00057DE7" w:rsidP="00D53CA3">
      <w:pPr>
        <w:ind w:left="0"/>
        <w:rPr>
          <w:bCs/>
        </w:rPr>
      </w:pPr>
      <w:r w:rsidRPr="00BD780E">
        <w:rPr>
          <w:bCs/>
        </w:rPr>
        <w:t>§</w:t>
      </w:r>
      <w:r w:rsidR="003A11FB" w:rsidRPr="00BD780E">
        <w:rPr>
          <w:bCs/>
        </w:rPr>
        <w:t>1</w:t>
      </w:r>
      <w:r w:rsidR="00BD780E" w:rsidRPr="00BD780E">
        <w:rPr>
          <w:bCs/>
        </w:rPr>
        <w:t>.</w:t>
      </w:r>
      <w:r w:rsidR="002509C4" w:rsidRPr="00BD780E">
        <w:rPr>
          <w:bCs/>
        </w:rPr>
        <w:t xml:space="preserve"> </w:t>
      </w:r>
      <w:r w:rsidR="003A11FB" w:rsidRPr="00BD780E">
        <w:rPr>
          <w:bCs/>
        </w:rPr>
        <w:t>De salarisschalen v</w:t>
      </w:r>
      <w:r w:rsidR="005E2103" w:rsidRPr="00BD780E">
        <w:rPr>
          <w:bCs/>
        </w:rPr>
        <w:t xml:space="preserve">an de </w:t>
      </w:r>
      <w:r w:rsidR="003474E1" w:rsidRPr="00BD780E">
        <w:rPr>
          <w:bCs/>
        </w:rPr>
        <w:t>algemeen directeur</w:t>
      </w:r>
      <w:r w:rsidR="003A11FB" w:rsidRPr="00BD780E">
        <w:rPr>
          <w:bCs/>
        </w:rPr>
        <w:t xml:space="preserve"> en de </w:t>
      </w:r>
      <w:r w:rsidR="003474E1" w:rsidRPr="00BD780E">
        <w:rPr>
          <w:bCs/>
        </w:rPr>
        <w:t>financieel directeur</w:t>
      </w:r>
      <w:r w:rsidR="003A11FB" w:rsidRPr="00BD780E">
        <w:rPr>
          <w:bCs/>
        </w:rPr>
        <w:t xml:space="preserve"> worden vastgesteld volgens de bepalingen van het BVR.</w:t>
      </w:r>
    </w:p>
    <w:p w14:paraId="2BD4ECDD" w14:textId="227E32CC" w:rsidR="003A11FB" w:rsidRPr="00BD780E" w:rsidRDefault="00057DE7" w:rsidP="00D53CA3">
      <w:pPr>
        <w:ind w:left="0"/>
        <w:rPr>
          <w:bCs/>
        </w:rPr>
      </w:pPr>
      <w:r w:rsidRPr="00BD780E">
        <w:rPr>
          <w:bCs/>
        </w:rPr>
        <w:t>§</w:t>
      </w:r>
      <w:r w:rsidR="003A11FB" w:rsidRPr="00BD780E">
        <w:rPr>
          <w:bCs/>
        </w:rPr>
        <w:t>2</w:t>
      </w:r>
      <w:r w:rsidR="00BD780E" w:rsidRPr="00BD780E">
        <w:rPr>
          <w:bCs/>
        </w:rPr>
        <w:t>.</w:t>
      </w:r>
      <w:r w:rsidR="002509C4" w:rsidRPr="00BD780E">
        <w:rPr>
          <w:bCs/>
        </w:rPr>
        <w:t xml:space="preserve"> </w:t>
      </w:r>
      <w:r w:rsidR="003A11FB" w:rsidRPr="00BD780E">
        <w:rPr>
          <w:bCs/>
        </w:rPr>
        <w:t>De sa</w:t>
      </w:r>
      <w:r w:rsidR="005E2103" w:rsidRPr="00BD780E">
        <w:rPr>
          <w:bCs/>
        </w:rPr>
        <w:t xml:space="preserve">larisverhogingen van de </w:t>
      </w:r>
      <w:r w:rsidR="003474E1" w:rsidRPr="00BD780E">
        <w:rPr>
          <w:bCs/>
        </w:rPr>
        <w:t>algemeen directeur</w:t>
      </w:r>
      <w:r w:rsidR="003A11FB" w:rsidRPr="00BD780E">
        <w:rPr>
          <w:bCs/>
        </w:rPr>
        <w:t xml:space="preserve"> en de </w:t>
      </w:r>
      <w:r w:rsidR="003474E1" w:rsidRPr="00BD780E">
        <w:rPr>
          <w:bCs/>
        </w:rPr>
        <w:t>financieel directeur</w:t>
      </w:r>
      <w:r w:rsidR="003A11FB" w:rsidRPr="00BD780E">
        <w:rPr>
          <w:bCs/>
        </w:rPr>
        <w:t xml:space="preserve"> worden op evenredige wijze gespreid over 15 jaar.</w:t>
      </w:r>
    </w:p>
    <w:p w14:paraId="228FA8E3" w14:textId="7532527D" w:rsidR="003A11FB" w:rsidRPr="00037A46" w:rsidRDefault="00057DE7" w:rsidP="00D53CA3">
      <w:pPr>
        <w:ind w:left="0"/>
      </w:pPr>
      <w:r w:rsidRPr="00BD780E">
        <w:rPr>
          <w:bCs/>
        </w:rPr>
        <w:lastRenderedPageBreak/>
        <w:t>§</w:t>
      </w:r>
      <w:r w:rsidR="003A11FB" w:rsidRPr="00BD780E">
        <w:rPr>
          <w:bCs/>
        </w:rPr>
        <w:t>3</w:t>
      </w:r>
      <w:r w:rsidR="00BD780E" w:rsidRPr="00BD780E">
        <w:rPr>
          <w:bCs/>
        </w:rPr>
        <w:t>.</w:t>
      </w:r>
      <w:r w:rsidR="002509C4" w:rsidRPr="00BD780E">
        <w:rPr>
          <w:bCs/>
        </w:rPr>
        <w:t xml:space="preserve"> </w:t>
      </w:r>
      <w:r w:rsidR="003A11FB" w:rsidRPr="00BD780E">
        <w:rPr>
          <w:bCs/>
        </w:rPr>
        <w:t>Als het inwoneraantal van de gemeente daalt onder het minimale aantal inwoners, op basis waarvan de wedde</w:t>
      </w:r>
      <w:r w:rsidR="003A11FB" w:rsidRPr="00037A46">
        <w:t xml:space="preserve"> in artikel 122 en 124 BVR werd v</w:t>
      </w:r>
      <w:r w:rsidR="005E2103" w:rsidRPr="00037A46">
        <w:t xml:space="preserve">astgesteld, behouden de </w:t>
      </w:r>
      <w:r w:rsidR="003474E1" w:rsidRPr="00037A46">
        <w:t>algemeen directeur</w:t>
      </w:r>
      <w:r w:rsidR="003A11FB" w:rsidRPr="00037A46">
        <w:t xml:space="preserve"> en de </w:t>
      </w:r>
      <w:r w:rsidR="003474E1" w:rsidRPr="00037A46">
        <w:t>financieel directeur</w:t>
      </w:r>
      <w:r w:rsidR="003A11FB" w:rsidRPr="00037A46">
        <w:t xml:space="preserve"> in dienst hun salarisschaal ten persoonlijke titel.</w:t>
      </w:r>
    </w:p>
    <w:p w14:paraId="4F5DC1E2" w14:textId="5E60A290" w:rsidR="003A11FB" w:rsidRPr="00037A46" w:rsidRDefault="003A11FB" w:rsidP="00B44CF7">
      <w:pPr>
        <w:pStyle w:val="Kop2"/>
      </w:pPr>
      <w:bookmarkStart w:id="168" w:name="_Toc110948193"/>
      <w:bookmarkStart w:id="169" w:name="_Toc215739002"/>
      <w:r w:rsidRPr="00037A46">
        <w:t>Hoofdstuk iv. de betaling van het salaris</w:t>
      </w:r>
      <w:bookmarkEnd w:id="168"/>
      <w:bookmarkEnd w:id="169"/>
    </w:p>
    <w:p w14:paraId="5AE3EB6B" w14:textId="5E3C4D82" w:rsidR="003A11FB" w:rsidRPr="00FC3C9E" w:rsidRDefault="00F43E03" w:rsidP="00CD575A">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 xml:space="preserve">Artikel </w:t>
      </w:r>
      <w:r w:rsidR="006763C7" w:rsidRPr="00FC3C9E">
        <w:rPr>
          <w:rFonts w:ascii="Calibri" w:eastAsia="Calibri" w:hAnsi="Calibri"/>
          <w:b/>
          <w:bCs/>
          <w:kern w:val="2"/>
          <w:sz w:val="22"/>
          <w:szCs w:val="22"/>
          <w:lang w:val="nl-BE" w:eastAsia="en-US"/>
          <w14:ligatures w14:val="standardContextual"/>
        </w:rPr>
        <w:t>1</w:t>
      </w:r>
      <w:r w:rsidR="008C18B6" w:rsidRPr="00FC3C9E">
        <w:rPr>
          <w:rFonts w:ascii="Calibri" w:eastAsia="Calibri" w:hAnsi="Calibri"/>
          <w:b/>
          <w:bCs/>
          <w:kern w:val="2"/>
          <w:sz w:val="22"/>
          <w:szCs w:val="22"/>
          <w:lang w:val="nl-BE" w:eastAsia="en-US"/>
          <w14:ligatures w14:val="standardContextual"/>
        </w:rPr>
        <w:t>14</w:t>
      </w:r>
    </w:p>
    <w:p w14:paraId="74CB4C6C" w14:textId="77777777" w:rsidR="003A11FB" w:rsidRPr="00FC3C9E" w:rsidRDefault="003A11FB" w:rsidP="00D53CA3">
      <w:pPr>
        <w:pStyle w:val="StandaardUitvullen"/>
        <w:ind w:left="0"/>
      </w:pPr>
      <w:r w:rsidRPr="00FC3C9E">
        <w:t xml:space="preserve">Het salaris volgt het verloop van het indexcijfer van de consumptieprijzen in overeenstemming met de wet van 1 maart 1977 houdende inrichting van een stelsel waarbij sommige uitgaven in de overheidssector aan het indexcijfer van de consumptieprijzen van het Rijk worden gekoppeld. Het salaris tegen 100% </w:t>
      </w:r>
      <w:r w:rsidR="0036529B" w:rsidRPr="00FC3C9E">
        <w:t>is</w:t>
      </w:r>
      <w:r w:rsidRPr="00FC3C9E">
        <w:t xml:space="preserve"> gekoppeld aan het spilindexcijfer 138,01.</w:t>
      </w:r>
    </w:p>
    <w:p w14:paraId="363FC24C" w14:textId="3A7AB2DF" w:rsidR="003A11FB" w:rsidRPr="00FC3C9E" w:rsidRDefault="00F43E03" w:rsidP="00CD575A">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 xml:space="preserve">Artikel </w:t>
      </w:r>
      <w:r w:rsidR="006763C7" w:rsidRPr="00FC3C9E">
        <w:rPr>
          <w:rFonts w:ascii="Calibri" w:eastAsia="Calibri" w:hAnsi="Calibri"/>
          <w:b/>
          <w:bCs/>
          <w:kern w:val="2"/>
          <w:sz w:val="22"/>
          <w:szCs w:val="22"/>
          <w:lang w:val="nl-BE" w:eastAsia="en-US"/>
          <w14:ligatures w14:val="standardContextual"/>
        </w:rPr>
        <w:t>11</w:t>
      </w:r>
      <w:r w:rsidR="008C18B6" w:rsidRPr="00FC3C9E">
        <w:rPr>
          <w:rFonts w:ascii="Calibri" w:eastAsia="Calibri" w:hAnsi="Calibri"/>
          <w:b/>
          <w:bCs/>
          <w:kern w:val="2"/>
          <w:sz w:val="22"/>
          <w:szCs w:val="22"/>
          <w:lang w:val="nl-BE" w:eastAsia="en-US"/>
          <w14:ligatures w14:val="standardContextual"/>
        </w:rPr>
        <w:t>5</w:t>
      </w:r>
    </w:p>
    <w:p w14:paraId="470DA936" w14:textId="77777777" w:rsidR="003A11FB" w:rsidRPr="00FC3C9E" w:rsidRDefault="003A11FB" w:rsidP="00D53CA3">
      <w:pPr>
        <w:pStyle w:val="StandaardUitvullen"/>
        <w:ind w:left="0"/>
      </w:pPr>
      <w:r w:rsidRPr="00FC3C9E">
        <w:t>Het salaris wordt maandelijks betaald vanaf de indiensttreding. Voor het vast aangestelde statutaire personeelslid wordt het vooruitbetaald. Het salaris van het overige personeel wordt betaald nadat de termijn vervallen is.</w:t>
      </w:r>
    </w:p>
    <w:p w14:paraId="72216105" w14:textId="2480EDA4" w:rsidR="003A11FB" w:rsidRPr="00FC3C9E" w:rsidRDefault="00F43E03" w:rsidP="00CD575A">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 xml:space="preserve">Artikel </w:t>
      </w:r>
      <w:r w:rsidR="006763C7" w:rsidRPr="00FC3C9E">
        <w:rPr>
          <w:rFonts w:ascii="Calibri" w:eastAsia="Calibri" w:hAnsi="Calibri"/>
          <w:b/>
          <w:bCs/>
          <w:kern w:val="2"/>
          <w:sz w:val="22"/>
          <w:szCs w:val="22"/>
          <w:lang w:val="nl-BE" w:eastAsia="en-US"/>
          <w14:ligatures w14:val="standardContextual"/>
        </w:rPr>
        <w:t>11</w:t>
      </w:r>
      <w:r w:rsidR="008C18B6" w:rsidRPr="00FC3C9E">
        <w:rPr>
          <w:rFonts w:ascii="Calibri" w:eastAsia="Calibri" w:hAnsi="Calibri"/>
          <w:b/>
          <w:bCs/>
          <w:kern w:val="2"/>
          <w:sz w:val="22"/>
          <w:szCs w:val="22"/>
          <w:lang w:val="nl-BE" w:eastAsia="en-US"/>
          <w14:ligatures w14:val="standardContextual"/>
        </w:rPr>
        <w:t>6</w:t>
      </w:r>
    </w:p>
    <w:p w14:paraId="0593E5F2" w14:textId="77777777" w:rsidR="003A11FB" w:rsidRPr="00FC3C9E" w:rsidRDefault="003A11FB" w:rsidP="00D53CA3">
      <w:pPr>
        <w:pStyle w:val="StandaardUitvullen"/>
        <w:ind w:left="0"/>
        <w:rPr>
          <w:szCs w:val="24"/>
        </w:rPr>
      </w:pPr>
      <w:r w:rsidRPr="00FC3C9E">
        <w:rPr>
          <w:szCs w:val="24"/>
        </w:rPr>
        <w:t>Het maandsalaris is gelijk aan een twaalfde van het jaarsalaris. Het uurloon is gelijk aan 1/1976 van het jaarsalaris.</w:t>
      </w:r>
    </w:p>
    <w:p w14:paraId="15E92266" w14:textId="2CA15BE3" w:rsidR="003A11FB" w:rsidRPr="00FC3C9E" w:rsidRDefault="00F43E03" w:rsidP="00CD575A">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 xml:space="preserve">Artikel </w:t>
      </w:r>
      <w:r w:rsidR="006763C7" w:rsidRPr="00FC3C9E">
        <w:rPr>
          <w:rFonts w:ascii="Calibri" w:eastAsia="Calibri" w:hAnsi="Calibri"/>
          <w:b/>
          <w:bCs/>
          <w:kern w:val="2"/>
          <w:sz w:val="22"/>
          <w:szCs w:val="22"/>
          <w:lang w:val="nl-BE" w:eastAsia="en-US"/>
          <w14:ligatures w14:val="standardContextual"/>
        </w:rPr>
        <w:t>11</w:t>
      </w:r>
      <w:r w:rsidR="008C18B6" w:rsidRPr="00FC3C9E">
        <w:rPr>
          <w:rFonts w:ascii="Calibri" w:eastAsia="Calibri" w:hAnsi="Calibri"/>
          <w:b/>
          <w:bCs/>
          <w:kern w:val="2"/>
          <w:sz w:val="22"/>
          <w:szCs w:val="22"/>
          <w:lang w:val="nl-BE" w:eastAsia="en-US"/>
          <w14:ligatures w14:val="standardContextual"/>
        </w:rPr>
        <w:t>7</w:t>
      </w:r>
    </w:p>
    <w:p w14:paraId="2BD96059" w14:textId="01604D7B" w:rsidR="003A11FB" w:rsidRPr="00FC3C9E" w:rsidRDefault="00057DE7" w:rsidP="00D53CA3">
      <w:pPr>
        <w:ind w:left="0"/>
      </w:pPr>
      <w:r w:rsidRPr="00BD780E">
        <w:rPr>
          <w:bCs/>
        </w:rPr>
        <w:t>§</w:t>
      </w:r>
      <w:r w:rsidR="003A11FB" w:rsidRPr="00BD780E">
        <w:rPr>
          <w:bCs/>
        </w:rPr>
        <w:t>1</w:t>
      </w:r>
      <w:r w:rsidR="00BD780E" w:rsidRPr="00BD780E">
        <w:rPr>
          <w:bCs/>
        </w:rPr>
        <w:t>.</w:t>
      </w:r>
      <w:r w:rsidR="002509C4" w:rsidRPr="00BD780E">
        <w:rPr>
          <w:bCs/>
        </w:rPr>
        <w:t xml:space="preserve"> </w:t>
      </w:r>
      <w:r w:rsidR="003A11FB" w:rsidRPr="00BD780E">
        <w:rPr>
          <w:bCs/>
        </w:rPr>
        <w:t>Wanneer het maandsalaris niet volledig verschuldigd is, wordt het bedrag ervan berekend door het volledige</w:t>
      </w:r>
      <w:r w:rsidR="003A11FB" w:rsidRPr="00FC3C9E">
        <w:t xml:space="preserve"> maandsa</w:t>
      </w:r>
      <w:r w:rsidR="00320E4B" w:rsidRPr="00FC3C9E">
        <w:t>laris te vermenigvuldigen met éé</w:t>
      </w:r>
      <w:r w:rsidR="003A11FB" w:rsidRPr="00FC3C9E">
        <w:t xml:space="preserve">n van de volgende breuken: </w:t>
      </w:r>
    </w:p>
    <w:p w14:paraId="4D520023" w14:textId="77777777" w:rsidR="003A11FB" w:rsidRPr="00FC3C9E" w:rsidRDefault="003A11FB" w:rsidP="009A59A2">
      <w:pPr>
        <w:pStyle w:val="StandaardUitvullen"/>
        <w:ind w:left="1418"/>
        <w:rPr>
          <w:szCs w:val="24"/>
        </w:rPr>
      </w:pPr>
      <w:r w:rsidRPr="00FC3C9E">
        <w:rPr>
          <w:szCs w:val="24"/>
        </w:rPr>
        <w:t>1</w:t>
      </w:r>
      <w:r w:rsidR="00320E4B" w:rsidRPr="00FC3C9E">
        <w:rPr>
          <w:szCs w:val="24"/>
        </w:rPr>
        <w:t>.</w:t>
      </w:r>
      <w:r w:rsidRPr="00FC3C9E">
        <w:rPr>
          <w:szCs w:val="24"/>
        </w:rPr>
        <w:t xml:space="preserve"> indien het aantal gepresteerde dagen van die maand kleiner is dan of gelijk aan 10:</w:t>
      </w:r>
    </w:p>
    <w:p w14:paraId="5DDC1555" w14:textId="77777777" w:rsidR="003A11FB" w:rsidRPr="00FC3C9E" w:rsidRDefault="003A11FB" w:rsidP="009A59A2">
      <w:pPr>
        <w:pStyle w:val="StandaardUitvullen"/>
        <w:ind w:left="1701"/>
        <w:rPr>
          <w:szCs w:val="24"/>
        </w:rPr>
      </w:pPr>
      <w:r w:rsidRPr="00FC3C9E">
        <w:rPr>
          <w:szCs w:val="24"/>
          <w:u w:val="single"/>
        </w:rPr>
        <w:t>het aantal gepresteerde dagen x 1,4</w:t>
      </w:r>
      <w:r w:rsidRPr="00FC3C9E">
        <w:rPr>
          <w:szCs w:val="24"/>
        </w:rPr>
        <w:t>;</w:t>
      </w:r>
    </w:p>
    <w:p w14:paraId="5F2B36D1" w14:textId="77777777" w:rsidR="003A11FB" w:rsidRPr="00FC3C9E" w:rsidRDefault="003A11FB" w:rsidP="009A59A2">
      <w:pPr>
        <w:pStyle w:val="StandaardUitvullen"/>
        <w:ind w:left="1701"/>
        <w:rPr>
          <w:szCs w:val="24"/>
        </w:rPr>
      </w:pPr>
      <w:r w:rsidRPr="00FC3C9E">
        <w:rPr>
          <w:szCs w:val="24"/>
        </w:rPr>
        <w:tab/>
      </w:r>
      <w:r w:rsidRPr="00FC3C9E">
        <w:rPr>
          <w:szCs w:val="24"/>
        </w:rPr>
        <w:tab/>
        <w:t>30</w:t>
      </w:r>
    </w:p>
    <w:p w14:paraId="17E2E112" w14:textId="77777777" w:rsidR="003A11FB" w:rsidRPr="00FC3C9E" w:rsidRDefault="003A11FB" w:rsidP="009A59A2">
      <w:pPr>
        <w:pStyle w:val="StandaardUitvullen"/>
        <w:ind w:left="1418"/>
        <w:rPr>
          <w:szCs w:val="24"/>
        </w:rPr>
      </w:pPr>
      <w:r w:rsidRPr="00FC3C9E">
        <w:rPr>
          <w:szCs w:val="24"/>
        </w:rPr>
        <w:t>2</w:t>
      </w:r>
      <w:r w:rsidR="00320E4B" w:rsidRPr="00FC3C9E">
        <w:rPr>
          <w:szCs w:val="24"/>
        </w:rPr>
        <w:t>.</w:t>
      </w:r>
      <w:r w:rsidRPr="00FC3C9E">
        <w:rPr>
          <w:szCs w:val="24"/>
        </w:rPr>
        <w:t xml:space="preserve"> indien het aantal gepresteerde dagen van die maand groter is dan 10:</w:t>
      </w:r>
    </w:p>
    <w:p w14:paraId="75E12DA7" w14:textId="77777777" w:rsidR="003A11FB" w:rsidRPr="00FC3C9E" w:rsidRDefault="003A11FB" w:rsidP="009A59A2">
      <w:pPr>
        <w:pStyle w:val="StandaardUitvullen"/>
        <w:ind w:left="1701"/>
        <w:rPr>
          <w:szCs w:val="24"/>
        </w:rPr>
      </w:pPr>
      <w:r w:rsidRPr="00FC3C9E">
        <w:rPr>
          <w:szCs w:val="24"/>
          <w:u w:val="single"/>
        </w:rPr>
        <w:t>30–(het aantal niet gepresteerde dagen x 1,4)</w:t>
      </w:r>
      <w:r w:rsidRPr="00FC3C9E">
        <w:rPr>
          <w:szCs w:val="24"/>
        </w:rPr>
        <w:t>;</w:t>
      </w:r>
    </w:p>
    <w:p w14:paraId="5AA14FC2" w14:textId="77777777" w:rsidR="003A11FB" w:rsidRPr="00FC3C9E" w:rsidRDefault="003A11FB" w:rsidP="009A59A2">
      <w:pPr>
        <w:pStyle w:val="StandaardUitvullen"/>
        <w:ind w:left="1701"/>
        <w:rPr>
          <w:szCs w:val="24"/>
        </w:rPr>
      </w:pPr>
      <w:r w:rsidRPr="00FC3C9E">
        <w:rPr>
          <w:szCs w:val="24"/>
        </w:rPr>
        <w:tab/>
      </w:r>
      <w:r w:rsidRPr="00FC3C9E">
        <w:rPr>
          <w:szCs w:val="24"/>
        </w:rPr>
        <w:tab/>
        <w:t>30</w:t>
      </w:r>
    </w:p>
    <w:p w14:paraId="797DBB7C" w14:textId="33D87199" w:rsidR="003A11FB" w:rsidRPr="00FC3C9E" w:rsidRDefault="00057DE7" w:rsidP="00D53CA3">
      <w:pPr>
        <w:ind w:left="0"/>
      </w:pPr>
      <w:r w:rsidRPr="00BD780E">
        <w:rPr>
          <w:bCs/>
        </w:rPr>
        <w:t>§</w:t>
      </w:r>
      <w:r w:rsidR="003A11FB" w:rsidRPr="00BD780E">
        <w:rPr>
          <w:bCs/>
        </w:rPr>
        <w:t>2</w:t>
      </w:r>
      <w:r w:rsidR="00BD780E" w:rsidRPr="00BD780E">
        <w:rPr>
          <w:bCs/>
        </w:rPr>
        <w:t>.</w:t>
      </w:r>
      <w:r w:rsidR="002509C4" w:rsidRPr="00BD780E">
        <w:rPr>
          <w:bCs/>
        </w:rPr>
        <w:t xml:space="preserve"> </w:t>
      </w:r>
      <w:r w:rsidR="003A11FB" w:rsidRPr="00BD780E">
        <w:rPr>
          <w:bCs/>
        </w:rPr>
        <w:t>Met</w:t>
      </w:r>
      <w:r w:rsidR="003A11FB" w:rsidRPr="00FC3C9E">
        <w:t xml:space="preserve"> gepresteerde dagen worden gelijkgesteld: de dagen waarop geen arbeidsprestatie wordt geleverd, maar waarvoor het salaris niettemin wordt doorbetaald.</w:t>
      </w:r>
    </w:p>
    <w:p w14:paraId="61EFF782" w14:textId="7DD91EB1" w:rsidR="003A11FB" w:rsidRPr="00FC3C9E" w:rsidRDefault="00F43E03" w:rsidP="00CD575A">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 xml:space="preserve">Artikel </w:t>
      </w:r>
      <w:r w:rsidR="006763C7" w:rsidRPr="00FC3C9E">
        <w:rPr>
          <w:rFonts w:ascii="Calibri" w:eastAsia="Calibri" w:hAnsi="Calibri"/>
          <w:b/>
          <w:bCs/>
          <w:kern w:val="2"/>
          <w:sz w:val="22"/>
          <w:szCs w:val="22"/>
          <w:lang w:val="nl-BE" w:eastAsia="en-US"/>
          <w14:ligatures w14:val="standardContextual"/>
        </w:rPr>
        <w:t>11</w:t>
      </w:r>
      <w:r w:rsidR="008C18B6" w:rsidRPr="00FC3C9E">
        <w:rPr>
          <w:rFonts w:ascii="Calibri" w:eastAsia="Calibri" w:hAnsi="Calibri"/>
          <w:b/>
          <w:bCs/>
          <w:kern w:val="2"/>
          <w:sz w:val="22"/>
          <w:szCs w:val="22"/>
          <w:lang w:val="nl-BE" w:eastAsia="en-US"/>
          <w14:ligatures w14:val="standardContextual"/>
        </w:rPr>
        <w:t>8</w:t>
      </w:r>
    </w:p>
    <w:p w14:paraId="4DF72C2A" w14:textId="6AB799DC" w:rsidR="003A11FB" w:rsidRPr="00037A46" w:rsidRDefault="003A11FB" w:rsidP="00D53CA3">
      <w:pPr>
        <w:pStyle w:val="StandaardUitvullen"/>
        <w:ind w:left="0"/>
      </w:pPr>
      <w:r w:rsidRPr="00FC3C9E">
        <w:t xml:space="preserve">Als het personeelslid in de loop van de maand in dienst treedt, krijgt het voor die maand het gedeelte van het maandsalaris dat overeenstemt met de berekeningswijze in </w:t>
      </w:r>
      <w:r w:rsidR="00F43E03" w:rsidRPr="00FC3C9E">
        <w:t xml:space="preserve">artikel </w:t>
      </w:r>
      <w:r w:rsidR="00A807EB" w:rsidRPr="00FC3C9E">
        <w:t>117</w:t>
      </w:r>
      <w:r w:rsidRPr="00FC3C9E">
        <w:rPr>
          <w:i/>
        </w:rPr>
        <w:t>.</w:t>
      </w:r>
    </w:p>
    <w:p w14:paraId="1773DBE1" w14:textId="2DE05BB0" w:rsidR="005A7204" w:rsidRPr="00037A46" w:rsidRDefault="003A11FB" w:rsidP="00D53CA3">
      <w:pPr>
        <w:pStyle w:val="StandaardUitvullen"/>
        <w:ind w:left="0"/>
      </w:pPr>
      <w:r w:rsidRPr="00037A46">
        <w:t>Als het personeelslid in de loop van de maand met pensioen gaat of overlijdt, wordt het salaris voor de volledige maand betaald.</w:t>
      </w:r>
    </w:p>
    <w:p w14:paraId="0C4DC00F" w14:textId="4FC99B14" w:rsidR="00244B49" w:rsidRPr="00244B49" w:rsidRDefault="00CD575A" w:rsidP="00244B49">
      <w:pPr>
        <w:pStyle w:val="Kop2"/>
      </w:pPr>
      <w:bookmarkStart w:id="170" w:name="_Toc215739003"/>
      <w:r w:rsidRPr="00037A46">
        <w:t>Hoofdstuk v. theoretisch budget</w:t>
      </w:r>
      <w:bookmarkEnd w:id="170"/>
    </w:p>
    <w:p w14:paraId="4319F010" w14:textId="4FE22682" w:rsidR="00A33CAC" w:rsidRPr="00FC3C9E" w:rsidRDefault="00A33CAC" w:rsidP="00A33CAC">
      <w:pPr>
        <w:spacing w:before="0" w:after="160" w:line="259" w:lineRule="auto"/>
        <w:ind w:left="0"/>
        <w:jc w:val="left"/>
        <w:rPr>
          <w:rFonts w:eastAsia="Calibri" w:cs="Arial"/>
          <w:b/>
          <w:bCs/>
          <w:kern w:val="2"/>
          <w:lang w:val="nl-BE" w:eastAsia="en-US"/>
          <w14:ligatures w14:val="standardContextual"/>
        </w:rPr>
      </w:pPr>
      <w:bookmarkStart w:id="171" w:name="_Hlk143173880"/>
      <w:r w:rsidRPr="00FC3C9E">
        <w:rPr>
          <w:rFonts w:eastAsia="Calibri" w:cs="Arial"/>
          <w:b/>
          <w:bCs/>
          <w:kern w:val="2"/>
          <w:lang w:val="nl-BE" w:eastAsia="en-US"/>
          <w14:ligatures w14:val="standardContextual"/>
        </w:rPr>
        <w:t xml:space="preserve">Artikel </w:t>
      </w:r>
      <w:r w:rsidR="006763C7" w:rsidRPr="00FC3C9E">
        <w:rPr>
          <w:rFonts w:eastAsia="Calibri" w:cs="Arial"/>
          <w:b/>
          <w:bCs/>
          <w:kern w:val="2"/>
          <w:lang w:val="nl-BE" w:eastAsia="en-US"/>
          <w14:ligatures w14:val="standardContextual"/>
        </w:rPr>
        <w:t>11</w:t>
      </w:r>
      <w:r w:rsidR="008C18B6" w:rsidRPr="00FC3C9E">
        <w:rPr>
          <w:rFonts w:eastAsia="Calibri" w:cs="Arial"/>
          <w:b/>
          <w:bCs/>
          <w:kern w:val="2"/>
          <w:lang w:val="nl-BE" w:eastAsia="en-US"/>
          <w14:ligatures w14:val="standardContextual"/>
        </w:rPr>
        <w:t>9</w:t>
      </w:r>
    </w:p>
    <w:p w14:paraId="551B5F64" w14:textId="2126C200" w:rsidR="00A33CAC" w:rsidRPr="00A33CAC" w:rsidRDefault="00A33CAC" w:rsidP="00A33CAC">
      <w:pPr>
        <w:spacing w:before="0" w:after="160" w:line="259" w:lineRule="auto"/>
        <w:ind w:left="0"/>
        <w:jc w:val="left"/>
        <w:rPr>
          <w:rFonts w:eastAsia="Calibri" w:cs="Arial"/>
          <w:kern w:val="2"/>
          <w:lang w:val="nl-BE" w:eastAsia="en-US"/>
          <w14:ligatures w14:val="standardContextual"/>
        </w:rPr>
      </w:pPr>
      <w:r w:rsidRPr="001E439D">
        <w:rPr>
          <w:rFonts w:eastAsia="Calibri" w:cs="Arial"/>
          <w:kern w:val="2"/>
          <w:lang w:val="nl-BE" w:eastAsia="en-US"/>
          <w14:ligatures w14:val="standardContextual"/>
        </w:rPr>
        <w:t xml:space="preserve">De </w:t>
      </w:r>
      <w:proofErr w:type="spellStart"/>
      <w:r w:rsidRPr="001E439D">
        <w:rPr>
          <w:rFonts w:eastAsia="Calibri" w:cs="Arial"/>
          <w:kern w:val="2"/>
          <w:lang w:val="nl-BE" w:eastAsia="en-US"/>
          <w14:ligatures w14:val="standardContextual"/>
        </w:rPr>
        <w:t>eindejaarstoelage</w:t>
      </w:r>
      <w:proofErr w:type="spellEnd"/>
      <w:r w:rsidRPr="001E439D">
        <w:rPr>
          <w:rFonts w:eastAsia="Calibri" w:cs="Arial"/>
          <w:kern w:val="2"/>
          <w:lang w:val="nl-BE" w:eastAsia="en-US"/>
          <w14:ligatures w14:val="standardContextual"/>
        </w:rPr>
        <w:t xml:space="preserve"> </w:t>
      </w:r>
      <w:r w:rsidR="00E92A16" w:rsidRPr="001E439D">
        <w:rPr>
          <w:rFonts w:eastAsia="Calibri" w:cs="Arial"/>
          <w:kern w:val="2"/>
          <w:lang w:val="nl-BE" w:eastAsia="en-US"/>
          <w14:ligatures w14:val="standardContextual"/>
        </w:rPr>
        <w:t xml:space="preserve">en attractiviteitspremie </w:t>
      </w:r>
      <w:r w:rsidRPr="00FC3C9E">
        <w:rPr>
          <w:rFonts w:eastAsia="Calibri" w:cs="Arial"/>
          <w:kern w:val="2"/>
          <w:lang w:val="nl-BE" w:eastAsia="en-US"/>
          <w14:ligatures w14:val="standardContextual"/>
        </w:rPr>
        <w:t xml:space="preserve">zoals bepaald in artikel </w:t>
      </w:r>
      <w:r w:rsidR="00A807EB" w:rsidRPr="00FC3C9E">
        <w:rPr>
          <w:rFonts w:eastAsia="Calibri" w:cs="Arial"/>
          <w:kern w:val="2"/>
          <w:lang w:val="nl-BE" w:eastAsia="en-US"/>
          <w14:ligatures w14:val="standardContextual"/>
        </w:rPr>
        <w:t>127</w:t>
      </w:r>
      <w:r w:rsidR="001E439D" w:rsidRPr="00FC3C9E">
        <w:rPr>
          <w:rFonts w:eastAsia="Calibri" w:cs="Arial"/>
          <w:kern w:val="2"/>
          <w:lang w:val="nl-BE" w:eastAsia="en-US"/>
          <w14:ligatures w14:val="standardContextual"/>
        </w:rPr>
        <w:t xml:space="preserve"> en artikel </w:t>
      </w:r>
      <w:r w:rsidR="009C642B" w:rsidRPr="00FC3C9E">
        <w:rPr>
          <w:rFonts w:eastAsia="Calibri" w:cs="Arial"/>
          <w:kern w:val="2"/>
          <w:lang w:val="nl-BE" w:eastAsia="en-US"/>
          <w14:ligatures w14:val="standardContextual"/>
        </w:rPr>
        <w:t>131</w:t>
      </w:r>
      <w:r w:rsidRPr="00FC3C9E">
        <w:rPr>
          <w:rFonts w:eastAsia="Calibri" w:cs="Arial"/>
          <w:kern w:val="2"/>
          <w:lang w:val="nl-BE" w:eastAsia="en-US"/>
          <w14:ligatures w14:val="standardContextual"/>
        </w:rPr>
        <w:t xml:space="preserve"> van deze rechtspositieregeling kan op vraag van het personeelslid worden omgezet in een theoretisch budget waarmee het personeelslid een keuze kan maken tussen volgende voordelen</w:t>
      </w:r>
      <w:r w:rsidRPr="00A33CAC">
        <w:rPr>
          <w:rFonts w:eastAsia="Calibri" w:cs="Arial"/>
          <w:kern w:val="2"/>
          <w:lang w:val="nl-BE" w:eastAsia="en-US"/>
          <w14:ligatures w14:val="standardContextual"/>
        </w:rPr>
        <w:t>:</w:t>
      </w:r>
    </w:p>
    <w:p w14:paraId="7DE5E5DC" w14:textId="56A28B29" w:rsidR="00A33CAC" w:rsidRPr="00A33CAC" w:rsidRDefault="00A33CAC" w:rsidP="00A33CAC">
      <w:pPr>
        <w:spacing w:before="0" w:after="160" w:line="259" w:lineRule="auto"/>
        <w:ind w:left="0"/>
        <w:jc w:val="left"/>
        <w:rPr>
          <w:rFonts w:eastAsia="Calibri" w:cs="Arial"/>
          <w:kern w:val="2"/>
          <w:lang w:val="nl-BE" w:eastAsia="en-US"/>
          <w14:ligatures w14:val="standardContextual"/>
        </w:rPr>
      </w:pPr>
      <w:r w:rsidRPr="00A33CAC">
        <w:rPr>
          <w:rFonts w:eastAsia="Calibri" w:cs="Arial"/>
          <w:kern w:val="2"/>
          <w:lang w:val="nl-BE" w:eastAsia="en-US"/>
          <w14:ligatures w14:val="standardContextual"/>
        </w:rPr>
        <w:lastRenderedPageBreak/>
        <w:t>-</w:t>
      </w:r>
      <w:r w:rsidRPr="00A33CAC">
        <w:rPr>
          <w:rFonts w:eastAsia="Calibri" w:cs="Arial"/>
          <w:kern w:val="2"/>
          <w:lang w:val="nl-BE" w:eastAsia="en-US"/>
          <w14:ligatures w14:val="standardContextual"/>
        </w:rPr>
        <w:tab/>
        <w:t>Fiets</w:t>
      </w:r>
    </w:p>
    <w:p w14:paraId="77B017F7" w14:textId="77777777" w:rsidR="00A33CAC" w:rsidRPr="00A33CAC" w:rsidRDefault="00A33CAC" w:rsidP="00A33CAC">
      <w:pPr>
        <w:spacing w:before="0" w:after="160" w:line="259" w:lineRule="auto"/>
        <w:ind w:left="0"/>
        <w:jc w:val="left"/>
        <w:rPr>
          <w:rFonts w:eastAsia="Calibri" w:cs="Arial"/>
          <w:kern w:val="2"/>
          <w:lang w:val="nl-BE" w:eastAsia="en-US"/>
          <w14:ligatures w14:val="standardContextual"/>
        </w:rPr>
      </w:pPr>
      <w:r w:rsidRPr="00A33CAC">
        <w:rPr>
          <w:rFonts w:eastAsia="Calibri" w:cs="Arial"/>
          <w:kern w:val="2"/>
          <w:lang w:val="nl-BE" w:eastAsia="en-US"/>
          <w14:ligatures w14:val="standardContextual"/>
        </w:rPr>
        <w:t>-</w:t>
      </w:r>
      <w:r w:rsidRPr="00A33CAC">
        <w:rPr>
          <w:rFonts w:eastAsia="Calibri" w:cs="Arial"/>
          <w:kern w:val="2"/>
          <w:lang w:val="nl-BE" w:eastAsia="en-US"/>
          <w14:ligatures w14:val="standardContextual"/>
        </w:rPr>
        <w:tab/>
        <w:t>Terugbetaling premie collectieve hospitalisatieverzekering aangesloten gezinsleden</w:t>
      </w:r>
    </w:p>
    <w:p w14:paraId="39944B74" w14:textId="5967F9BA" w:rsidR="00A33CAC" w:rsidRPr="00A33CAC" w:rsidRDefault="00A33CAC" w:rsidP="00A33CAC">
      <w:pPr>
        <w:spacing w:before="0" w:after="160" w:line="259" w:lineRule="auto"/>
        <w:ind w:left="0"/>
        <w:jc w:val="left"/>
        <w:rPr>
          <w:rFonts w:eastAsia="Calibri" w:cs="Arial"/>
          <w:kern w:val="2"/>
          <w:lang w:val="nl-BE" w:eastAsia="en-US"/>
          <w14:ligatures w14:val="standardContextual"/>
        </w:rPr>
      </w:pPr>
      <w:r w:rsidRPr="00A33CAC">
        <w:rPr>
          <w:rFonts w:eastAsia="Calibri" w:cs="Arial"/>
          <w:kern w:val="2"/>
          <w:lang w:val="nl-BE" w:eastAsia="en-US"/>
          <w14:ligatures w14:val="standardContextual"/>
        </w:rPr>
        <w:t>-</w:t>
      </w:r>
      <w:r w:rsidRPr="00A33CAC">
        <w:rPr>
          <w:rFonts w:eastAsia="Calibri" w:cs="Arial"/>
          <w:kern w:val="2"/>
          <w:lang w:val="nl-BE" w:eastAsia="en-US"/>
          <w14:ligatures w14:val="standardContextual"/>
        </w:rPr>
        <w:tab/>
      </w:r>
      <w:r w:rsidR="00E92A16">
        <w:rPr>
          <w:rFonts w:eastAsia="Calibri" w:cs="Arial"/>
          <w:kern w:val="2"/>
          <w:lang w:val="nl-BE" w:eastAsia="en-US"/>
          <w14:ligatures w14:val="standardContextual"/>
        </w:rPr>
        <w:t>Terugbetaling van premies voor individuele gezondheidsverzekeringen</w:t>
      </w:r>
    </w:p>
    <w:p w14:paraId="091F6A33" w14:textId="77777777" w:rsidR="00A33CAC" w:rsidRPr="00A33CAC" w:rsidRDefault="00A33CAC" w:rsidP="00A33CAC">
      <w:pPr>
        <w:spacing w:before="0" w:after="160" w:line="259" w:lineRule="auto"/>
        <w:ind w:left="0"/>
        <w:jc w:val="left"/>
        <w:rPr>
          <w:rFonts w:eastAsia="Calibri" w:cs="Arial"/>
          <w:kern w:val="2"/>
          <w:lang w:val="nl-BE" w:eastAsia="en-US"/>
          <w14:ligatures w14:val="standardContextual"/>
        </w:rPr>
      </w:pPr>
      <w:r w:rsidRPr="00A33CAC">
        <w:rPr>
          <w:rFonts w:eastAsia="Calibri" w:cs="Arial"/>
          <w:kern w:val="2"/>
          <w:lang w:val="nl-BE" w:eastAsia="en-US"/>
          <w14:ligatures w14:val="standardContextual"/>
        </w:rPr>
        <w:t xml:space="preserve">Het theoretisch budget waarvan sprake in voorgaande lid is niet opeisbaar. De voordelen die het personeelslid vrij kiest binnen de grenzen van dit theoretisch budget, worden wel opeisbaar van zodra ze opgenomen worden in een individueel akkoord tussen het personeelslid en het bestuur. Bij gebrek aan een individueel akkoord, blijft het recht op de </w:t>
      </w:r>
      <w:proofErr w:type="spellStart"/>
      <w:r w:rsidRPr="00A33CAC">
        <w:rPr>
          <w:rFonts w:eastAsia="Calibri" w:cs="Arial"/>
          <w:kern w:val="2"/>
          <w:lang w:val="nl-BE" w:eastAsia="en-US"/>
          <w14:ligatures w14:val="standardContextual"/>
        </w:rPr>
        <w:t>eindejaarstoelage</w:t>
      </w:r>
      <w:proofErr w:type="spellEnd"/>
      <w:r w:rsidRPr="00A33CAC">
        <w:rPr>
          <w:rFonts w:eastAsia="Calibri" w:cs="Arial"/>
          <w:kern w:val="2"/>
          <w:lang w:val="nl-BE" w:eastAsia="en-US"/>
          <w14:ligatures w14:val="standardContextual"/>
        </w:rPr>
        <w:t xml:space="preserve"> onverkort van toepassing. </w:t>
      </w:r>
    </w:p>
    <w:p w14:paraId="1539DDD4" w14:textId="77777777" w:rsidR="00A33CAC" w:rsidRPr="00A33CAC" w:rsidRDefault="00A33CAC" w:rsidP="00A33CAC">
      <w:pPr>
        <w:spacing w:before="0" w:after="160" w:line="259" w:lineRule="auto"/>
        <w:ind w:left="0"/>
        <w:jc w:val="left"/>
        <w:rPr>
          <w:rFonts w:eastAsia="Calibri" w:cs="Arial"/>
          <w:kern w:val="2"/>
          <w:lang w:val="nl-BE" w:eastAsia="en-US"/>
          <w14:ligatures w14:val="standardContextual"/>
        </w:rPr>
      </w:pPr>
      <w:r w:rsidRPr="00A33CAC">
        <w:rPr>
          <w:rFonts w:eastAsia="Calibri" w:cs="Arial"/>
          <w:kern w:val="2"/>
          <w:lang w:val="nl-BE" w:eastAsia="en-US"/>
          <w14:ligatures w14:val="standardContextual"/>
        </w:rPr>
        <w:t xml:space="preserve">Het theoretisch budget omvat de totale loonkost voor de werkgever, met inbegrip van alle werkgeverskosten die verbonden zijn aan deze </w:t>
      </w:r>
      <w:proofErr w:type="spellStart"/>
      <w:r w:rsidRPr="00A33CAC">
        <w:rPr>
          <w:rFonts w:eastAsia="Calibri" w:cs="Arial"/>
          <w:kern w:val="2"/>
          <w:lang w:val="nl-BE" w:eastAsia="en-US"/>
          <w14:ligatures w14:val="standardContextual"/>
        </w:rPr>
        <w:t>eindejaarstoelage</w:t>
      </w:r>
      <w:proofErr w:type="spellEnd"/>
      <w:r w:rsidRPr="00A33CAC">
        <w:rPr>
          <w:rFonts w:eastAsia="Calibri" w:cs="Arial"/>
          <w:kern w:val="2"/>
          <w:lang w:val="nl-BE" w:eastAsia="en-US"/>
          <w14:ligatures w14:val="standardContextual"/>
        </w:rPr>
        <w:t>, zoals de patronale RSZ-bijdragen van de werkgever.</w:t>
      </w:r>
    </w:p>
    <w:p w14:paraId="2BF0818D" w14:textId="27D59F03" w:rsidR="00026820" w:rsidRDefault="00A33CAC" w:rsidP="001273D0">
      <w:pPr>
        <w:spacing w:before="0" w:after="160" w:line="259" w:lineRule="auto"/>
        <w:ind w:left="0"/>
        <w:jc w:val="left"/>
        <w:rPr>
          <w:rFonts w:eastAsia="Calibri" w:cs="Arial"/>
          <w:kern w:val="2"/>
          <w:lang w:val="nl-BE" w:eastAsia="en-US"/>
          <w14:ligatures w14:val="standardContextual"/>
        </w:rPr>
      </w:pPr>
      <w:r w:rsidRPr="00A33CAC">
        <w:rPr>
          <w:rFonts w:eastAsia="Calibri" w:cs="Arial"/>
          <w:kern w:val="2"/>
          <w:lang w:val="nl-BE" w:eastAsia="en-US"/>
          <w14:ligatures w14:val="standardContextual"/>
        </w:rPr>
        <w:t>Indien het theoretisch budget niet volledig wordt opgebruikt door de gekozen voordelen, wordt het saldo ervan terug omgezet in een bruto premie en aan het personeelslid overgemaakt na afhouding</w:t>
      </w:r>
      <w:r w:rsidR="001E1E64">
        <w:rPr>
          <w:rFonts w:eastAsia="Calibri" w:cs="Arial"/>
          <w:kern w:val="2"/>
          <w:lang w:val="nl-BE" w:eastAsia="en-US"/>
          <w14:ligatures w14:val="standardContextual"/>
        </w:rPr>
        <w:t>.</w:t>
      </w:r>
      <w:r w:rsidRPr="00A33CAC">
        <w:rPr>
          <w:rFonts w:eastAsia="Calibri" w:cs="Arial"/>
          <w:kern w:val="2"/>
          <w:lang w:val="nl-BE" w:eastAsia="en-US"/>
          <w14:ligatures w14:val="standardContextual"/>
        </w:rPr>
        <w:t xml:space="preserve"> </w:t>
      </w:r>
    </w:p>
    <w:p w14:paraId="1AC55ECA" w14:textId="11DC74C3" w:rsidR="35AC0172" w:rsidRDefault="35AC0172" w:rsidP="4FB77E70">
      <w:pPr>
        <w:spacing w:before="0" w:after="160" w:line="259" w:lineRule="auto"/>
        <w:ind w:left="0"/>
        <w:jc w:val="left"/>
        <w:rPr>
          <w:rFonts w:eastAsia="Calibri" w:cs="Arial"/>
          <w:lang w:val="nl-BE" w:eastAsia="en-US"/>
        </w:rPr>
      </w:pPr>
      <w:r w:rsidRPr="4FB77E70">
        <w:rPr>
          <w:rFonts w:eastAsia="Calibri" w:cs="Arial"/>
          <w:lang w:val="nl-BE" w:eastAsia="en-US"/>
        </w:rPr>
        <w:t>§</w:t>
      </w:r>
      <w:r w:rsidR="00BD780E">
        <w:rPr>
          <w:rFonts w:eastAsia="Calibri" w:cs="Arial"/>
          <w:lang w:val="nl-BE" w:eastAsia="en-US"/>
        </w:rPr>
        <w:t>1</w:t>
      </w:r>
      <w:r w:rsidRPr="4FB77E70">
        <w:rPr>
          <w:rFonts w:eastAsia="Calibri" w:cs="Arial"/>
          <w:lang w:val="nl-BE" w:eastAsia="en-US"/>
        </w:rPr>
        <w:t>.</w:t>
      </w:r>
      <w:r w:rsidR="23D25433" w:rsidRPr="4FB77E70">
        <w:rPr>
          <w:rFonts w:eastAsia="Calibri" w:cs="Arial"/>
          <w:lang w:val="nl-BE" w:eastAsia="en-US"/>
        </w:rPr>
        <w:t xml:space="preserve"> Het is niet toegelaten om </w:t>
      </w:r>
      <w:r w:rsidR="13954817" w:rsidRPr="4FB77E70">
        <w:rPr>
          <w:rFonts w:eastAsia="Calibri" w:cs="Arial"/>
          <w:lang w:val="nl-BE" w:eastAsia="en-US"/>
        </w:rPr>
        <w:t xml:space="preserve">via </w:t>
      </w:r>
      <w:r w:rsidR="23D25433" w:rsidRPr="4FB77E70">
        <w:rPr>
          <w:rFonts w:eastAsia="Calibri" w:cs="Arial"/>
          <w:lang w:val="nl-BE" w:eastAsia="en-US"/>
        </w:rPr>
        <w:t>een eigen bijdrage</w:t>
      </w:r>
      <w:r w:rsidR="4E89F009" w:rsidRPr="4FB77E70">
        <w:rPr>
          <w:rFonts w:eastAsia="Calibri" w:cs="Arial"/>
          <w:lang w:val="nl-BE" w:eastAsia="en-US"/>
        </w:rPr>
        <w:t xml:space="preserve"> bijkomende voordelen uit het cafetari</w:t>
      </w:r>
      <w:r w:rsidR="1A8D0B19" w:rsidRPr="4FB77E70">
        <w:rPr>
          <w:rFonts w:eastAsia="Calibri" w:cs="Arial"/>
          <w:lang w:val="nl-BE" w:eastAsia="en-US"/>
        </w:rPr>
        <w:t>a</w:t>
      </w:r>
      <w:r w:rsidR="4E89F009" w:rsidRPr="4FB77E70">
        <w:rPr>
          <w:rFonts w:eastAsia="Calibri" w:cs="Arial"/>
          <w:lang w:val="nl-BE" w:eastAsia="en-US"/>
        </w:rPr>
        <w:t>plan aan te schaffen. Het personeelslid kan dus geen voordelen kiezen boven het berekende theoretisch budget.</w:t>
      </w:r>
    </w:p>
    <w:p w14:paraId="6DD7794C" w14:textId="7FA7B0C0" w:rsidR="194E7618" w:rsidRDefault="194E7618" w:rsidP="4FB77E70">
      <w:pPr>
        <w:spacing w:before="0" w:after="160" w:line="259" w:lineRule="auto"/>
        <w:ind w:left="0"/>
        <w:jc w:val="left"/>
        <w:rPr>
          <w:rFonts w:eastAsia="Calibri" w:cs="Arial"/>
          <w:lang w:val="nl-BE" w:eastAsia="en-US"/>
        </w:rPr>
      </w:pPr>
      <w:r w:rsidRPr="4FB77E70">
        <w:rPr>
          <w:rFonts w:eastAsia="Calibri" w:cs="Arial"/>
          <w:lang w:val="nl-BE" w:eastAsia="en-US"/>
        </w:rPr>
        <w:t xml:space="preserve">Het theoretisch budget wordt berekend </w:t>
      </w:r>
      <w:r w:rsidR="30C3A302" w:rsidRPr="4FB77E70">
        <w:rPr>
          <w:rFonts w:eastAsia="Calibri" w:cs="Arial"/>
          <w:lang w:val="nl-BE" w:eastAsia="en-US"/>
        </w:rPr>
        <w:t>rekening houdende met</w:t>
      </w:r>
      <w:r w:rsidRPr="4FB77E70">
        <w:rPr>
          <w:rFonts w:eastAsia="Calibri" w:cs="Arial"/>
          <w:lang w:val="nl-BE" w:eastAsia="en-US"/>
        </w:rPr>
        <w:t xml:space="preserve"> de effectieve prestatiebreuk </w:t>
      </w:r>
      <w:r w:rsidR="6362BE6A" w:rsidRPr="4FB77E70">
        <w:rPr>
          <w:rFonts w:eastAsia="Calibri" w:cs="Arial"/>
          <w:lang w:val="nl-BE" w:eastAsia="en-US"/>
        </w:rPr>
        <w:t>van het personeelslid o</w:t>
      </w:r>
      <w:r w:rsidRPr="4FB77E70">
        <w:rPr>
          <w:rFonts w:eastAsia="Calibri" w:cs="Arial"/>
          <w:lang w:val="nl-BE" w:eastAsia="en-US"/>
        </w:rPr>
        <w:t>p het moment van</w:t>
      </w:r>
      <w:r w:rsidR="53395EAC" w:rsidRPr="4FB77E70">
        <w:rPr>
          <w:rFonts w:eastAsia="Calibri" w:cs="Arial"/>
          <w:lang w:val="nl-BE" w:eastAsia="en-US"/>
        </w:rPr>
        <w:t xml:space="preserve"> ondertekening van het document van de loonruil.</w:t>
      </w:r>
      <w:r w:rsidRPr="4FB77E70">
        <w:rPr>
          <w:rFonts w:eastAsia="Calibri" w:cs="Arial"/>
          <w:lang w:val="nl-BE" w:eastAsia="en-US"/>
        </w:rPr>
        <w:t xml:space="preserve"> </w:t>
      </w:r>
    </w:p>
    <w:p w14:paraId="5438708B" w14:textId="048FD6B1" w:rsidR="009D3084" w:rsidRPr="009D3084" w:rsidRDefault="4B5DDFF8" w:rsidP="00A33CAC">
      <w:pPr>
        <w:spacing w:before="0" w:after="160" w:line="259" w:lineRule="auto"/>
        <w:ind w:left="0"/>
        <w:jc w:val="left"/>
        <w:rPr>
          <w:rFonts w:eastAsia="Calibri" w:cs="Arial"/>
          <w:kern w:val="2"/>
          <w:lang w:val="nl-BE" w:eastAsia="en-US"/>
          <w14:ligatures w14:val="standardContextual"/>
        </w:rPr>
      </w:pPr>
      <w:r w:rsidRPr="009D3084">
        <w:rPr>
          <w:rFonts w:eastAsia="Calibri" w:cs="Arial"/>
          <w:kern w:val="2"/>
          <w:lang w:val="nl-BE" w:eastAsia="en-US"/>
          <w14:ligatures w14:val="standardContextual"/>
        </w:rPr>
        <w:t>§</w:t>
      </w:r>
      <w:r w:rsidR="00BD780E">
        <w:rPr>
          <w:rFonts w:eastAsia="Calibri" w:cs="Arial"/>
          <w:kern w:val="2"/>
          <w:lang w:val="nl-BE" w:eastAsia="en-US"/>
          <w14:ligatures w14:val="standardContextual"/>
        </w:rPr>
        <w:t>2</w:t>
      </w:r>
      <w:r w:rsidRPr="009D3084">
        <w:rPr>
          <w:rFonts w:eastAsia="Calibri" w:cs="Arial"/>
          <w:kern w:val="2"/>
          <w:lang w:val="nl-BE" w:eastAsia="en-US"/>
          <w14:ligatures w14:val="standardContextual"/>
        </w:rPr>
        <w:t>. De concrete modaliteiten omtrent de gekozen voordelen worden uitgewerkt in een afzonderlijke policy door het college van burgemeester en schepenen</w:t>
      </w:r>
      <w:r w:rsidR="00E92A16">
        <w:rPr>
          <w:rFonts w:eastAsia="Calibri" w:cs="Arial"/>
          <w:kern w:val="2"/>
          <w:lang w:val="nl-BE" w:eastAsia="en-US"/>
          <w14:ligatures w14:val="standardContextual"/>
        </w:rPr>
        <w:t xml:space="preserve"> en het Vast Bureau</w:t>
      </w:r>
      <w:r w:rsidRPr="009D3084">
        <w:rPr>
          <w:rFonts w:eastAsia="Calibri" w:cs="Arial"/>
          <w:kern w:val="2"/>
          <w:lang w:val="nl-BE" w:eastAsia="en-US"/>
          <w14:ligatures w14:val="standardContextual"/>
        </w:rPr>
        <w:t>.</w:t>
      </w:r>
    </w:p>
    <w:p w14:paraId="4E80D438" w14:textId="2CCE860F" w:rsidR="003A11FB" w:rsidRPr="00037A46" w:rsidRDefault="003A11FB" w:rsidP="003A11FB">
      <w:pPr>
        <w:pStyle w:val="Kop1"/>
      </w:pPr>
      <w:bookmarkStart w:id="172" w:name="_Toc110948194"/>
      <w:bookmarkStart w:id="173" w:name="_Toc215739004"/>
      <w:bookmarkEnd w:id="171"/>
      <w:r w:rsidRPr="00037A46">
        <w:lastRenderedPageBreak/>
        <w:t xml:space="preserve">TITEL </w:t>
      </w:r>
      <w:r w:rsidR="00EB0610">
        <w:t>6</w:t>
      </w:r>
      <w:r w:rsidRPr="00037A46">
        <w:t>. DE TOELAGEN, VERGOEDINGEN EN SOCIALE VOORDELEN</w:t>
      </w:r>
      <w:bookmarkEnd w:id="172"/>
      <w:bookmarkEnd w:id="173"/>
    </w:p>
    <w:p w14:paraId="3F5A4FF8" w14:textId="162C040E" w:rsidR="003A11FB" w:rsidRPr="00037A46" w:rsidRDefault="003A11FB" w:rsidP="00B44CF7">
      <w:pPr>
        <w:pStyle w:val="Kop2"/>
      </w:pPr>
      <w:bookmarkStart w:id="174" w:name="_Toc110948195"/>
      <w:bookmarkStart w:id="175" w:name="_Toc215739005"/>
      <w:r w:rsidRPr="00037A46">
        <w:t>Hoofdstuk i. algemene bepalingen</w:t>
      </w:r>
      <w:bookmarkEnd w:id="174"/>
      <w:bookmarkEnd w:id="175"/>
    </w:p>
    <w:p w14:paraId="06BABEF4" w14:textId="638469EF" w:rsidR="003A11FB" w:rsidRPr="00FC3C9E" w:rsidRDefault="00F43E03" w:rsidP="00CD575A">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 xml:space="preserve">Artikel </w:t>
      </w:r>
      <w:r w:rsidR="006763C7" w:rsidRPr="00FC3C9E">
        <w:rPr>
          <w:rFonts w:ascii="Calibri" w:eastAsia="Calibri" w:hAnsi="Calibri"/>
          <w:b/>
          <w:bCs/>
          <w:kern w:val="2"/>
          <w:sz w:val="22"/>
          <w:szCs w:val="22"/>
          <w:lang w:val="nl-BE" w:eastAsia="en-US"/>
          <w14:ligatures w14:val="standardContextual"/>
        </w:rPr>
        <w:t>1</w:t>
      </w:r>
      <w:r w:rsidR="008C18B6" w:rsidRPr="00FC3C9E">
        <w:rPr>
          <w:rFonts w:ascii="Calibri" w:eastAsia="Calibri" w:hAnsi="Calibri"/>
          <w:b/>
          <w:bCs/>
          <w:kern w:val="2"/>
          <w:sz w:val="22"/>
          <w:szCs w:val="22"/>
          <w:lang w:val="nl-BE" w:eastAsia="en-US"/>
          <w14:ligatures w14:val="standardContextual"/>
        </w:rPr>
        <w:t>20</w:t>
      </w:r>
    </w:p>
    <w:p w14:paraId="453C52A8" w14:textId="77777777" w:rsidR="003A11FB" w:rsidRPr="00FC3C9E" w:rsidRDefault="003A11FB" w:rsidP="00D53CA3">
      <w:pPr>
        <w:pStyle w:val="StandaardUitvullen"/>
        <w:ind w:left="0"/>
        <w:rPr>
          <w:lang w:val="nl-BE" w:eastAsia="en-US"/>
        </w:rPr>
      </w:pPr>
      <w:r w:rsidRPr="00FC3C9E">
        <w:rPr>
          <w:lang w:val="nl-BE" w:eastAsia="en-US"/>
        </w:rPr>
        <w:t xml:space="preserve">Voor de toepassing van </w:t>
      </w:r>
      <w:r w:rsidR="000E5D1A" w:rsidRPr="00FC3C9E">
        <w:rPr>
          <w:lang w:val="nl-BE" w:eastAsia="en-US"/>
        </w:rPr>
        <w:t>deze titel wordt verstaan onder:</w:t>
      </w:r>
    </w:p>
    <w:p w14:paraId="363BE3D4" w14:textId="34581119" w:rsidR="003A11FB" w:rsidRPr="00FC3C9E" w:rsidRDefault="000B17AD" w:rsidP="00E80C0C">
      <w:pPr>
        <w:pStyle w:val="StandaardUitvullen"/>
        <w:numPr>
          <w:ilvl w:val="0"/>
          <w:numId w:val="6"/>
        </w:numPr>
      </w:pPr>
      <w:r w:rsidRPr="00FC3C9E">
        <w:t>Toelage</w:t>
      </w:r>
      <w:r w:rsidR="003A11FB" w:rsidRPr="00FC3C9E">
        <w:t>: een geldelijk voordeel dat een personeelslid ontvangt dat welbepaalde prestaties levert;</w:t>
      </w:r>
    </w:p>
    <w:p w14:paraId="32A00BF7" w14:textId="30188756" w:rsidR="003A11FB" w:rsidRPr="00FC3C9E" w:rsidRDefault="000B17AD" w:rsidP="00E80C0C">
      <w:pPr>
        <w:pStyle w:val="StandaardUitvullen"/>
        <w:numPr>
          <w:ilvl w:val="0"/>
          <w:numId w:val="6"/>
        </w:numPr>
      </w:pPr>
      <w:r w:rsidRPr="00FC3C9E">
        <w:t>Vergoeding</w:t>
      </w:r>
      <w:r w:rsidR="003A11FB" w:rsidRPr="00FC3C9E">
        <w:t>: een geldelijke tegemoetkoming ter compensatie van kosten die het personeelslid werkelijk maakt;</w:t>
      </w:r>
    </w:p>
    <w:p w14:paraId="40F7D54D" w14:textId="597F2C2D" w:rsidR="003A11FB" w:rsidRPr="00FC3C9E" w:rsidRDefault="000B17AD" w:rsidP="00E80C0C">
      <w:pPr>
        <w:pStyle w:val="StandaardUitvullen"/>
        <w:numPr>
          <w:ilvl w:val="0"/>
          <w:numId w:val="6"/>
        </w:numPr>
      </w:pPr>
      <w:r w:rsidRPr="00FC3C9E">
        <w:t>Sociale</w:t>
      </w:r>
      <w:r w:rsidR="003A11FB" w:rsidRPr="00FC3C9E">
        <w:t xml:space="preserve"> voordelen: alle voordelen in natura of in contanten die de gemeente</w:t>
      </w:r>
      <w:r w:rsidR="00661A28" w:rsidRPr="00FC3C9E">
        <w:t>/OCMW</w:t>
      </w:r>
      <w:r w:rsidR="003A11FB" w:rsidRPr="00FC3C9E">
        <w:t xml:space="preserve"> aan de personeelsleden toekent;</w:t>
      </w:r>
    </w:p>
    <w:p w14:paraId="7EBECB41" w14:textId="579BD5A6" w:rsidR="003A11FB" w:rsidRPr="00FC3C9E" w:rsidRDefault="000B17AD" w:rsidP="00E80C0C">
      <w:pPr>
        <w:pStyle w:val="StandaardUitvullen"/>
        <w:numPr>
          <w:ilvl w:val="0"/>
          <w:numId w:val="6"/>
        </w:numPr>
      </w:pPr>
      <w:r w:rsidRPr="00FC3C9E">
        <w:t>Gezondheidsindex</w:t>
      </w:r>
      <w:r w:rsidR="003A11FB" w:rsidRPr="00FC3C9E">
        <w:rPr>
          <w:rFonts w:cs="Arial"/>
        </w:rPr>
        <w:t xml:space="preserve">: </w:t>
      </w:r>
      <w:r w:rsidR="003A11FB" w:rsidRPr="00FC3C9E">
        <w:t>het prijsindexcijfer dat berekend wordt voor de toepassing van artikel 2 van het koninklijk besluit van 24 december 1993 ter uitvoering van de wet van 6 januari 1989 tot vrijwaring van ’s lands concurrentievermogen, bekrachtigd bij de wet van 30 maart 1994 houdende sociale bepalingen. De toelagen, vergoedingen en sociale voordelen tegen 100% worden gekoppeld aan het spilindexcijfer 138,01;</w:t>
      </w:r>
    </w:p>
    <w:p w14:paraId="7888661C" w14:textId="54CCCBC8" w:rsidR="003A11FB" w:rsidRPr="00FC3C9E" w:rsidRDefault="000B17AD" w:rsidP="00E80C0C">
      <w:pPr>
        <w:pStyle w:val="StandaardUitvullen"/>
        <w:numPr>
          <w:ilvl w:val="0"/>
          <w:numId w:val="6"/>
        </w:numPr>
      </w:pPr>
      <w:r w:rsidRPr="00FC3C9E">
        <w:t>Overloon</w:t>
      </w:r>
      <w:r w:rsidR="003A11FB" w:rsidRPr="00FC3C9E">
        <w:t>: toeslag boven het gewone loon;</w:t>
      </w:r>
    </w:p>
    <w:p w14:paraId="23C236C9" w14:textId="1147FE04" w:rsidR="003A11FB" w:rsidRPr="00FC3C9E" w:rsidRDefault="000B17AD" w:rsidP="00E80C0C">
      <w:pPr>
        <w:pStyle w:val="StandaardUitvullen"/>
        <w:numPr>
          <w:ilvl w:val="0"/>
          <w:numId w:val="6"/>
        </w:numPr>
      </w:pPr>
      <w:r w:rsidRPr="00FC3C9E">
        <w:t>Volledige</w:t>
      </w:r>
      <w:r w:rsidR="003A11FB" w:rsidRPr="00FC3C9E">
        <w:t xml:space="preserve"> prestaties: prestaties die </w:t>
      </w:r>
      <w:r w:rsidR="009A59A2" w:rsidRPr="00FC3C9E">
        <w:t>38</w:t>
      </w:r>
      <w:r w:rsidR="003A11FB" w:rsidRPr="00FC3C9E">
        <w:t xml:space="preserve"> uur per week bedragen;</w:t>
      </w:r>
    </w:p>
    <w:p w14:paraId="6CBC852C" w14:textId="264798DF" w:rsidR="003A11FB" w:rsidRPr="00FC3C9E" w:rsidRDefault="000B17AD" w:rsidP="00E80C0C">
      <w:pPr>
        <w:pStyle w:val="StandaardUitvullen"/>
        <w:numPr>
          <w:ilvl w:val="0"/>
          <w:numId w:val="6"/>
        </w:numPr>
      </w:pPr>
      <w:r w:rsidRPr="00FC3C9E">
        <w:t>Nachtprestaties</w:t>
      </w:r>
      <w:r w:rsidR="003A11FB" w:rsidRPr="00FC3C9E">
        <w:t>: de prestaties geleverd tussen 22 en 6 uur;</w:t>
      </w:r>
    </w:p>
    <w:p w14:paraId="174DE61E" w14:textId="2701B138" w:rsidR="003A11FB" w:rsidRPr="00FC3C9E" w:rsidRDefault="000B17AD" w:rsidP="00E80C0C">
      <w:pPr>
        <w:pStyle w:val="StandaardUitvullen"/>
        <w:numPr>
          <w:ilvl w:val="0"/>
          <w:numId w:val="6"/>
        </w:numPr>
      </w:pPr>
      <w:r w:rsidRPr="00FC3C9E">
        <w:t>Prestaties</w:t>
      </w:r>
      <w:r w:rsidR="003A11FB" w:rsidRPr="00FC3C9E">
        <w:t xml:space="preserve"> op zaterdagen en zondagen: de prestaties geleverd tussen 0 en 24 uur;</w:t>
      </w:r>
    </w:p>
    <w:p w14:paraId="2281CD90" w14:textId="1437988F" w:rsidR="003A11FB" w:rsidRPr="00FC3C9E" w:rsidRDefault="000B17AD" w:rsidP="00E80C0C">
      <w:pPr>
        <w:pStyle w:val="StandaardUitvullen"/>
        <w:numPr>
          <w:ilvl w:val="0"/>
          <w:numId w:val="6"/>
        </w:numPr>
      </w:pPr>
      <w:r w:rsidRPr="00FC3C9E">
        <w:t>Prestaties</w:t>
      </w:r>
      <w:r w:rsidR="003A11FB" w:rsidRPr="00FC3C9E">
        <w:t xml:space="preserve"> op feestdagen: de prestaties geleverd tussen 0 en 24 uur, </w:t>
      </w:r>
      <w:r w:rsidR="006B3DB3" w:rsidRPr="00FC3C9E">
        <w:t xml:space="preserve">zoals vastgesteld in artikel </w:t>
      </w:r>
      <w:r w:rsidR="009C642B" w:rsidRPr="00FC3C9E">
        <w:t>172</w:t>
      </w:r>
      <w:r w:rsidR="00C96478" w:rsidRPr="00FC3C9E">
        <w:t xml:space="preserve"> en artikel </w:t>
      </w:r>
      <w:r w:rsidR="009C642B" w:rsidRPr="00FC3C9E">
        <w:t>175</w:t>
      </w:r>
      <w:r w:rsidR="003A11FB" w:rsidRPr="00FC3C9E">
        <w:t>.</w:t>
      </w:r>
      <w:r w:rsidR="003A11FB" w:rsidRPr="00FC3C9E">
        <w:rPr>
          <w:b/>
          <w:i/>
        </w:rPr>
        <w:t xml:space="preserve"> </w:t>
      </w:r>
    </w:p>
    <w:p w14:paraId="68B7DDC9" w14:textId="6A800C69" w:rsidR="003A11FB" w:rsidRPr="00037A46" w:rsidRDefault="003A11FB" w:rsidP="00CD575A">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Artik</w:t>
      </w:r>
      <w:r w:rsidR="00F43E03" w:rsidRPr="00FC3C9E">
        <w:rPr>
          <w:rFonts w:ascii="Calibri" w:eastAsia="Calibri" w:hAnsi="Calibri"/>
          <w:b/>
          <w:bCs/>
          <w:kern w:val="2"/>
          <w:sz w:val="22"/>
          <w:szCs w:val="22"/>
          <w:lang w:val="nl-BE" w:eastAsia="en-US"/>
          <w14:ligatures w14:val="standardContextual"/>
        </w:rPr>
        <w:t xml:space="preserve">el </w:t>
      </w:r>
      <w:r w:rsidR="008C18B6" w:rsidRPr="00FC3C9E">
        <w:rPr>
          <w:rFonts w:ascii="Calibri" w:eastAsia="Calibri" w:hAnsi="Calibri"/>
          <w:b/>
          <w:bCs/>
          <w:kern w:val="2"/>
          <w:sz w:val="22"/>
          <w:szCs w:val="22"/>
          <w:lang w:val="nl-BE" w:eastAsia="en-US"/>
          <w14:ligatures w14:val="standardContextual"/>
        </w:rPr>
        <w:t>121</w:t>
      </w:r>
    </w:p>
    <w:p w14:paraId="70C44501" w14:textId="77777777" w:rsidR="003A11FB" w:rsidRPr="00037A46" w:rsidRDefault="003A11FB" w:rsidP="00D53CA3">
      <w:pPr>
        <w:pStyle w:val="StandaardUitvullen"/>
        <w:ind w:left="0"/>
      </w:pPr>
      <w:r w:rsidRPr="00037A46">
        <w:t xml:space="preserve">Effectief gemaakte, bewezen en noodzakelijke kosten bij de uitoefening van de functie worden terugbetaald. </w:t>
      </w:r>
    </w:p>
    <w:p w14:paraId="3498212A" w14:textId="77777777" w:rsidR="003A11FB" w:rsidRPr="00037A46" w:rsidRDefault="003A11FB" w:rsidP="003A11FB">
      <w:pPr>
        <w:pStyle w:val="StandaardUitvullen"/>
      </w:pPr>
    </w:p>
    <w:p w14:paraId="4B3D0E04" w14:textId="5742296B" w:rsidR="003A11FB" w:rsidRPr="00037A46" w:rsidRDefault="002509C4" w:rsidP="00B44CF7">
      <w:pPr>
        <w:pStyle w:val="Kop2"/>
      </w:pPr>
      <w:r w:rsidRPr="00037A46">
        <w:br w:type="page"/>
      </w:r>
      <w:bookmarkStart w:id="176" w:name="_Toc110948196"/>
      <w:bookmarkStart w:id="177" w:name="_Toc215739006"/>
      <w:r w:rsidR="003A11FB" w:rsidRPr="00037A46">
        <w:lastRenderedPageBreak/>
        <w:t>Hoofdstuk ii. de verplichte toelagen</w:t>
      </w:r>
      <w:bookmarkEnd w:id="176"/>
      <w:bookmarkEnd w:id="177"/>
    </w:p>
    <w:p w14:paraId="004F8D6B" w14:textId="472779D7" w:rsidR="003A11FB" w:rsidRPr="00037A46" w:rsidRDefault="003A11FB" w:rsidP="003A11FB">
      <w:pPr>
        <w:pStyle w:val="Kop3"/>
      </w:pPr>
      <w:bookmarkStart w:id="178" w:name="_Toc110948197"/>
      <w:bookmarkStart w:id="179" w:name="_Toc215739007"/>
      <w:r w:rsidRPr="00037A46">
        <w:t>Afdeling 1. de haard- en standplaatstoelage</w:t>
      </w:r>
      <w:bookmarkStart w:id="180" w:name="_Hlk152832903"/>
      <w:bookmarkEnd w:id="178"/>
      <w:bookmarkEnd w:id="179"/>
    </w:p>
    <w:bookmarkEnd w:id="180"/>
    <w:p w14:paraId="66360D5B" w14:textId="50D2A2CB" w:rsidR="00575E58" w:rsidRPr="00FC3C9E" w:rsidRDefault="00575E58" w:rsidP="003A11FB">
      <w:pPr>
        <w:pStyle w:val="Kop5"/>
      </w:pPr>
      <w:r w:rsidRPr="00FC3C9E">
        <w:t>Artikel</w:t>
      </w:r>
      <w:r w:rsidR="00791ABF" w:rsidRPr="00FC3C9E">
        <w:t xml:space="preserve"> </w:t>
      </w:r>
      <w:r w:rsidR="006763C7" w:rsidRPr="00FC3C9E">
        <w:t>12</w:t>
      </w:r>
      <w:r w:rsidR="008C18B6" w:rsidRPr="00FC3C9E">
        <w:t>2</w:t>
      </w:r>
    </w:p>
    <w:p w14:paraId="240FC289" w14:textId="34109222" w:rsidR="00575E58" w:rsidRPr="00FC3C9E" w:rsidRDefault="00E804FA" w:rsidP="00575E58">
      <w:pPr>
        <w:ind w:left="0"/>
      </w:pPr>
      <w:r w:rsidRPr="00FC3C9E">
        <w:t>Het personeelslid ontvangt een haard- en standplaatstoelage onder dezelfde voorwaarden als het personeel van de diensten van de Vlaamse overheid.</w:t>
      </w:r>
    </w:p>
    <w:p w14:paraId="0834DEBF" w14:textId="177AB7F8" w:rsidR="007B56AC" w:rsidRPr="00FC3C9E" w:rsidRDefault="007B56AC" w:rsidP="007B56AC">
      <w:pPr>
        <w:pStyle w:val="Kop3"/>
      </w:pPr>
      <w:bookmarkStart w:id="181" w:name="_Toc215739008"/>
      <w:bookmarkStart w:id="182" w:name="_Hlk143173928"/>
      <w:r w:rsidRPr="00FC3C9E">
        <w:t>Afdeling 2. vakantiegeld publieke sector</w:t>
      </w:r>
      <w:bookmarkEnd w:id="181"/>
    </w:p>
    <w:p w14:paraId="24D2BFB7" w14:textId="77777777" w:rsidR="0050355A" w:rsidRPr="00FC3C9E" w:rsidRDefault="0050355A" w:rsidP="0050355A">
      <w:pPr>
        <w:spacing w:before="0" w:after="160" w:line="259" w:lineRule="auto"/>
        <w:ind w:left="0"/>
        <w:jc w:val="left"/>
        <w:rPr>
          <w:rFonts w:eastAsia="Calibri" w:cs="Arial"/>
          <w:kern w:val="2"/>
          <w:lang w:val="nl-BE" w:eastAsia="en-US"/>
          <w14:ligatures w14:val="standardContextual"/>
        </w:rPr>
      </w:pPr>
    </w:p>
    <w:p w14:paraId="33B82ADC" w14:textId="3A6AF6CB" w:rsidR="00733837" w:rsidRPr="00FC3C9E" w:rsidRDefault="00733837" w:rsidP="00577DF1">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 xml:space="preserve">Artikel </w:t>
      </w:r>
      <w:r w:rsidR="006763C7" w:rsidRPr="00FC3C9E">
        <w:rPr>
          <w:rFonts w:eastAsia="Calibri" w:cs="Arial"/>
          <w:b/>
          <w:bCs/>
          <w:kern w:val="2"/>
          <w:lang w:val="nl-BE" w:eastAsia="en-US"/>
          <w14:ligatures w14:val="standardContextual"/>
        </w:rPr>
        <w:t>12</w:t>
      </w:r>
      <w:r w:rsidR="008C18B6" w:rsidRPr="00FC3C9E">
        <w:rPr>
          <w:rFonts w:eastAsia="Calibri" w:cs="Arial"/>
          <w:b/>
          <w:bCs/>
          <w:kern w:val="2"/>
          <w:lang w:val="nl-BE" w:eastAsia="en-US"/>
          <w14:ligatures w14:val="standardContextual"/>
        </w:rPr>
        <w:t>3</w:t>
      </w:r>
    </w:p>
    <w:p w14:paraId="49C41676" w14:textId="00AE246D" w:rsidR="00577DF1" w:rsidRPr="00577DF1" w:rsidRDefault="00577DF1" w:rsidP="00577DF1">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§1. Het personeelslid ontvangt een vakantiegeld volgens het publiek stelsel. Het vakantiegeld bedraagt voor</w:t>
      </w:r>
      <w:r w:rsidRPr="00577DF1">
        <w:rPr>
          <w:rFonts w:eastAsia="Calibri" w:cs="Arial"/>
          <w:kern w:val="2"/>
          <w:lang w:val="nl-BE" w:eastAsia="en-US"/>
          <w14:ligatures w14:val="standardContextual"/>
        </w:rPr>
        <w:t xml:space="preserve"> volledige prestaties die gedurende het hele referentiejaar zijn verricht, 92% van het geïndexeerde maandsalaris van de maand maart van het vakantiejaar.</w:t>
      </w:r>
    </w:p>
    <w:p w14:paraId="029E7CAB" w14:textId="411DBEF8" w:rsidR="00577DF1" w:rsidRPr="00577DF1" w:rsidRDefault="00577DF1" w:rsidP="00577DF1">
      <w:pPr>
        <w:spacing w:before="0" w:after="160" w:line="259" w:lineRule="auto"/>
        <w:ind w:left="0"/>
        <w:jc w:val="left"/>
        <w:rPr>
          <w:rFonts w:eastAsia="Calibri" w:cs="Arial"/>
          <w:kern w:val="2"/>
          <w:lang w:val="nl-BE" w:eastAsia="en-US"/>
          <w14:ligatures w14:val="standardContextual"/>
        </w:rPr>
      </w:pPr>
      <w:r w:rsidRPr="00577DF1">
        <w:rPr>
          <w:rFonts w:eastAsia="Calibri" w:cs="Arial"/>
          <w:kern w:val="2"/>
          <w:lang w:val="nl-BE" w:eastAsia="en-US"/>
          <w14:ligatures w14:val="standardContextual"/>
        </w:rPr>
        <w:t>Als het statutair personeelslid in de maand maart van het vakantiejaar geen of slechts een gedeeltelijk maandsalaris ontvangen heeft, dan wordt het percentage vermeld in §</w:t>
      </w:r>
      <w:r>
        <w:rPr>
          <w:rFonts w:eastAsia="Calibri" w:cs="Arial"/>
          <w:kern w:val="2"/>
          <w:lang w:val="nl-BE" w:eastAsia="en-US"/>
          <w14:ligatures w14:val="standardContextual"/>
        </w:rPr>
        <w:t>1</w:t>
      </w:r>
      <w:r w:rsidRPr="00577DF1">
        <w:rPr>
          <w:rFonts w:eastAsia="Calibri" w:cs="Arial"/>
          <w:kern w:val="2"/>
          <w:lang w:val="nl-BE" w:eastAsia="en-US"/>
          <w14:ligatures w14:val="standardContextual"/>
        </w:rPr>
        <w:t>, berekend op basis van het maandsalaris dat voor diezelfde maand betaald zou zijn geweest als het personeelslid zijn ambt wel volledig had uitgeoefend.</w:t>
      </w:r>
    </w:p>
    <w:p w14:paraId="152170C2" w14:textId="77777777" w:rsidR="00577DF1" w:rsidRPr="00577DF1" w:rsidRDefault="00577DF1" w:rsidP="00577DF1">
      <w:pPr>
        <w:spacing w:before="0" w:after="160" w:line="259" w:lineRule="auto"/>
        <w:ind w:left="0"/>
        <w:jc w:val="left"/>
        <w:rPr>
          <w:rFonts w:eastAsia="Calibri" w:cs="Arial"/>
          <w:kern w:val="2"/>
          <w:lang w:val="nl-BE" w:eastAsia="en-US"/>
          <w14:ligatures w14:val="standardContextual"/>
        </w:rPr>
      </w:pPr>
      <w:r w:rsidRPr="00577DF1">
        <w:rPr>
          <w:rFonts w:eastAsia="Calibri" w:cs="Arial"/>
          <w:kern w:val="2"/>
          <w:lang w:val="nl-BE" w:eastAsia="en-US"/>
          <w14:ligatures w14:val="standardContextual"/>
        </w:rPr>
        <w:t>In het eerste lid wordt verstaan onder:</w:t>
      </w:r>
    </w:p>
    <w:p w14:paraId="3EEF84A4" w14:textId="18C7BA04" w:rsidR="00577DF1" w:rsidRPr="00577DF1" w:rsidRDefault="00577DF1" w:rsidP="009D4C40">
      <w:pPr>
        <w:pStyle w:val="Lijstalinea"/>
        <w:numPr>
          <w:ilvl w:val="0"/>
          <w:numId w:val="83"/>
        </w:numPr>
        <w:spacing w:before="0" w:after="160" w:line="259" w:lineRule="auto"/>
        <w:jc w:val="left"/>
        <w:rPr>
          <w:rFonts w:eastAsia="Calibri" w:cs="Arial"/>
          <w:kern w:val="2"/>
          <w:lang w:val="nl-BE" w:eastAsia="en-US"/>
          <w14:ligatures w14:val="standardContextual"/>
        </w:rPr>
      </w:pPr>
      <w:r w:rsidRPr="00577DF1">
        <w:rPr>
          <w:rFonts w:eastAsia="Calibri" w:cs="Arial"/>
          <w:kern w:val="2"/>
          <w:lang w:val="nl-BE" w:eastAsia="en-US"/>
          <w14:ligatures w14:val="standardContextual"/>
        </w:rPr>
        <w:t>referentiejaar: het kalenderjaar dat voorafgaat aan het jaar waarin de vakantie wordt toegekend;</w:t>
      </w:r>
    </w:p>
    <w:p w14:paraId="05C060F9" w14:textId="6E9D78CC" w:rsidR="00577DF1" w:rsidRPr="00577DF1" w:rsidRDefault="00577DF1" w:rsidP="009D4C40">
      <w:pPr>
        <w:pStyle w:val="Lijstalinea"/>
        <w:numPr>
          <w:ilvl w:val="0"/>
          <w:numId w:val="83"/>
        </w:numPr>
        <w:spacing w:before="0" w:after="160" w:line="259" w:lineRule="auto"/>
        <w:jc w:val="left"/>
        <w:rPr>
          <w:rFonts w:eastAsia="Calibri" w:cs="Arial"/>
          <w:kern w:val="2"/>
          <w:lang w:val="nl-BE" w:eastAsia="en-US"/>
          <w14:ligatures w14:val="standardContextual"/>
        </w:rPr>
      </w:pPr>
      <w:r w:rsidRPr="00577DF1">
        <w:rPr>
          <w:rFonts w:eastAsia="Calibri" w:cs="Arial"/>
          <w:kern w:val="2"/>
          <w:lang w:val="nl-BE" w:eastAsia="en-US"/>
          <w14:ligatures w14:val="standardContextual"/>
        </w:rPr>
        <w:t>vakantiejaar: het jaar waarin de vakantie wordt toegekend;</w:t>
      </w:r>
    </w:p>
    <w:p w14:paraId="4054D852" w14:textId="5C8D0573" w:rsidR="00577DF1" w:rsidRPr="00577DF1" w:rsidRDefault="00577DF1" w:rsidP="009D4C40">
      <w:pPr>
        <w:pStyle w:val="Lijstalinea"/>
        <w:numPr>
          <w:ilvl w:val="0"/>
          <w:numId w:val="83"/>
        </w:numPr>
        <w:spacing w:before="0" w:after="160" w:line="259" w:lineRule="auto"/>
        <w:jc w:val="left"/>
        <w:rPr>
          <w:rFonts w:eastAsia="Calibri" w:cs="Arial"/>
          <w:kern w:val="2"/>
          <w:lang w:val="nl-BE" w:eastAsia="en-US"/>
          <w14:ligatures w14:val="standardContextual"/>
        </w:rPr>
      </w:pPr>
      <w:r w:rsidRPr="00577DF1">
        <w:rPr>
          <w:rFonts w:eastAsia="Calibri" w:cs="Arial"/>
          <w:kern w:val="2"/>
          <w:lang w:val="nl-BE" w:eastAsia="en-US"/>
          <w14:ligatures w14:val="standardContextual"/>
        </w:rPr>
        <w:t>maandsalaris: het maandsalaris aangevuld met de eventuele haard- of standplaatstoelage</w:t>
      </w:r>
      <w:r w:rsidR="009D19E1">
        <w:rPr>
          <w:rFonts w:eastAsia="Calibri" w:cs="Arial"/>
          <w:kern w:val="2"/>
          <w:lang w:val="nl-BE" w:eastAsia="en-US"/>
          <w14:ligatures w14:val="standardContextual"/>
        </w:rPr>
        <w:t xml:space="preserve"> en de 11% toeslag voor onregelmatige prestaties in de zorg</w:t>
      </w:r>
      <w:r w:rsidRPr="00577DF1">
        <w:rPr>
          <w:rFonts w:eastAsia="Calibri" w:cs="Arial"/>
          <w:kern w:val="2"/>
          <w:lang w:val="nl-BE" w:eastAsia="en-US"/>
          <w14:ligatures w14:val="standardContextual"/>
        </w:rPr>
        <w:t>.</w:t>
      </w:r>
    </w:p>
    <w:p w14:paraId="11FB8D8B" w14:textId="0712AE8B" w:rsidR="00577DF1" w:rsidRPr="00577DF1" w:rsidRDefault="00577DF1" w:rsidP="00577DF1">
      <w:pPr>
        <w:spacing w:before="0" w:after="160" w:line="259" w:lineRule="auto"/>
        <w:ind w:left="0"/>
        <w:jc w:val="left"/>
        <w:rPr>
          <w:rFonts w:eastAsia="Calibri" w:cs="Arial"/>
          <w:kern w:val="2"/>
          <w:lang w:val="nl-BE" w:eastAsia="en-US"/>
          <w14:ligatures w14:val="standardContextual"/>
        </w:rPr>
      </w:pPr>
      <w:r w:rsidRPr="00577DF1">
        <w:rPr>
          <w:rFonts w:eastAsia="Calibri" w:cs="Arial"/>
          <w:kern w:val="2"/>
          <w:lang w:val="nl-BE" w:eastAsia="en-US"/>
          <w14:ligatures w14:val="standardContextual"/>
        </w:rPr>
        <w:t>§2. Bovenop het vakantiegeld zoals bepaald in §</w:t>
      </w:r>
      <w:r w:rsidR="00733837">
        <w:rPr>
          <w:rFonts w:eastAsia="Calibri" w:cs="Arial"/>
          <w:kern w:val="2"/>
          <w:lang w:val="nl-BE" w:eastAsia="en-US"/>
          <w14:ligatures w14:val="standardContextual"/>
        </w:rPr>
        <w:t>1</w:t>
      </w:r>
      <w:r w:rsidRPr="00577DF1">
        <w:rPr>
          <w:rFonts w:eastAsia="Calibri" w:cs="Arial"/>
          <w:kern w:val="2"/>
          <w:lang w:val="nl-BE" w:eastAsia="en-US"/>
          <w14:ligatures w14:val="standardContextual"/>
        </w:rPr>
        <w:t xml:space="preserve"> ontvangt het personeelslid een bovenwettelijk vakantiegeld </w:t>
      </w:r>
      <w:r w:rsidRPr="001273D0">
        <w:rPr>
          <w:rFonts w:eastAsia="Calibri" w:cs="Arial"/>
          <w:kern w:val="2"/>
          <w:lang w:val="nl-BE" w:eastAsia="en-US"/>
          <w14:ligatures w14:val="standardContextual"/>
        </w:rPr>
        <w:t>van</w:t>
      </w:r>
      <w:r w:rsidR="00FC18DF" w:rsidRPr="001273D0">
        <w:rPr>
          <w:rFonts w:eastAsia="Calibri" w:cs="Arial"/>
          <w:kern w:val="2"/>
          <w:lang w:val="nl-BE" w:eastAsia="en-US"/>
          <w14:ligatures w14:val="standardContextual"/>
        </w:rPr>
        <w:t xml:space="preserve"> </w:t>
      </w:r>
      <w:r w:rsidR="000D5FDB" w:rsidRPr="001273D0">
        <w:rPr>
          <w:rFonts w:eastAsia="Calibri" w:cs="Arial"/>
          <w:kern w:val="2"/>
          <w:lang w:val="nl-BE" w:eastAsia="en-US"/>
          <w14:ligatures w14:val="standardContextual"/>
        </w:rPr>
        <w:t>15,34</w:t>
      </w:r>
      <w:r w:rsidRPr="001273D0">
        <w:rPr>
          <w:rFonts w:eastAsia="Calibri" w:cs="Arial"/>
          <w:kern w:val="2"/>
          <w:lang w:val="nl-BE" w:eastAsia="en-US"/>
          <w14:ligatures w14:val="standardContextual"/>
        </w:rPr>
        <w:t>%</w:t>
      </w:r>
      <w:r w:rsidRPr="00577DF1">
        <w:rPr>
          <w:rFonts w:eastAsia="Calibri" w:cs="Arial"/>
          <w:kern w:val="2"/>
          <w:lang w:val="nl-BE" w:eastAsia="en-US"/>
          <w14:ligatures w14:val="standardContextual"/>
        </w:rPr>
        <w:t xml:space="preserve"> berekend op de volgende toelagen die het personeelslid effectief ontvangen heeft in het referentiejaar:</w:t>
      </w:r>
    </w:p>
    <w:p w14:paraId="7089DB19" w14:textId="794671F9" w:rsidR="00733837" w:rsidRPr="008A1D80" w:rsidRDefault="008A1D80" w:rsidP="009D4C40">
      <w:pPr>
        <w:pStyle w:val="Lijstalinea"/>
        <w:numPr>
          <w:ilvl w:val="0"/>
          <w:numId w:val="84"/>
        </w:numPr>
        <w:spacing w:before="0" w:after="160" w:line="259" w:lineRule="auto"/>
        <w:jc w:val="left"/>
        <w:rPr>
          <w:rFonts w:eastAsia="Calibri" w:cs="Arial"/>
          <w:kern w:val="2"/>
          <w:lang w:val="nl-BE" w:eastAsia="en-US"/>
          <w14:ligatures w14:val="standardContextual"/>
        </w:rPr>
      </w:pPr>
      <w:r>
        <w:rPr>
          <w:rFonts w:eastAsia="Calibri" w:cs="Arial"/>
          <w:kern w:val="2"/>
          <w:lang w:val="nl-BE" w:eastAsia="en-US"/>
          <w14:ligatures w14:val="standardContextual"/>
        </w:rPr>
        <w:t>D</w:t>
      </w:r>
      <w:r w:rsidR="00733837" w:rsidRPr="008A1D80">
        <w:rPr>
          <w:rFonts w:eastAsia="Calibri" w:cs="Arial"/>
          <w:kern w:val="2"/>
          <w:lang w:val="nl-BE" w:eastAsia="en-US"/>
          <w14:ligatures w14:val="standardContextual"/>
        </w:rPr>
        <w:t xml:space="preserve">e toelage voor het waarnemen van een hogere functie; </w:t>
      </w:r>
    </w:p>
    <w:p w14:paraId="24385FA2" w14:textId="06781CBA" w:rsidR="008A1D80" w:rsidRPr="00733837" w:rsidRDefault="008A1D80" w:rsidP="009D4C40">
      <w:pPr>
        <w:pStyle w:val="Lijstalinea"/>
        <w:numPr>
          <w:ilvl w:val="0"/>
          <w:numId w:val="84"/>
        </w:numPr>
        <w:spacing w:before="0" w:after="160" w:line="259" w:lineRule="auto"/>
        <w:jc w:val="left"/>
        <w:rPr>
          <w:rFonts w:eastAsia="Calibri" w:cs="Arial"/>
          <w:kern w:val="2"/>
          <w:lang w:val="nl-BE" w:eastAsia="en-US"/>
          <w14:ligatures w14:val="standardContextual"/>
        </w:rPr>
      </w:pPr>
      <w:r>
        <w:rPr>
          <w:rFonts w:eastAsia="Calibri" w:cs="Arial"/>
          <w:kern w:val="2"/>
          <w:lang w:val="nl-BE" w:eastAsia="en-US"/>
          <w14:ligatures w14:val="standardContextual"/>
        </w:rPr>
        <w:t>D</w:t>
      </w:r>
      <w:r w:rsidR="00733837" w:rsidRPr="008A1D80">
        <w:rPr>
          <w:rFonts w:eastAsia="Calibri" w:cs="Arial"/>
          <w:kern w:val="2"/>
          <w:lang w:val="nl-BE" w:eastAsia="en-US"/>
          <w14:ligatures w14:val="standardContextual"/>
        </w:rPr>
        <w:t>e toelage onregelmatige prestaties</w:t>
      </w:r>
      <w:r>
        <w:rPr>
          <w:rFonts w:eastAsia="Calibri" w:cs="Arial"/>
          <w:kern w:val="2"/>
          <w:lang w:val="nl-BE" w:eastAsia="en-US"/>
          <w14:ligatures w14:val="standardContextual"/>
        </w:rPr>
        <w:t xml:space="preserve"> </w:t>
      </w:r>
      <w:r w:rsidRPr="00733837">
        <w:rPr>
          <w:rFonts w:eastAsia="Calibri" w:cs="Arial"/>
          <w:kern w:val="2"/>
          <w:lang w:val="nl-BE" w:eastAsia="en-US"/>
          <w14:ligatures w14:val="standardContextual"/>
        </w:rPr>
        <w:t>(zaterdag, zondag, nachtprestaties, feestdagen en overuren)</w:t>
      </w:r>
    </w:p>
    <w:p w14:paraId="74FD120E" w14:textId="0AB34847" w:rsidR="00733837" w:rsidRPr="008A1D80" w:rsidRDefault="008A1D80" w:rsidP="009D4C40">
      <w:pPr>
        <w:pStyle w:val="Lijstalinea"/>
        <w:numPr>
          <w:ilvl w:val="0"/>
          <w:numId w:val="84"/>
        </w:numPr>
        <w:spacing w:before="0" w:after="160" w:line="259" w:lineRule="auto"/>
        <w:jc w:val="left"/>
        <w:rPr>
          <w:rFonts w:eastAsia="Calibri" w:cs="Arial"/>
          <w:kern w:val="2"/>
          <w:lang w:val="nl-BE" w:eastAsia="en-US"/>
          <w14:ligatures w14:val="standardContextual"/>
        </w:rPr>
      </w:pPr>
      <w:r>
        <w:rPr>
          <w:rFonts w:eastAsia="Calibri" w:cs="Arial"/>
          <w:kern w:val="2"/>
          <w:lang w:val="nl-BE" w:eastAsia="en-US"/>
          <w14:ligatures w14:val="standardContextual"/>
        </w:rPr>
        <w:t>E</w:t>
      </w:r>
      <w:r w:rsidR="00733837" w:rsidRPr="008A1D80">
        <w:rPr>
          <w:rFonts w:eastAsia="Calibri" w:cs="Arial"/>
          <w:kern w:val="2"/>
          <w:lang w:val="nl-BE" w:eastAsia="en-US"/>
          <w14:ligatures w14:val="standardContextual"/>
        </w:rPr>
        <w:t>indeloopbaanmaatregelen uit het federale gezondheidsakkoord voor personeel in het WZC</w:t>
      </w:r>
    </w:p>
    <w:p w14:paraId="0A1CC40D" w14:textId="47928D91" w:rsidR="00577DF1" w:rsidRPr="00FC3C9E" w:rsidRDefault="00577DF1" w:rsidP="00577DF1">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 xml:space="preserve">Artikel </w:t>
      </w:r>
      <w:r w:rsidR="006763C7" w:rsidRPr="00FC3C9E">
        <w:rPr>
          <w:rFonts w:eastAsia="Calibri" w:cs="Arial"/>
          <w:b/>
          <w:bCs/>
          <w:kern w:val="2"/>
          <w:lang w:val="nl-BE" w:eastAsia="en-US"/>
          <w14:ligatures w14:val="standardContextual"/>
        </w:rPr>
        <w:t>12</w:t>
      </w:r>
      <w:r w:rsidR="008C18B6" w:rsidRPr="00FC3C9E">
        <w:rPr>
          <w:rFonts w:eastAsia="Calibri" w:cs="Arial"/>
          <w:b/>
          <w:bCs/>
          <w:kern w:val="2"/>
          <w:lang w:val="nl-BE" w:eastAsia="en-US"/>
          <w14:ligatures w14:val="standardContextual"/>
        </w:rPr>
        <w:t>4</w:t>
      </w:r>
    </w:p>
    <w:p w14:paraId="0C99E2AB" w14:textId="37ED2557" w:rsidR="00577DF1" w:rsidRPr="00FC3C9E" w:rsidRDefault="00577DF1" w:rsidP="00577DF1">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 xml:space="preserve">§1. Als het personeelslid niet gedurende het hele referentiejaar volledige prestaties heeft verricht, wordt, onder voorbehoud van de toepassing van artikel </w:t>
      </w:r>
      <w:r w:rsidR="009C642B" w:rsidRPr="00FC3C9E">
        <w:rPr>
          <w:rFonts w:eastAsia="Calibri" w:cs="Arial"/>
          <w:kern w:val="2"/>
          <w:lang w:val="nl-BE" w:eastAsia="en-US"/>
          <w14:ligatures w14:val="standardContextual"/>
        </w:rPr>
        <w:t>12</w:t>
      </w:r>
      <w:r w:rsidR="008C18B6" w:rsidRPr="00FC3C9E">
        <w:rPr>
          <w:rFonts w:eastAsia="Calibri" w:cs="Arial"/>
          <w:kern w:val="2"/>
          <w:lang w:val="nl-BE" w:eastAsia="en-US"/>
          <w14:ligatures w14:val="standardContextual"/>
        </w:rPr>
        <w:t>2</w:t>
      </w:r>
      <w:r w:rsidRPr="00FC3C9E">
        <w:rPr>
          <w:rFonts w:eastAsia="Calibri" w:cs="Arial"/>
          <w:kern w:val="2"/>
          <w:lang w:val="nl-BE" w:eastAsia="en-US"/>
          <w14:ligatures w14:val="standardContextual"/>
        </w:rPr>
        <w:t xml:space="preserve"> betreffende de gelijkstellingen, het vakantiegeld zoals bepaald in artikel </w:t>
      </w:r>
      <w:r w:rsidR="009C642B" w:rsidRPr="00FC3C9E">
        <w:rPr>
          <w:rFonts w:eastAsia="Calibri" w:cs="Arial"/>
          <w:kern w:val="2"/>
          <w:lang w:val="nl-BE" w:eastAsia="en-US"/>
          <w14:ligatures w14:val="standardContextual"/>
        </w:rPr>
        <w:t>12</w:t>
      </w:r>
      <w:r w:rsidR="00A807EB" w:rsidRPr="00FC3C9E">
        <w:rPr>
          <w:rFonts w:eastAsia="Calibri" w:cs="Arial"/>
          <w:kern w:val="2"/>
          <w:lang w:val="nl-BE" w:eastAsia="en-US"/>
          <w14:ligatures w14:val="standardContextual"/>
        </w:rPr>
        <w:t>3</w:t>
      </w:r>
      <w:r w:rsidRPr="00FC3C9E">
        <w:rPr>
          <w:rFonts w:eastAsia="Calibri" w:cs="Arial"/>
          <w:kern w:val="2"/>
          <w:lang w:val="nl-BE" w:eastAsia="en-US"/>
          <w14:ligatures w14:val="standardContextual"/>
        </w:rPr>
        <w:t xml:space="preserve"> §1 als volgt vastgesteld:</w:t>
      </w:r>
    </w:p>
    <w:p w14:paraId="06997997" w14:textId="48FA7190" w:rsidR="00577DF1" w:rsidRPr="00FC3C9E" w:rsidRDefault="00577DF1" w:rsidP="009D4C40">
      <w:pPr>
        <w:pStyle w:val="Lijstalinea"/>
        <w:numPr>
          <w:ilvl w:val="0"/>
          <w:numId w:val="85"/>
        </w:numPr>
        <w:spacing w:before="0" w:after="160" w:line="259" w:lineRule="auto"/>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één twaalfde voor elke prestatieperiode (of gelijkgestelde periode) die een volledige maand beslaat (X/12de van 92%) OF;</w:t>
      </w:r>
    </w:p>
    <w:p w14:paraId="48DA4390" w14:textId="63340B23" w:rsidR="00577DF1" w:rsidRPr="008A1D80" w:rsidRDefault="00577DF1" w:rsidP="009D4C40">
      <w:pPr>
        <w:pStyle w:val="Lijstalinea"/>
        <w:numPr>
          <w:ilvl w:val="0"/>
          <w:numId w:val="85"/>
        </w:numPr>
        <w:spacing w:before="0" w:after="160" w:line="259" w:lineRule="auto"/>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één dertigste per kalenderdag als de prestaties</w:t>
      </w:r>
      <w:r w:rsidRPr="008A1D80">
        <w:rPr>
          <w:rFonts w:eastAsia="Calibri" w:cs="Arial"/>
          <w:kern w:val="2"/>
          <w:lang w:val="nl-BE" w:eastAsia="en-US"/>
          <w14:ligatures w14:val="standardContextual"/>
        </w:rPr>
        <w:t xml:space="preserve"> (effectieve + gelijkgestelde) geen volledige maand beslaan (x/360ste van 92%) OF;</w:t>
      </w:r>
    </w:p>
    <w:p w14:paraId="785EBD81" w14:textId="750AE164" w:rsidR="00577DF1" w:rsidRDefault="00577DF1" w:rsidP="009D4C40">
      <w:pPr>
        <w:pStyle w:val="Lijstalinea"/>
        <w:numPr>
          <w:ilvl w:val="0"/>
          <w:numId w:val="85"/>
        </w:numPr>
        <w:spacing w:before="0" w:after="160" w:line="259" w:lineRule="auto"/>
        <w:jc w:val="left"/>
        <w:rPr>
          <w:rFonts w:eastAsia="Calibri" w:cs="Arial"/>
          <w:kern w:val="2"/>
          <w:lang w:val="nl-BE" w:eastAsia="en-US"/>
          <w14:ligatures w14:val="standardContextual"/>
        </w:rPr>
      </w:pPr>
      <w:r w:rsidRPr="008A1D80">
        <w:rPr>
          <w:rFonts w:eastAsia="Calibri" w:cs="Arial"/>
          <w:kern w:val="2"/>
          <w:lang w:val="nl-BE" w:eastAsia="en-US"/>
          <w14:ligatures w14:val="standardContextual"/>
        </w:rPr>
        <w:t xml:space="preserve">naar rato van de gepresteerde en gelijkgestelde uren op basis van de </w:t>
      </w:r>
      <w:proofErr w:type="spellStart"/>
      <w:r w:rsidRPr="008A1D80">
        <w:rPr>
          <w:rFonts w:eastAsia="Calibri" w:cs="Arial"/>
          <w:kern w:val="2"/>
          <w:lang w:val="nl-BE" w:eastAsia="en-US"/>
          <w14:ligatures w14:val="standardContextual"/>
        </w:rPr>
        <w:t>uurdeler</w:t>
      </w:r>
      <w:proofErr w:type="spellEnd"/>
      <w:r w:rsidRPr="008A1D80">
        <w:rPr>
          <w:rFonts w:eastAsia="Calibri" w:cs="Arial"/>
          <w:kern w:val="2"/>
          <w:lang w:val="nl-BE" w:eastAsia="en-US"/>
          <w14:ligatures w14:val="standardContextual"/>
        </w:rPr>
        <w:t xml:space="preserve"> die krachtens de bezoldigingsregeling van toepassing is (x/1976ste van 92%).</w:t>
      </w:r>
    </w:p>
    <w:p w14:paraId="048002D0" w14:textId="77777777" w:rsidR="00791ABF" w:rsidRPr="00791ABF" w:rsidRDefault="00791ABF" w:rsidP="00791ABF">
      <w:pPr>
        <w:spacing w:before="0" w:after="160" w:line="259" w:lineRule="auto"/>
        <w:ind w:left="360"/>
        <w:jc w:val="left"/>
        <w:rPr>
          <w:rFonts w:eastAsia="Calibri" w:cs="Arial"/>
          <w:kern w:val="2"/>
          <w:lang w:val="nl-BE" w:eastAsia="en-US"/>
          <w14:ligatures w14:val="standardContextual"/>
        </w:rPr>
      </w:pPr>
    </w:p>
    <w:p w14:paraId="3AD5F2A6" w14:textId="68673D3B" w:rsidR="00577DF1" w:rsidRPr="00FC3C9E" w:rsidRDefault="00577DF1" w:rsidP="00577DF1">
      <w:pPr>
        <w:spacing w:before="0" w:after="160" w:line="259" w:lineRule="auto"/>
        <w:ind w:left="0"/>
        <w:jc w:val="left"/>
        <w:rPr>
          <w:rFonts w:eastAsia="Calibri" w:cs="Arial"/>
          <w:b/>
          <w:bCs/>
          <w:kern w:val="2"/>
          <w:lang w:val="nl-BE" w:eastAsia="en-US"/>
          <w14:ligatures w14:val="standardContextual"/>
        </w:rPr>
      </w:pPr>
      <w:r w:rsidRPr="009841BF">
        <w:rPr>
          <w:rFonts w:eastAsia="Calibri" w:cs="Arial"/>
          <w:b/>
          <w:bCs/>
          <w:kern w:val="2"/>
          <w:lang w:val="nl-BE" w:eastAsia="en-US"/>
          <w14:ligatures w14:val="standardContextual"/>
        </w:rPr>
        <w:lastRenderedPageBreak/>
        <w:t xml:space="preserve">Artikel </w:t>
      </w:r>
      <w:r w:rsidR="006763C7" w:rsidRPr="00FC3C9E">
        <w:rPr>
          <w:rFonts w:eastAsia="Calibri" w:cs="Arial"/>
          <w:b/>
          <w:bCs/>
          <w:kern w:val="2"/>
          <w:lang w:val="nl-BE" w:eastAsia="en-US"/>
          <w14:ligatures w14:val="standardContextual"/>
        </w:rPr>
        <w:t>12</w:t>
      </w:r>
      <w:r w:rsidR="008C18B6" w:rsidRPr="00FC3C9E">
        <w:rPr>
          <w:rFonts w:eastAsia="Calibri" w:cs="Arial"/>
          <w:b/>
          <w:bCs/>
          <w:kern w:val="2"/>
          <w:lang w:val="nl-BE" w:eastAsia="en-US"/>
          <w14:ligatures w14:val="standardContextual"/>
        </w:rPr>
        <w:t>5</w:t>
      </w:r>
    </w:p>
    <w:p w14:paraId="3CCA98AE" w14:textId="77777777" w:rsidR="00577DF1" w:rsidRPr="00FC3C9E" w:rsidRDefault="00577DF1" w:rsidP="00577DF1">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 xml:space="preserve">§1. Het vakantiegeld wordt uitbetaald tijdens de maand mei van het vakantiejaar. </w:t>
      </w:r>
    </w:p>
    <w:p w14:paraId="74A475A6" w14:textId="77777777" w:rsidR="00577DF1" w:rsidRPr="00FC3C9E" w:rsidRDefault="00577DF1" w:rsidP="00577DF1">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§2. In afwijking van de bepalingen van § 1, wordt het vakantiegeld uitbetaald tijdens de maand die volgt op de datum van de pensionering van het personeelslid, de datum van overlijden of de datum van de uitdiensttreding.</w:t>
      </w:r>
    </w:p>
    <w:p w14:paraId="62CE7C86" w14:textId="315A0400" w:rsidR="00577DF1" w:rsidRPr="00FC3C9E" w:rsidRDefault="00577DF1" w:rsidP="00577DF1">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 xml:space="preserve">Bij de berekening van het vakantiegeld publiek stelsel wordt in dat geval rekening gehouden met het percentage en het betreffende maandloon, die op de datum in kwestie van kracht zijn. Als het personeelslid op die datum geen salaris of een verminderd salaris geniet, dan wordt het percentage berekend op het salaris dat hem betaald zou zijn geweest, als het op die datum zijn ambt uitgeoefend </w:t>
      </w:r>
      <w:r w:rsidR="008A1D80" w:rsidRPr="00FC3C9E">
        <w:rPr>
          <w:rFonts w:eastAsia="Calibri" w:cs="Arial"/>
          <w:kern w:val="2"/>
          <w:lang w:val="nl-BE" w:eastAsia="en-US"/>
          <w14:ligatures w14:val="standardContextual"/>
        </w:rPr>
        <w:t>z</w:t>
      </w:r>
      <w:r w:rsidRPr="00FC3C9E">
        <w:rPr>
          <w:rFonts w:eastAsia="Calibri" w:cs="Arial"/>
          <w:kern w:val="2"/>
          <w:lang w:val="nl-BE" w:eastAsia="en-US"/>
          <w14:ligatures w14:val="standardContextual"/>
        </w:rPr>
        <w:t xml:space="preserve">ou hebben. </w:t>
      </w:r>
    </w:p>
    <w:p w14:paraId="26F3B7FF" w14:textId="63DCC179" w:rsidR="00577DF1" w:rsidRPr="009841BF" w:rsidRDefault="00577DF1" w:rsidP="00577DF1">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w:t>
      </w:r>
      <w:r w:rsidR="004C431F" w:rsidRPr="00FC3C9E">
        <w:rPr>
          <w:rFonts w:eastAsia="Calibri" w:cs="Arial"/>
          <w:b/>
          <w:bCs/>
          <w:kern w:val="2"/>
          <w:lang w:val="nl-BE" w:eastAsia="en-US"/>
          <w14:ligatures w14:val="standardContextual"/>
        </w:rPr>
        <w:t xml:space="preserve"> </w:t>
      </w:r>
      <w:r w:rsidR="006763C7" w:rsidRPr="00FC3C9E">
        <w:rPr>
          <w:rFonts w:eastAsia="Calibri" w:cs="Arial"/>
          <w:b/>
          <w:bCs/>
          <w:kern w:val="2"/>
          <w:lang w:val="nl-BE" w:eastAsia="en-US"/>
          <w14:ligatures w14:val="standardContextual"/>
        </w:rPr>
        <w:t>12</w:t>
      </w:r>
      <w:r w:rsidR="008C18B6" w:rsidRPr="00FC3C9E">
        <w:rPr>
          <w:rFonts w:eastAsia="Calibri" w:cs="Arial"/>
          <w:b/>
          <w:bCs/>
          <w:kern w:val="2"/>
          <w:lang w:val="nl-BE" w:eastAsia="en-US"/>
          <w14:ligatures w14:val="standardContextual"/>
        </w:rPr>
        <w:t>6</w:t>
      </w:r>
    </w:p>
    <w:p w14:paraId="6EE680E9" w14:textId="77777777" w:rsidR="00577DF1" w:rsidRPr="00577DF1" w:rsidRDefault="00577DF1" w:rsidP="00577DF1">
      <w:pPr>
        <w:spacing w:before="0" w:after="160" w:line="259" w:lineRule="auto"/>
        <w:ind w:left="0"/>
        <w:jc w:val="left"/>
        <w:rPr>
          <w:rFonts w:eastAsia="Calibri" w:cs="Arial"/>
          <w:kern w:val="2"/>
          <w:lang w:val="nl-BE" w:eastAsia="en-US"/>
          <w14:ligatures w14:val="standardContextual"/>
        </w:rPr>
      </w:pPr>
      <w:r w:rsidRPr="00577DF1">
        <w:rPr>
          <w:rFonts w:eastAsia="Calibri" w:cs="Arial"/>
          <w:kern w:val="2"/>
          <w:lang w:val="nl-BE" w:eastAsia="en-US"/>
          <w14:ligatures w14:val="standardContextual"/>
        </w:rPr>
        <w:t>§1. Volgende perioden komen in aanmerking voor de berekening van het vakantiegeld publieke sector:</w:t>
      </w:r>
    </w:p>
    <w:p w14:paraId="1BEC4B3B" w14:textId="22C44752" w:rsidR="00577DF1" w:rsidRPr="00093EDC" w:rsidRDefault="00577DF1" w:rsidP="009D4C40">
      <w:pPr>
        <w:pStyle w:val="Lijstalinea"/>
        <w:numPr>
          <w:ilvl w:val="0"/>
          <w:numId w:val="86"/>
        </w:numPr>
        <w:spacing w:before="0" w:after="160" w:line="259" w:lineRule="auto"/>
        <w:jc w:val="left"/>
        <w:rPr>
          <w:rFonts w:eastAsia="Calibri" w:cs="Arial"/>
          <w:kern w:val="2"/>
          <w:lang w:val="nl-BE" w:eastAsia="en-US"/>
          <w14:ligatures w14:val="standardContextual"/>
        </w:rPr>
      </w:pPr>
      <w:r w:rsidRPr="00093EDC">
        <w:rPr>
          <w:rFonts w:eastAsia="Calibri" w:cs="Arial"/>
          <w:kern w:val="2"/>
          <w:lang w:val="nl-BE" w:eastAsia="en-US"/>
          <w14:ligatures w14:val="standardContextual"/>
        </w:rPr>
        <w:t>een periode van dienstactiviteit bij verlof of afwezigheid als ze op dat ogenblik het recht op salaris volledig of gedeeltelijk behouden;</w:t>
      </w:r>
    </w:p>
    <w:p w14:paraId="530ECF27" w14:textId="3AC16336" w:rsidR="00577DF1" w:rsidRPr="00093EDC" w:rsidRDefault="00577DF1" w:rsidP="009D4C40">
      <w:pPr>
        <w:pStyle w:val="Lijstalinea"/>
        <w:numPr>
          <w:ilvl w:val="0"/>
          <w:numId w:val="86"/>
        </w:numPr>
        <w:spacing w:before="0" w:after="160" w:line="259" w:lineRule="auto"/>
        <w:jc w:val="left"/>
        <w:rPr>
          <w:rFonts w:eastAsia="Calibri" w:cs="Arial"/>
          <w:kern w:val="2"/>
          <w:lang w:val="nl-BE" w:eastAsia="en-US"/>
          <w14:ligatures w14:val="standardContextual"/>
        </w:rPr>
      </w:pPr>
      <w:r w:rsidRPr="00093EDC">
        <w:rPr>
          <w:rFonts w:eastAsia="Calibri" w:cs="Arial"/>
          <w:kern w:val="2"/>
          <w:lang w:val="nl-BE" w:eastAsia="en-US"/>
          <w14:ligatures w14:val="standardContextual"/>
        </w:rPr>
        <w:t>een periode van arbeidsongeval, ongeval van en naar het werk of een beroepsziekte;</w:t>
      </w:r>
    </w:p>
    <w:p w14:paraId="7A2DF843" w14:textId="48DADB75" w:rsidR="00577DF1" w:rsidRPr="00093EDC" w:rsidRDefault="00577DF1" w:rsidP="009D4C40">
      <w:pPr>
        <w:pStyle w:val="Lijstalinea"/>
        <w:numPr>
          <w:ilvl w:val="0"/>
          <w:numId w:val="86"/>
        </w:numPr>
        <w:spacing w:before="0" w:after="160" w:line="259" w:lineRule="auto"/>
        <w:jc w:val="left"/>
        <w:rPr>
          <w:rFonts w:eastAsia="Calibri" w:cs="Arial"/>
          <w:kern w:val="2"/>
          <w:lang w:val="nl-BE" w:eastAsia="en-US"/>
          <w14:ligatures w14:val="standardContextual"/>
        </w:rPr>
      </w:pPr>
      <w:r w:rsidRPr="00093EDC">
        <w:rPr>
          <w:rFonts w:eastAsia="Calibri" w:cs="Arial"/>
          <w:kern w:val="2"/>
          <w:lang w:val="nl-BE" w:eastAsia="en-US"/>
          <w14:ligatures w14:val="standardContextual"/>
        </w:rPr>
        <w:t>een periode van disponibiliteit beperkt tot 12 maanden (ononderbroken);</w:t>
      </w:r>
    </w:p>
    <w:p w14:paraId="509A0E29" w14:textId="212465F2" w:rsidR="00577DF1" w:rsidRPr="00093EDC" w:rsidRDefault="00577DF1" w:rsidP="009D4C40">
      <w:pPr>
        <w:pStyle w:val="Lijstalinea"/>
        <w:numPr>
          <w:ilvl w:val="0"/>
          <w:numId w:val="86"/>
        </w:numPr>
        <w:spacing w:before="0" w:after="160" w:line="259" w:lineRule="auto"/>
        <w:jc w:val="left"/>
        <w:rPr>
          <w:rFonts w:eastAsia="Calibri" w:cs="Arial"/>
          <w:kern w:val="2"/>
          <w:lang w:val="nl-BE" w:eastAsia="en-US"/>
          <w14:ligatures w14:val="standardContextual"/>
        </w:rPr>
      </w:pPr>
      <w:r w:rsidRPr="00093EDC">
        <w:rPr>
          <w:rFonts w:eastAsia="Calibri" w:cs="Arial"/>
          <w:kern w:val="2"/>
          <w:lang w:val="nl-BE" w:eastAsia="en-US"/>
          <w14:ligatures w14:val="standardContextual"/>
        </w:rPr>
        <w:t>een periode van adoptieverlof;</w:t>
      </w:r>
    </w:p>
    <w:p w14:paraId="411E236B" w14:textId="2DCDA3E5" w:rsidR="00577DF1" w:rsidRPr="00093EDC" w:rsidRDefault="00577DF1" w:rsidP="009D4C40">
      <w:pPr>
        <w:pStyle w:val="Lijstalinea"/>
        <w:numPr>
          <w:ilvl w:val="0"/>
          <w:numId w:val="86"/>
        </w:numPr>
        <w:spacing w:before="0" w:after="160" w:line="259" w:lineRule="auto"/>
        <w:jc w:val="left"/>
        <w:rPr>
          <w:rFonts w:eastAsia="Calibri" w:cs="Arial"/>
          <w:kern w:val="2"/>
          <w:lang w:val="nl-BE" w:eastAsia="en-US"/>
          <w14:ligatures w14:val="standardContextual"/>
        </w:rPr>
      </w:pPr>
      <w:r w:rsidRPr="00093EDC">
        <w:rPr>
          <w:rFonts w:eastAsia="Calibri" w:cs="Arial"/>
          <w:kern w:val="2"/>
          <w:lang w:val="nl-BE" w:eastAsia="en-US"/>
          <w14:ligatures w14:val="standardContextual"/>
        </w:rPr>
        <w:t>een periode van pleegzorgverlof;</w:t>
      </w:r>
    </w:p>
    <w:p w14:paraId="3C41A89F" w14:textId="4194FEF1" w:rsidR="00577DF1" w:rsidRPr="00093EDC" w:rsidRDefault="00577DF1" w:rsidP="009D4C40">
      <w:pPr>
        <w:pStyle w:val="Lijstalinea"/>
        <w:numPr>
          <w:ilvl w:val="0"/>
          <w:numId w:val="86"/>
        </w:numPr>
        <w:spacing w:before="0" w:after="160" w:line="259" w:lineRule="auto"/>
        <w:jc w:val="left"/>
        <w:rPr>
          <w:rFonts w:eastAsia="Calibri" w:cs="Arial"/>
          <w:kern w:val="2"/>
          <w:lang w:val="nl-BE" w:eastAsia="en-US"/>
          <w14:ligatures w14:val="standardContextual"/>
        </w:rPr>
      </w:pPr>
      <w:r w:rsidRPr="00093EDC">
        <w:rPr>
          <w:rFonts w:eastAsia="Calibri" w:cs="Arial"/>
          <w:kern w:val="2"/>
          <w:lang w:val="nl-BE" w:eastAsia="en-US"/>
          <w14:ligatures w14:val="standardContextual"/>
        </w:rPr>
        <w:t>een periode van pleegouderverlof;</w:t>
      </w:r>
    </w:p>
    <w:p w14:paraId="3DEEB30E" w14:textId="71FAF45C" w:rsidR="00577DF1" w:rsidRPr="00093EDC" w:rsidRDefault="00577DF1" w:rsidP="009D4C40">
      <w:pPr>
        <w:pStyle w:val="Lijstalinea"/>
        <w:numPr>
          <w:ilvl w:val="0"/>
          <w:numId w:val="86"/>
        </w:numPr>
        <w:spacing w:before="0" w:after="160" w:line="259" w:lineRule="auto"/>
        <w:jc w:val="left"/>
        <w:rPr>
          <w:rFonts w:eastAsia="Calibri" w:cs="Arial"/>
          <w:kern w:val="2"/>
          <w:lang w:val="nl-BE" w:eastAsia="en-US"/>
          <w14:ligatures w14:val="standardContextual"/>
        </w:rPr>
      </w:pPr>
      <w:r w:rsidRPr="00093EDC">
        <w:rPr>
          <w:rFonts w:eastAsia="Calibri" w:cs="Arial"/>
          <w:kern w:val="2"/>
          <w:lang w:val="nl-BE" w:eastAsia="en-US"/>
          <w14:ligatures w14:val="standardContextual"/>
        </w:rPr>
        <w:t>een periode van omstandigheidsverlof naar aanleiding van een familiale gebeurtenis;</w:t>
      </w:r>
    </w:p>
    <w:p w14:paraId="0957EB05" w14:textId="7DABFE65" w:rsidR="00577DF1" w:rsidRPr="00093EDC" w:rsidRDefault="00577DF1" w:rsidP="009D4C40">
      <w:pPr>
        <w:pStyle w:val="Lijstalinea"/>
        <w:numPr>
          <w:ilvl w:val="0"/>
          <w:numId w:val="86"/>
        </w:numPr>
        <w:spacing w:before="0" w:after="160" w:line="259" w:lineRule="auto"/>
        <w:jc w:val="left"/>
        <w:rPr>
          <w:rFonts w:eastAsia="Calibri" w:cs="Arial"/>
          <w:kern w:val="2"/>
          <w:lang w:val="nl-BE" w:eastAsia="en-US"/>
          <w14:ligatures w14:val="standardContextual"/>
        </w:rPr>
      </w:pPr>
      <w:r w:rsidRPr="00093EDC">
        <w:rPr>
          <w:rFonts w:eastAsia="Calibri" w:cs="Arial"/>
          <w:kern w:val="2"/>
          <w:lang w:val="nl-BE" w:eastAsia="en-US"/>
          <w14:ligatures w14:val="standardContextual"/>
        </w:rPr>
        <w:t>een periode met recht op een uitkering in het kader van de ziekte- en invaliditeitsverzekering die een ander uitkering is dan de uitkering vermeld in punt 9°;</w:t>
      </w:r>
    </w:p>
    <w:p w14:paraId="0CDFC482" w14:textId="618A54AB" w:rsidR="00577DF1" w:rsidRPr="00093EDC" w:rsidRDefault="00577DF1" w:rsidP="009D4C40">
      <w:pPr>
        <w:pStyle w:val="Lijstalinea"/>
        <w:numPr>
          <w:ilvl w:val="0"/>
          <w:numId w:val="86"/>
        </w:numPr>
        <w:spacing w:before="0" w:after="160" w:line="259" w:lineRule="auto"/>
        <w:jc w:val="left"/>
        <w:rPr>
          <w:rFonts w:eastAsia="Calibri" w:cs="Arial"/>
          <w:kern w:val="2"/>
          <w:lang w:val="nl-BE" w:eastAsia="en-US"/>
          <w14:ligatures w14:val="standardContextual"/>
        </w:rPr>
      </w:pPr>
      <w:r w:rsidRPr="00093EDC">
        <w:rPr>
          <w:rFonts w:eastAsia="Calibri" w:cs="Arial"/>
          <w:kern w:val="2"/>
          <w:lang w:val="nl-BE" w:eastAsia="en-US"/>
          <w14:ligatures w14:val="standardContextual"/>
        </w:rPr>
        <w:t>een periode van ziekte of ongeval privéleven met recht op een uitkering in het kader van de verplichte ziekte- en invaliditeitsuitkering beperkt tot 12 maanden (ononderbroken);</w:t>
      </w:r>
    </w:p>
    <w:p w14:paraId="7F8270B6" w14:textId="0BD4938F" w:rsidR="00577DF1" w:rsidRPr="00093EDC" w:rsidRDefault="00577DF1" w:rsidP="009D4C40">
      <w:pPr>
        <w:pStyle w:val="Lijstalinea"/>
        <w:numPr>
          <w:ilvl w:val="0"/>
          <w:numId w:val="86"/>
        </w:numPr>
        <w:spacing w:before="0" w:after="160" w:line="259" w:lineRule="auto"/>
        <w:jc w:val="left"/>
        <w:rPr>
          <w:rFonts w:eastAsia="Calibri" w:cs="Arial"/>
          <w:kern w:val="2"/>
          <w:lang w:val="nl-BE" w:eastAsia="en-US"/>
          <w14:ligatures w14:val="standardContextual"/>
        </w:rPr>
      </w:pPr>
      <w:r w:rsidRPr="00093EDC">
        <w:rPr>
          <w:rFonts w:eastAsia="Calibri" w:cs="Arial"/>
          <w:kern w:val="2"/>
          <w:lang w:val="nl-BE" w:eastAsia="en-US"/>
          <w14:ligatures w14:val="standardContextual"/>
        </w:rPr>
        <w:t>een afwezigheid wegens militaire dienst die geen volledige kalendermaand beslaat.</w:t>
      </w:r>
    </w:p>
    <w:p w14:paraId="6BCE49D4" w14:textId="77777777" w:rsidR="00577DF1" w:rsidRPr="00577DF1" w:rsidRDefault="00577DF1" w:rsidP="00577DF1">
      <w:pPr>
        <w:spacing w:before="0" w:after="160" w:line="259" w:lineRule="auto"/>
        <w:ind w:left="0"/>
        <w:jc w:val="left"/>
        <w:rPr>
          <w:rFonts w:eastAsia="Calibri" w:cs="Arial"/>
          <w:kern w:val="2"/>
          <w:lang w:val="nl-BE" w:eastAsia="en-US"/>
          <w14:ligatures w14:val="standardContextual"/>
        </w:rPr>
      </w:pPr>
      <w:r w:rsidRPr="00577DF1">
        <w:rPr>
          <w:rFonts w:eastAsia="Calibri" w:cs="Arial"/>
          <w:kern w:val="2"/>
          <w:lang w:val="nl-BE" w:eastAsia="en-US"/>
          <w14:ligatures w14:val="standardContextual"/>
        </w:rPr>
        <w:t>§2. Om het bedrag van het vakantiegeld publiek stelsel te berekenen, komt de periode vanaf 1 januari van het referentiejaar tot de dag die voorafgaat aan de datum van de indiensttreding als personeelslid, ook in aanmerking als de volgende voorwaarden zijn vervuld:</w:t>
      </w:r>
    </w:p>
    <w:p w14:paraId="63F33EE7" w14:textId="044CB3D9" w:rsidR="00577DF1" w:rsidRPr="00093EDC" w:rsidRDefault="00577DF1" w:rsidP="009D4C40">
      <w:pPr>
        <w:pStyle w:val="Lijstalinea"/>
        <w:numPr>
          <w:ilvl w:val="0"/>
          <w:numId w:val="87"/>
        </w:numPr>
        <w:spacing w:before="0" w:after="160" w:line="259" w:lineRule="auto"/>
        <w:jc w:val="left"/>
        <w:rPr>
          <w:rFonts w:eastAsia="Calibri" w:cs="Arial"/>
          <w:kern w:val="2"/>
          <w:lang w:val="nl-BE" w:eastAsia="en-US"/>
          <w14:ligatures w14:val="standardContextual"/>
        </w:rPr>
      </w:pPr>
      <w:r w:rsidRPr="00093EDC">
        <w:rPr>
          <w:rFonts w:eastAsia="Calibri" w:cs="Arial"/>
          <w:kern w:val="2"/>
          <w:lang w:val="nl-BE" w:eastAsia="en-US"/>
          <w14:ligatures w14:val="standardContextual"/>
        </w:rPr>
        <w:t>het personeelslid is jonger dan 25 jaar op het einde van het referentiejaar;</w:t>
      </w:r>
    </w:p>
    <w:p w14:paraId="66244400" w14:textId="6EB3E14A" w:rsidR="00093EDC" w:rsidRDefault="00577DF1" w:rsidP="009D4C40">
      <w:pPr>
        <w:pStyle w:val="Lijstalinea"/>
        <w:numPr>
          <w:ilvl w:val="0"/>
          <w:numId w:val="87"/>
        </w:numPr>
        <w:spacing w:before="0" w:after="160" w:line="259" w:lineRule="auto"/>
        <w:jc w:val="left"/>
        <w:rPr>
          <w:rFonts w:eastAsia="Calibri" w:cs="Arial"/>
          <w:kern w:val="2"/>
          <w:lang w:val="nl-BE" w:eastAsia="en-US"/>
          <w14:ligatures w14:val="standardContextual"/>
        </w:rPr>
      </w:pPr>
      <w:r w:rsidRPr="00093EDC">
        <w:rPr>
          <w:rFonts w:eastAsia="Calibri" w:cs="Arial"/>
          <w:kern w:val="2"/>
          <w:lang w:val="nl-BE" w:eastAsia="en-US"/>
          <w14:ligatures w14:val="standardContextual"/>
        </w:rPr>
        <w:t>het personeelslid is uiterlijk in dienst getreden op de laatste dag van de vierde maand die volgt na de maand waarin het personeelslid een studie die recht geeft op kinderbijslag heeft beëindigd, of de maand waarin het personeelslid een leerovereenkomst heeft beëindigd.</w:t>
      </w:r>
    </w:p>
    <w:p w14:paraId="0D776321" w14:textId="05CED5A1" w:rsidR="003A11FB" w:rsidRPr="00037A46" w:rsidRDefault="003A11FB" w:rsidP="005C3822">
      <w:pPr>
        <w:pStyle w:val="Kop3"/>
      </w:pPr>
      <w:bookmarkStart w:id="183" w:name="_Toc110948199"/>
      <w:bookmarkStart w:id="184" w:name="_Toc215739009"/>
      <w:bookmarkEnd w:id="182"/>
      <w:r w:rsidRPr="00037A46">
        <w:t xml:space="preserve">Afdeling 3. de </w:t>
      </w:r>
      <w:proofErr w:type="spellStart"/>
      <w:r w:rsidRPr="00037A46">
        <w:t>eindejaarstoelage</w:t>
      </w:r>
      <w:bookmarkEnd w:id="183"/>
      <w:bookmarkEnd w:id="184"/>
      <w:proofErr w:type="spellEnd"/>
    </w:p>
    <w:p w14:paraId="382298A5" w14:textId="714852BA" w:rsidR="003A11FB" w:rsidRPr="00037A46" w:rsidRDefault="00F43E03" w:rsidP="003A11FB">
      <w:pPr>
        <w:pStyle w:val="Kop5"/>
      </w:pPr>
      <w:r w:rsidRPr="00037A46">
        <w:t>Art</w:t>
      </w:r>
      <w:r w:rsidRPr="00FC3C9E">
        <w:t xml:space="preserve">ikel </w:t>
      </w:r>
      <w:r w:rsidR="006763C7" w:rsidRPr="00FC3C9E">
        <w:t>12</w:t>
      </w:r>
      <w:r w:rsidR="008C18B6" w:rsidRPr="00FC3C9E">
        <w:t>7</w:t>
      </w:r>
    </w:p>
    <w:p w14:paraId="2246B980" w14:textId="77777777" w:rsidR="003A11FB" w:rsidRPr="00037A46" w:rsidRDefault="003A11FB" w:rsidP="003A11FB">
      <w:pPr>
        <w:pStyle w:val="StandaardUitvullen"/>
      </w:pPr>
      <w:r w:rsidRPr="00037A46">
        <w:t>In deze afdeling wordt verstaan onder:</w:t>
      </w:r>
    </w:p>
    <w:p w14:paraId="0E4728E3" w14:textId="77777777" w:rsidR="003A11FB" w:rsidRPr="00037A46" w:rsidRDefault="003A11FB" w:rsidP="00E80C0C">
      <w:pPr>
        <w:pStyle w:val="StandaardUitvullen"/>
        <w:numPr>
          <w:ilvl w:val="0"/>
          <w:numId w:val="7"/>
        </w:numPr>
      </w:pPr>
      <w:r w:rsidRPr="00037A46">
        <w:t>referentieperiode: de periode van 1 januari tot en met 30 september van het in aanmerking te nemen jaar;</w:t>
      </w:r>
    </w:p>
    <w:p w14:paraId="5AF84795" w14:textId="77777777" w:rsidR="003A11FB" w:rsidRPr="00037A46" w:rsidRDefault="003A11FB" w:rsidP="00E80C0C">
      <w:pPr>
        <w:pStyle w:val="StandaardUitvullen"/>
        <w:numPr>
          <w:ilvl w:val="0"/>
          <w:numId w:val="7"/>
        </w:numPr>
      </w:pPr>
      <w:r w:rsidRPr="00037A46">
        <w:t>jaarsalaris: het salaris op jaarbasis of, in voorkomend geval, het wachtgeld of de uitkering, uitbetaald in plaats van een salaris, eventueel aangevuld met de haard- of standplaatstoelage of de gegarandeerde salarisverhoging na bevordering</w:t>
      </w:r>
      <w:r w:rsidR="00AE2051" w:rsidRPr="00037A46">
        <w:t>/aanwerving</w:t>
      </w:r>
      <w:r w:rsidRPr="00037A46">
        <w:t>.</w:t>
      </w:r>
    </w:p>
    <w:p w14:paraId="01DF0509" w14:textId="0B6205DB" w:rsidR="003A11FB" w:rsidRPr="00037A46" w:rsidRDefault="00F43E03" w:rsidP="003A11FB">
      <w:pPr>
        <w:pStyle w:val="Kop5"/>
      </w:pPr>
      <w:r w:rsidRPr="00037A46">
        <w:t xml:space="preserve">Artikel </w:t>
      </w:r>
      <w:r w:rsidR="006763C7">
        <w:t>12</w:t>
      </w:r>
      <w:r w:rsidR="008C18B6">
        <w:t>8</w:t>
      </w:r>
    </w:p>
    <w:p w14:paraId="6302B518" w14:textId="77777777" w:rsidR="00184343" w:rsidRPr="00FD7E2F" w:rsidRDefault="00184343" w:rsidP="00184343">
      <w:pPr>
        <w:pStyle w:val="StandaardUitvullen"/>
        <w:ind w:left="0"/>
        <w:rPr>
          <w:rFonts w:cs="Arial"/>
        </w:rPr>
      </w:pPr>
      <w:r w:rsidRPr="00FD7E2F">
        <w:rPr>
          <w:rFonts w:cs="Arial"/>
        </w:rPr>
        <w:lastRenderedPageBreak/>
        <w:t xml:space="preserve">§1. Het personeelslid ontvangt jaarlijks een </w:t>
      </w:r>
      <w:proofErr w:type="spellStart"/>
      <w:r w:rsidRPr="00FD7E2F">
        <w:rPr>
          <w:rFonts w:cs="Arial"/>
        </w:rPr>
        <w:t>eindejaarstoelage</w:t>
      </w:r>
      <w:proofErr w:type="spellEnd"/>
      <w:r w:rsidRPr="00FD7E2F">
        <w:rPr>
          <w:rFonts w:cs="Arial"/>
        </w:rPr>
        <w:t>.</w:t>
      </w:r>
    </w:p>
    <w:p w14:paraId="79EA3E1F" w14:textId="77777777" w:rsidR="00184343" w:rsidRPr="00FD7E2F" w:rsidRDefault="00184343" w:rsidP="00184343">
      <w:pPr>
        <w:pStyle w:val="StandaardUitvullen"/>
        <w:ind w:left="0"/>
        <w:rPr>
          <w:rFonts w:cs="Arial"/>
        </w:rPr>
      </w:pPr>
      <w:r w:rsidRPr="00FD7E2F">
        <w:rPr>
          <w:rFonts w:cs="Arial"/>
        </w:rPr>
        <w:t xml:space="preserve">§2. De </w:t>
      </w:r>
      <w:proofErr w:type="spellStart"/>
      <w:r w:rsidRPr="00FD7E2F">
        <w:rPr>
          <w:rFonts w:cs="Arial"/>
        </w:rPr>
        <w:t>eindejaarstoelage</w:t>
      </w:r>
      <w:proofErr w:type="spellEnd"/>
      <w:r w:rsidRPr="00FD7E2F">
        <w:rPr>
          <w:rFonts w:cs="Arial"/>
        </w:rPr>
        <w:t xml:space="preserve"> wordt uiterlijk tijdens de maand december van het in aanmerking te nemen jaar in één keer uitbetaald.</w:t>
      </w:r>
    </w:p>
    <w:p w14:paraId="3AA83B96" w14:textId="17A0211B" w:rsidR="00184343" w:rsidRPr="00FD7E2F" w:rsidRDefault="00184343" w:rsidP="00D53CA3">
      <w:pPr>
        <w:pStyle w:val="StandaardUitvullen"/>
        <w:ind w:left="0"/>
        <w:rPr>
          <w:rFonts w:cs="Arial"/>
        </w:rPr>
      </w:pPr>
      <w:r w:rsidRPr="00FD7E2F">
        <w:rPr>
          <w:rFonts w:cs="Arial"/>
        </w:rPr>
        <w:t xml:space="preserve">§3. Voor de titularis van een functie met onvolledige prestaties wordt het bedrag van de </w:t>
      </w:r>
      <w:proofErr w:type="spellStart"/>
      <w:r w:rsidRPr="00FD7E2F">
        <w:rPr>
          <w:rFonts w:cs="Arial"/>
        </w:rPr>
        <w:t>eindejaarstoelage</w:t>
      </w:r>
      <w:proofErr w:type="spellEnd"/>
      <w:r w:rsidRPr="00FD7E2F">
        <w:rPr>
          <w:rFonts w:cs="Arial"/>
        </w:rPr>
        <w:t xml:space="preserve"> verminderd in verhouding tot de geleverde prestaties.</w:t>
      </w:r>
    </w:p>
    <w:p w14:paraId="5F05B7FD" w14:textId="473B4F13" w:rsidR="003A11FB" w:rsidRPr="00037A46" w:rsidRDefault="00F43E03" w:rsidP="003A11FB">
      <w:pPr>
        <w:pStyle w:val="Kop5"/>
      </w:pPr>
      <w:r w:rsidRPr="00037A46">
        <w:t>Artike</w:t>
      </w:r>
      <w:r w:rsidRPr="00FD7E2F">
        <w:t xml:space="preserve">l </w:t>
      </w:r>
      <w:r w:rsidR="006763C7" w:rsidRPr="00FD7E2F">
        <w:t>12</w:t>
      </w:r>
      <w:r w:rsidR="008C18B6" w:rsidRPr="00FD7E2F">
        <w:t>9</w:t>
      </w:r>
    </w:p>
    <w:p w14:paraId="79706017" w14:textId="15D92EBE" w:rsidR="00AE2051" w:rsidRPr="00FD7E2F" w:rsidRDefault="001B6732" w:rsidP="00D53CA3">
      <w:pPr>
        <w:pStyle w:val="StandaardUitvullen"/>
        <w:ind w:left="0"/>
        <w:rPr>
          <w:bCs/>
        </w:rPr>
      </w:pPr>
      <w:r w:rsidRPr="00FD7E2F">
        <w:rPr>
          <w:bCs/>
        </w:rPr>
        <w:t>§1</w:t>
      </w:r>
      <w:r w:rsidR="00FD7E2F" w:rsidRPr="00FD7E2F">
        <w:rPr>
          <w:bCs/>
        </w:rPr>
        <w:t>.</w:t>
      </w:r>
      <w:r w:rsidRPr="00FD7E2F">
        <w:rPr>
          <w:bCs/>
        </w:rPr>
        <w:t xml:space="preserve"> </w:t>
      </w:r>
      <w:r w:rsidR="00AE2051" w:rsidRPr="00FD7E2F">
        <w:rPr>
          <w:bCs/>
        </w:rPr>
        <w:t xml:space="preserve">Het bedrag van de </w:t>
      </w:r>
      <w:proofErr w:type="spellStart"/>
      <w:r w:rsidR="00AE2051" w:rsidRPr="00FD7E2F">
        <w:rPr>
          <w:bCs/>
        </w:rPr>
        <w:t>eindejaarstoelage</w:t>
      </w:r>
      <w:proofErr w:type="spellEnd"/>
      <w:r w:rsidR="00AE2051" w:rsidRPr="00FD7E2F">
        <w:rPr>
          <w:bCs/>
        </w:rPr>
        <w:t xml:space="preserve"> is de som van het forfaitaire gedeelte en het veranderlijke gedeelte, aangepast volgens de indexverhogingscoëfficiënt die van toepassing is op het salaris van de maand oktober van het in aanmerking te nemen jaar.</w:t>
      </w:r>
    </w:p>
    <w:p w14:paraId="672343DF" w14:textId="77777777" w:rsidR="00AE2051" w:rsidRPr="00FD7E2F" w:rsidRDefault="00AE2051" w:rsidP="00D53CA3">
      <w:pPr>
        <w:pStyle w:val="StandaardUitvullen"/>
        <w:ind w:left="0"/>
        <w:rPr>
          <w:bCs/>
        </w:rPr>
      </w:pPr>
      <w:r w:rsidRPr="00FD7E2F">
        <w:rPr>
          <w:bCs/>
        </w:rPr>
        <w:t>Het forfaitaire gedeelte en het veranderlijke gedeelte worden als volgt berekend:</w:t>
      </w:r>
    </w:p>
    <w:p w14:paraId="4EEFA30B" w14:textId="77777777" w:rsidR="00AE2051" w:rsidRPr="00FD7E2F" w:rsidRDefault="00AE2051" w:rsidP="00AE2051">
      <w:pPr>
        <w:pStyle w:val="StandaardUitvullen"/>
        <w:rPr>
          <w:bCs/>
        </w:rPr>
      </w:pPr>
      <w:r w:rsidRPr="00FD7E2F">
        <w:rPr>
          <w:bCs/>
        </w:rPr>
        <w:t>1</w:t>
      </w:r>
      <w:r w:rsidR="00C15D1A" w:rsidRPr="00FD7E2F">
        <w:rPr>
          <w:bCs/>
        </w:rPr>
        <w:t>.</w:t>
      </w:r>
      <w:r w:rsidRPr="00FD7E2F">
        <w:rPr>
          <w:bCs/>
        </w:rPr>
        <w:t xml:space="preserve"> het forfaitaire gedeelte:</w:t>
      </w:r>
    </w:p>
    <w:p w14:paraId="1A237BFE" w14:textId="77777777" w:rsidR="00446D33" w:rsidRPr="00FD7E2F" w:rsidRDefault="00446D33" w:rsidP="00D53CA3">
      <w:pPr>
        <w:pStyle w:val="StandaardUitvullen"/>
        <w:ind w:left="0"/>
        <w:rPr>
          <w:bCs/>
        </w:rPr>
      </w:pPr>
      <w:r w:rsidRPr="00FD7E2F">
        <w:rPr>
          <w:bCs/>
        </w:rPr>
        <w:t>Het forfaitaire gedeelte bedraagt sinds 2021 399,34 euro en wordt jaarlijks vermeerderd met een breuk waarvan de noemer gelijk is aan het afgevlakte gezondheidsindexcijfer van de maand oktober van het vorige jaar en de teller gelijk is aan het afgevlakte gezondheidsindexcijfer van de maand oktober van het in aanmerking te nemen jaar. Het resultaat van die berekening wordt berekend tot op twee decimalen nauwkeurig en wordt verhoogd met 898,74 euro;</w:t>
      </w:r>
    </w:p>
    <w:p w14:paraId="56286CEB" w14:textId="77777777" w:rsidR="00AE2051" w:rsidRPr="00FD7E2F" w:rsidRDefault="00AE2051" w:rsidP="00A84227">
      <w:pPr>
        <w:pStyle w:val="StandaardUitvullen"/>
        <w:rPr>
          <w:bCs/>
        </w:rPr>
      </w:pPr>
      <w:r w:rsidRPr="00FD7E2F">
        <w:rPr>
          <w:bCs/>
        </w:rPr>
        <w:t>2</w:t>
      </w:r>
      <w:r w:rsidR="00C15D1A" w:rsidRPr="00FD7E2F">
        <w:rPr>
          <w:bCs/>
        </w:rPr>
        <w:t>.</w:t>
      </w:r>
      <w:r w:rsidRPr="00FD7E2F">
        <w:rPr>
          <w:bCs/>
        </w:rPr>
        <w:t xml:space="preserve"> het veranderlijke gedeelte:</w:t>
      </w:r>
    </w:p>
    <w:p w14:paraId="67E74F3B" w14:textId="77777777" w:rsidR="003A11FB" w:rsidRPr="00FD7E2F" w:rsidRDefault="00481835" w:rsidP="00D53CA3">
      <w:pPr>
        <w:pStyle w:val="StandaardUitvullen"/>
        <w:ind w:left="0"/>
        <w:rPr>
          <w:bCs/>
        </w:rPr>
      </w:pPr>
      <w:r w:rsidRPr="00FD7E2F">
        <w:rPr>
          <w:bCs/>
        </w:rPr>
        <w:t>3,6</w:t>
      </w:r>
      <w:r w:rsidR="00FF5A6D" w:rsidRPr="00FD7E2F">
        <w:rPr>
          <w:bCs/>
        </w:rPr>
        <w:t>%</w:t>
      </w:r>
      <w:r w:rsidR="00AE2051" w:rsidRPr="00FD7E2F">
        <w:rPr>
          <w:bCs/>
        </w:rPr>
        <w:t xml:space="preserve"> van het jaarsalaris, aangepast volgens de indexverhogingscoëfficiënt die van toepassing is op het salaris van de maand oktober van het in aanmerking te nemen jaar. Als het personeelslid in de maand oktober van het in aanmerking te nemen jaar geen of slechts een gedeeltelijk salaris ontvangen heeft, dan wordt het percentage berekend op basis van het salaris dat voor diezelfde maand betaald zou zijn als het personeelslid zijn functie wel volledig had uitgeoefend.</w:t>
      </w:r>
    </w:p>
    <w:p w14:paraId="79283551" w14:textId="66B6330F" w:rsidR="001B6732" w:rsidRPr="00FD7E2F" w:rsidRDefault="001B6732" w:rsidP="00D53CA3">
      <w:pPr>
        <w:pStyle w:val="StandaardUitvullen"/>
        <w:ind w:left="0"/>
        <w:rPr>
          <w:rFonts w:cs="Arial"/>
          <w:bCs/>
        </w:rPr>
      </w:pPr>
      <w:r w:rsidRPr="00FD7E2F">
        <w:rPr>
          <w:rFonts w:cs="Arial"/>
          <w:bCs/>
        </w:rPr>
        <w:t>§2</w:t>
      </w:r>
      <w:r w:rsidR="00FD7E2F" w:rsidRPr="00FD7E2F">
        <w:rPr>
          <w:rFonts w:cs="Arial"/>
          <w:bCs/>
        </w:rPr>
        <w:t>.</w:t>
      </w:r>
      <w:r w:rsidR="001273D0" w:rsidRPr="00FD7E2F">
        <w:rPr>
          <w:rFonts w:cs="Arial"/>
          <w:bCs/>
        </w:rPr>
        <w:t xml:space="preserve"> </w:t>
      </w:r>
      <w:r w:rsidRPr="00FD7E2F">
        <w:rPr>
          <w:rFonts w:cs="Arial"/>
          <w:bCs/>
        </w:rPr>
        <w:t xml:space="preserve">De </w:t>
      </w:r>
      <w:r w:rsidR="00EC36BA" w:rsidRPr="00FD7E2F">
        <w:rPr>
          <w:rFonts w:cs="Arial"/>
          <w:bCs/>
        </w:rPr>
        <w:t>a</w:t>
      </w:r>
      <w:r w:rsidRPr="00FD7E2F">
        <w:rPr>
          <w:rFonts w:cs="Arial"/>
          <w:bCs/>
        </w:rPr>
        <w:t xml:space="preserve">ttractiviteitspremie </w:t>
      </w:r>
      <w:r w:rsidR="00BB5E19" w:rsidRPr="00FD7E2F">
        <w:rPr>
          <w:rFonts w:cs="Arial"/>
          <w:bCs/>
        </w:rPr>
        <w:t>t</w:t>
      </w:r>
      <w:r w:rsidRPr="00FD7E2F">
        <w:rPr>
          <w:rFonts w:cs="Arial"/>
          <w:bCs/>
        </w:rPr>
        <w:t>oegekend in</w:t>
      </w:r>
      <w:r w:rsidR="00BB5E19" w:rsidRPr="00FD7E2F">
        <w:rPr>
          <w:rFonts w:cs="Arial"/>
          <w:bCs/>
        </w:rPr>
        <w:t xml:space="preserve"> </w:t>
      </w:r>
      <w:r w:rsidRPr="00FD7E2F">
        <w:rPr>
          <w:rFonts w:cs="Arial"/>
          <w:bCs/>
        </w:rPr>
        <w:t>overeenstemming met de onderrichtingen van de federale financierende overheid</w:t>
      </w:r>
      <w:r w:rsidR="00BB5E19" w:rsidRPr="00FD7E2F">
        <w:rPr>
          <w:rFonts w:cs="Arial"/>
          <w:bCs/>
        </w:rPr>
        <w:t xml:space="preserve"> wordt in mindering gebracht van</w:t>
      </w:r>
      <w:r w:rsidR="00DD4862" w:rsidRPr="00FD7E2F">
        <w:rPr>
          <w:rFonts w:cs="Arial"/>
          <w:bCs/>
        </w:rPr>
        <w:t xml:space="preserve"> het forfait</w:t>
      </w:r>
      <w:r w:rsidR="00BB5E19" w:rsidRPr="00FD7E2F">
        <w:rPr>
          <w:rFonts w:cs="Arial"/>
          <w:bCs/>
        </w:rPr>
        <w:t xml:space="preserve"> bovenvermelde berekeningswijze van de </w:t>
      </w:r>
      <w:proofErr w:type="spellStart"/>
      <w:r w:rsidR="00BB5E19" w:rsidRPr="00FD7E2F">
        <w:rPr>
          <w:rFonts w:cs="Arial"/>
          <w:bCs/>
        </w:rPr>
        <w:t>eindejaarstoelage</w:t>
      </w:r>
      <w:proofErr w:type="spellEnd"/>
      <w:r w:rsidR="00BB5E19" w:rsidRPr="00FD7E2F">
        <w:rPr>
          <w:rFonts w:cs="Arial"/>
          <w:bCs/>
        </w:rPr>
        <w:t>.</w:t>
      </w:r>
    </w:p>
    <w:p w14:paraId="3D7097C3" w14:textId="77777777" w:rsidR="00162FC0" w:rsidRPr="00162FC0" w:rsidRDefault="00162FC0" w:rsidP="00162FC0">
      <w:pPr>
        <w:pStyle w:val="StandaardUitvullen"/>
        <w:ind w:left="0"/>
        <w:rPr>
          <w:rFonts w:cs="Arial"/>
        </w:rPr>
      </w:pPr>
      <w:r w:rsidRPr="00FD7E2F">
        <w:rPr>
          <w:rFonts w:cs="Arial"/>
          <w:bCs/>
        </w:rPr>
        <w:t>§3.</w:t>
      </w:r>
      <w:r w:rsidRPr="00162FC0">
        <w:rPr>
          <w:rFonts w:cs="Arial"/>
        </w:rPr>
        <w:t xml:space="preserve"> Het bedrag van de </w:t>
      </w:r>
      <w:proofErr w:type="spellStart"/>
      <w:r w:rsidRPr="00162FC0">
        <w:rPr>
          <w:rFonts w:cs="Arial"/>
        </w:rPr>
        <w:t>eindejaarstoelage</w:t>
      </w:r>
      <w:proofErr w:type="spellEnd"/>
      <w:r w:rsidRPr="00162FC0">
        <w:rPr>
          <w:rFonts w:cs="Arial"/>
        </w:rPr>
        <w:t xml:space="preserve"> mag nooit meer bedragen dan 110% van een twaalfde van het jaarsalaris.</w:t>
      </w:r>
    </w:p>
    <w:p w14:paraId="00E57CA8" w14:textId="653B4272" w:rsidR="00162FC0" w:rsidRPr="00162FC0" w:rsidRDefault="00162FC0" w:rsidP="00162FC0">
      <w:pPr>
        <w:pStyle w:val="StandaardUitvullen"/>
        <w:ind w:left="0"/>
        <w:rPr>
          <w:rFonts w:cs="Arial"/>
          <w:b/>
          <w:bCs/>
        </w:rPr>
      </w:pPr>
      <w:r w:rsidRPr="00162FC0">
        <w:rPr>
          <w:rFonts w:cs="Arial"/>
          <w:b/>
          <w:bCs/>
        </w:rPr>
        <w:t xml:space="preserve">Artikel </w:t>
      </w:r>
      <w:r w:rsidR="006763C7">
        <w:rPr>
          <w:rFonts w:cs="Arial"/>
          <w:b/>
          <w:bCs/>
        </w:rPr>
        <w:t>130</w:t>
      </w:r>
    </w:p>
    <w:p w14:paraId="7EEBE9BB" w14:textId="77777777" w:rsidR="00162FC0" w:rsidRPr="00162FC0" w:rsidRDefault="00162FC0" w:rsidP="00162FC0">
      <w:pPr>
        <w:pStyle w:val="StandaardUitvullen"/>
        <w:ind w:left="0"/>
        <w:rPr>
          <w:rFonts w:cs="Arial"/>
        </w:rPr>
      </w:pPr>
      <w:r w:rsidRPr="00162FC0">
        <w:rPr>
          <w:rFonts w:cs="Arial"/>
        </w:rPr>
        <w:t xml:space="preserve">Volgende perioden komen in aanmerking voor de berekening van de </w:t>
      </w:r>
      <w:proofErr w:type="spellStart"/>
      <w:r w:rsidRPr="00162FC0">
        <w:rPr>
          <w:rFonts w:cs="Arial"/>
        </w:rPr>
        <w:t>eindejaarstoelage</w:t>
      </w:r>
      <w:proofErr w:type="spellEnd"/>
      <w:r w:rsidRPr="00162FC0">
        <w:rPr>
          <w:rFonts w:cs="Arial"/>
        </w:rPr>
        <w:t>:</w:t>
      </w:r>
    </w:p>
    <w:p w14:paraId="3B72ADAF" w14:textId="17923CE5" w:rsidR="00162FC0" w:rsidRPr="00162FC0" w:rsidRDefault="00162FC0" w:rsidP="009D4C40">
      <w:pPr>
        <w:pStyle w:val="StandaardUitvullen"/>
        <w:numPr>
          <w:ilvl w:val="0"/>
          <w:numId w:val="88"/>
        </w:numPr>
        <w:rPr>
          <w:rFonts w:cs="Arial"/>
        </w:rPr>
      </w:pPr>
      <w:r w:rsidRPr="00162FC0">
        <w:rPr>
          <w:rFonts w:cs="Arial"/>
        </w:rPr>
        <w:t>een periode van dienstactiviteit bij verlof of afwezigheid als ze op dat ogenblik het recht op salaris volledig of gedeeltelijk behouden;</w:t>
      </w:r>
    </w:p>
    <w:p w14:paraId="397DF69B" w14:textId="6036D4A3" w:rsidR="00162FC0" w:rsidRPr="00162FC0" w:rsidRDefault="00162FC0" w:rsidP="009D4C40">
      <w:pPr>
        <w:pStyle w:val="StandaardUitvullen"/>
        <w:numPr>
          <w:ilvl w:val="0"/>
          <w:numId w:val="88"/>
        </w:numPr>
        <w:rPr>
          <w:rFonts w:cs="Arial"/>
        </w:rPr>
      </w:pPr>
      <w:r w:rsidRPr="00162FC0">
        <w:rPr>
          <w:rFonts w:cs="Arial"/>
        </w:rPr>
        <w:t>een periode van arbeidsongeval, ongeval van en naar het werk of een beroepsziekte;</w:t>
      </w:r>
    </w:p>
    <w:p w14:paraId="306A5E98" w14:textId="32885AF1" w:rsidR="00162FC0" w:rsidRPr="00162FC0" w:rsidRDefault="00162FC0" w:rsidP="009D4C40">
      <w:pPr>
        <w:pStyle w:val="StandaardUitvullen"/>
        <w:numPr>
          <w:ilvl w:val="0"/>
          <w:numId w:val="88"/>
        </w:numPr>
        <w:rPr>
          <w:rFonts w:cs="Arial"/>
        </w:rPr>
      </w:pPr>
      <w:r w:rsidRPr="00162FC0">
        <w:rPr>
          <w:rFonts w:cs="Arial"/>
        </w:rPr>
        <w:t>een periode van disponibiliteit beperkt tot 12 maanden (ononderbroken);</w:t>
      </w:r>
    </w:p>
    <w:p w14:paraId="7BBBAF3A" w14:textId="34158E57" w:rsidR="00162FC0" w:rsidRPr="00162FC0" w:rsidRDefault="00162FC0" w:rsidP="009D4C40">
      <w:pPr>
        <w:pStyle w:val="StandaardUitvullen"/>
        <w:numPr>
          <w:ilvl w:val="0"/>
          <w:numId w:val="88"/>
        </w:numPr>
        <w:rPr>
          <w:rFonts w:cs="Arial"/>
        </w:rPr>
      </w:pPr>
      <w:r w:rsidRPr="00162FC0">
        <w:rPr>
          <w:rFonts w:cs="Arial"/>
        </w:rPr>
        <w:t>een periode van adoptieverlof;</w:t>
      </w:r>
    </w:p>
    <w:p w14:paraId="6A3E453F" w14:textId="3A0281B0" w:rsidR="00162FC0" w:rsidRPr="00162FC0" w:rsidRDefault="00162FC0" w:rsidP="009D4C40">
      <w:pPr>
        <w:pStyle w:val="StandaardUitvullen"/>
        <w:numPr>
          <w:ilvl w:val="0"/>
          <w:numId w:val="88"/>
        </w:numPr>
        <w:rPr>
          <w:rFonts w:cs="Arial"/>
        </w:rPr>
      </w:pPr>
      <w:r w:rsidRPr="00162FC0">
        <w:rPr>
          <w:rFonts w:cs="Arial"/>
        </w:rPr>
        <w:t>een periode van pleegzorgverlof;</w:t>
      </w:r>
    </w:p>
    <w:p w14:paraId="71F3616B" w14:textId="0D360DDD" w:rsidR="00162FC0" w:rsidRPr="00162FC0" w:rsidRDefault="00162FC0" w:rsidP="009D4C40">
      <w:pPr>
        <w:pStyle w:val="StandaardUitvullen"/>
        <w:numPr>
          <w:ilvl w:val="0"/>
          <w:numId w:val="88"/>
        </w:numPr>
        <w:rPr>
          <w:rFonts w:cs="Arial"/>
        </w:rPr>
      </w:pPr>
      <w:r w:rsidRPr="00162FC0">
        <w:rPr>
          <w:rFonts w:cs="Arial"/>
        </w:rPr>
        <w:t>een periode van pleegouderverlof;</w:t>
      </w:r>
    </w:p>
    <w:p w14:paraId="20ED366A" w14:textId="6DBE915A" w:rsidR="00162FC0" w:rsidRPr="00162FC0" w:rsidRDefault="00162FC0" w:rsidP="009D4C40">
      <w:pPr>
        <w:pStyle w:val="StandaardUitvullen"/>
        <w:numPr>
          <w:ilvl w:val="0"/>
          <w:numId w:val="88"/>
        </w:numPr>
        <w:rPr>
          <w:rFonts w:cs="Arial"/>
        </w:rPr>
      </w:pPr>
      <w:r w:rsidRPr="00162FC0">
        <w:rPr>
          <w:rFonts w:cs="Arial"/>
        </w:rPr>
        <w:t>een periode van omstandigheidsverlof naar aanleiding van een familiale gebeurtenis;</w:t>
      </w:r>
    </w:p>
    <w:p w14:paraId="474D53C1" w14:textId="42DB2122" w:rsidR="00162FC0" w:rsidRPr="00162FC0" w:rsidRDefault="00162FC0" w:rsidP="009D4C40">
      <w:pPr>
        <w:pStyle w:val="StandaardUitvullen"/>
        <w:numPr>
          <w:ilvl w:val="0"/>
          <w:numId w:val="88"/>
        </w:numPr>
        <w:rPr>
          <w:rFonts w:cs="Arial"/>
        </w:rPr>
      </w:pPr>
      <w:r w:rsidRPr="00162FC0">
        <w:rPr>
          <w:rFonts w:cs="Arial"/>
        </w:rPr>
        <w:t>een periode met recht op een uitkering in het kader van de ziekte- en invaliditeitsverzekering die een ander uitkering is dan de uitkering vermeld in punt 9°;</w:t>
      </w:r>
    </w:p>
    <w:p w14:paraId="59593F54" w14:textId="6B92DD81" w:rsidR="00162FC0" w:rsidRPr="00037A46" w:rsidRDefault="00162FC0" w:rsidP="009D4C40">
      <w:pPr>
        <w:pStyle w:val="StandaardUitvullen"/>
        <w:numPr>
          <w:ilvl w:val="0"/>
          <w:numId w:val="88"/>
        </w:numPr>
        <w:rPr>
          <w:rFonts w:cs="Arial"/>
        </w:rPr>
      </w:pPr>
      <w:r w:rsidRPr="00162FC0">
        <w:rPr>
          <w:rFonts w:cs="Arial"/>
        </w:rPr>
        <w:t>een periode van ziekte of ongeval privéleven met recht op een uitkering in het kader van de verplichte ziekte- en invaliditeitsuitkering beperkt tot 12 maanden (ononderbroken).</w:t>
      </w:r>
    </w:p>
    <w:p w14:paraId="0F6EA188" w14:textId="6D715344" w:rsidR="001B6732" w:rsidRPr="00037A46" w:rsidRDefault="001B6732" w:rsidP="001B6732">
      <w:pPr>
        <w:pStyle w:val="Kop3"/>
      </w:pPr>
      <w:bookmarkStart w:id="185" w:name="_Toc110948200"/>
      <w:bookmarkStart w:id="186" w:name="_Toc215739010"/>
      <w:r w:rsidRPr="001273D0">
        <w:lastRenderedPageBreak/>
        <w:t>Afdeling 4. de attractiviteitspremie</w:t>
      </w:r>
      <w:bookmarkEnd w:id="185"/>
      <w:bookmarkEnd w:id="186"/>
    </w:p>
    <w:p w14:paraId="223790C3" w14:textId="618C3B40" w:rsidR="00D2734C" w:rsidRPr="00037A46" w:rsidRDefault="00D2734C" w:rsidP="00D2734C">
      <w:pPr>
        <w:pStyle w:val="Kop5"/>
        <w:rPr>
          <w:b w:val="0"/>
        </w:rPr>
      </w:pPr>
      <w:r w:rsidRPr="00037A46">
        <w:t xml:space="preserve">Artikel </w:t>
      </w:r>
      <w:r w:rsidR="006763C7">
        <w:t>131</w:t>
      </w:r>
    </w:p>
    <w:p w14:paraId="48B93EB7" w14:textId="5286B835" w:rsidR="001B6732" w:rsidRPr="00FD7E2F" w:rsidRDefault="001B6732" w:rsidP="00677A80">
      <w:pPr>
        <w:pStyle w:val="StandaardUitvullen"/>
        <w:ind w:left="0"/>
        <w:rPr>
          <w:bCs/>
        </w:rPr>
      </w:pPr>
      <w:r w:rsidRPr="00FD7E2F">
        <w:rPr>
          <w:bCs/>
        </w:rPr>
        <w:t>§1</w:t>
      </w:r>
      <w:r w:rsidR="00FD7E2F" w:rsidRPr="00FD7E2F">
        <w:rPr>
          <w:bCs/>
        </w:rPr>
        <w:t>.</w:t>
      </w:r>
      <w:r w:rsidRPr="00FD7E2F">
        <w:rPr>
          <w:bCs/>
        </w:rPr>
        <w:t xml:space="preserve"> Dit artikel geeft uitvoering aan het punt 13 van het sociaal akkoord betreffende de federale gezondheidssectoren (publieke sector) van 18 juli 2005 en is enkel van toepassing op de personeelsleden zo</w:t>
      </w:r>
      <w:r w:rsidR="00F37F39" w:rsidRPr="00FD7E2F">
        <w:rPr>
          <w:bCs/>
        </w:rPr>
        <w:t xml:space="preserve">als bedoeld in artikel </w:t>
      </w:r>
      <w:r w:rsidR="00185E90" w:rsidRPr="00FD7E2F">
        <w:rPr>
          <w:bCs/>
        </w:rPr>
        <w:t>2</w:t>
      </w:r>
      <w:r w:rsidR="00F37F39" w:rsidRPr="00FD7E2F">
        <w:rPr>
          <w:bCs/>
        </w:rPr>
        <w:t>,</w:t>
      </w:r>
      <w:r w:rsidR="00D65225" w:rsidRPr="00FD7E2F">
        <w:rPr>
          <w:bCs/>
        </w:rPr>
        <w:t xml:space="preserve"> </w:t>
      </w:r>
      <w:r w:rsidR="00D65225" w:rsidRPr="00FD7E2F">
        <w:rPr>
          <w:rFonts w:eastAsia="Calibri" w:cs="Arial"/>
          <w:bCs/>
          <w:kern w:val="2"/>
          <w:lang w:val="nl-BE" w:eastAsia="en-US"/>
          <w14:ligatures w14:val="standardContextual"/>
        </w:rPr>
        <w:t>§2,</w:t>
      </w:r>
      <w:r w:rsidR="00F37F39" w:rsidRPr="00FD7E2F">
        <w:rPr>
          <w:bCs/>
        </w:rPr>
        <w:t xml:space="preserve"> punt </w:t>
      </w:r>
      <w:r w:rsidR="00D65225" w:rsidRPr="00FD7E2F">
        <w:rPr>
          <w:bCs/>
        </w:rPr>
        <w:t>1</w:t>
      </w:r>
      <w:r w:rsidR="00FC0B87" w:rsidRPr="00FD7E2F">
        <w:rPr>
          <w:bCs/>
        </w:rPr>
        <w:t xml:space="preserve"> van het woonzorgcentrum</w:t>
      </w:r>
      <w:r w:rsidRPr="00FD7E2F">
        <w:rPr>
          <w:bCs/>
        </w:rPr>
        <w:t>.</w:t>
      </w:r>
    </w:p>
    <w:p w14:paraId="05A7BCF7" w14:textId="0FCC3380" w:rsidR="001B6732" w:rsidRPr="00FD7E2F" w:rsidRDefault="001B6732" w:rsidP="00677A80">
      <w:pPr>
        <w:pStyle w:val="StandaardUitvullen"/>
        <w:ind w:left="0"/>
        <w:rPr>
          <w:bCs/>
        </w:rPr>
      </w:pPr>
      <w:r w:rsidRPr="00FD7E2F">
        <w:rPr>
          <w:bCs/>
        </w:rPr>
        <w:t>§2</w:t>
      </w:r>
      <w:r w:rsidR="00FD7E2F" w:rsidRPr="00FD7E2F">
        <w:rPr>
          <w:bCs/>
        </w:rPr>
        <w:t>.</w:t>
      </w:r>
      <w:r w:rsidRPr="00FD7E2F">
        <w:rPr>
          <w:bCs/>
        </w:rPr>
        <w:t xml:space="preserve"> Het bedrag van de attractiviteitspremie bestaat uit twee delen:</w:t>
      </w:r>
    </w:p>
    <w:p w14:paraId="0F08F1FA" w14:textId="699DD3EF" w:rsidR="001B6732" w:rsidRPr="00FD7E2F" w:rsidRDefault="001B6732" w:rsidP="009D4C40">
      <w:pPr>
        <w:pStyle w:val="StandaardUitvullen"/>
        <w:numPr>
          <w:ilvl w:val="0"/>
          <w:numId w:val="35"/>
        </w:numPr>
        <w:ind w:left="1418" w:hanging="284"/>
        <w:rPr>
          <w:bCs/>
        </w:rPr>
      </w:pPr>
      <w:r w:rsidRPr="00FD7E2F">
        <w:rPr>
          <w:bCs/>
        </w:rPr>
        <w:t>Het eerste deel heeft een waarde van 161,41 euro en wordt al toegekend onder de vorm van gelijkaardige rechten rekening houdend met de instructies van het gewestelijk toezicht</w:t>
      </w:r>
      <w:r w:rsidR="00827D99" w:rsidRPr="00FD7E2F">
        <w:rPr>
          <w:bCs/>
        </w:rPr>
        <w:t xml:space="preserve"> (verhoging </w:t>
      </w:r>
      <w:r w:rsidR="00B91ECD" w:rsidRPr="00FD7E2F">
        <w:rPr>
          <w:bCs/>
        </w:rPr>
        <w:t xml:space="preserve">vast bedrag </w:t>
      </w:r>
      <w:proofErr w:type="spellStart"/>
      <w:r w:rsidR="00827D99" w:rsidRPr="00FD7E2F">
        <w:rPr>
          <w:bCs/>
        </w:rPr>
        <w:t>eindejaarstoelage</w:t>
      </w:r>
      <w:proofErr w:type="spellEnd"/>
      <w:r w:rsidR="00827D99" w:rsidRPr="00FD7E2F">
        <w:rPr>
          <w:bCs/>
        </w:rPr>
        <w:t>)</w:t>
      </w:r>
      <w:r w:rsidRPr="00FD7E2F">
        <w:rPr>
          <w:bCs/>
        </w:rPr>
        <w:t>.</w:t>
      </w:r>
    </w:p>
    <w:p w14:paraId="6537B7AB" w14:textId="77777777" w:rsidR="001B6732" w:rsidRPr="00FD7E2F" w:rsidRDefault="001B6732" w:rsidP="009D4C40">
      <w:pPr>
        <w:pStyle w:val="StandaardUitvullen"/>
        <w:numPr>
          <w:ilvl w:val="0"/>
          <w:numId w:val="35"/>
        </w:numPr>
        <w:ind w:left="1418" w:hanging="284"/>
        <w:rPr>
          <w:bCs/>
        </w:rPr>
      </w:pPr>
      <w:r w:rsidRPr="00FD7E2F">
        <w:rPr>
          <w:bCs/>
        </w:rPr>
        <w:t>Het tweede deel bestaat uit een forfaitair complement van 480 euro.</w:t>
      </w:r>
    </w:p>
    <w:p w14:paraId="258E0FA3" w14:textId="77777777" w:rsidR="001B6732" w:rsidRPr="00FD7E2F" w:rsidRDefault="001B6732" w:rsidP="00677A80">
      <w:pPr>
        <w:pStyle w:val="StandaardUitvullen"/>
        <w:ind w:left="0"/>
        <w:rPr>
          <w:bCs/>
        </w:rPr>
      </w:pPr>
      <w:r w:rsidRPr="00FD7E2F">
        <w:rPr>
          <w:bCs/>
        </w:rPr>
        <w:t>Het hierboven vermelde bedrag van het tweede deel van de attractiviteitspremie wordt gekoppeld aan de gezondheidsindex van 113,87 (1.10.2004).</w:t>
      </w:r>
    </w:p>
    <w:p w14:paraId="55FAA4FF" w14:textId="77777777" w:rsidR="001B6732" w:rsidRPr="00FD7E2F" w:rsidRDefault="001B6732" w:rsidP="00677A80">
      <w:pPr>
        <w:pStyle w:val="StandaardUitvullen"/>
        <w:ind w:left="0"/>
        <w:rPr>
          <w:bCs/>
        </w:rPr>
      </w:pPr>
      <w:r w:rsidRPr="00FD7E2F">
        <w:rPr>
          <w:bCs/>
        </w:rPr>
        <w:t>Het tweede deel wordt, vanaf de datum van inwerkingtreding, gekoppeld aan het indexcijfer van de gezondheidsindex van het Rijk, overeenkomstig de modaliteiten welke zijn vastgesteld bij de wet van 2 aug</w:t>
      </w:r>
      <w:r w:rsidR="00D62238" w:rsidRPr="00FD7E2F">
        <w:rPr>
          <w:bCs/>
        </w:rPr>
        <w:t>u</w:t>
      </w:r>
      <w:r w:rsidRPr="00FD7E2F">
        <w:rPr>
          <w:bCs/>
        </w:rPr>
        <w:t>stus 1971 houdende inrichting van een stelsel waarbij de wedden, lonen, pensioenen, toelagen en tegemoetkomingen ten laste van de openbare schatkist, sommige sociale uitkeringen, de bezoldigingsgrenzen waarmee rekening dient gehouden bij de berekening van sommige bedragen van de sociale zekerheid der arbeiders, alsmede de verplichtingen op sociaal gebied opgelegd aan de zelfstandigen, aan het indexcijfer van de consumptieprijzen worden gekoppeld.</w:t>
      </w:r>
    </w:p>
    <w:p w14:paraId="0B98C11A" w14:textId="5BCCFB52" w:rsidR="001B6732" w:rsidRPr="00FD7E2F" w:rsidRDefault="001B6732" w:rsidP="00677A80">
      <w:pPr>
        <w:pStyle w:val="StandaardUitvullen"/>
        <w:ind w:left="0"/>
        <w:rPr>
          <w:bCs/>
        </w:rPr>
      </w:pPr>
      <w:r w:rsidRPr="00FD7E2F">
        <w:rPr>
          <w:bCs/>
        </w:rPr>
        <w:t>§</w:t>
      </w:r>
      <w:r w:rsidR="00FD7E2F" w:rsidRPr="00FD7E2F">
        <w:rPr>
          <w:bCs/>
        </w:rPr>
        <w:t>3.</w:t>
      </w:r>
      <w:r w:rsidRPr="00FD7E2F">
        <w:rPr>
          <w:bCs/>
        </w:rPr>
        <w:t xml:space="preserve"> De werknemer ontvangt het volledige bedrag van het tweede deel van de premie indien hij titularis is van een betrekking met volledige prestaties die aanleiding hebben gegeven tot de betaling van een volledige salaris tijdens de hele duur van de referentieperiode.</w:t>
      </w:r>
    </w:p>
    <w:p w14:paraId="7E34BC96" w14:textId="28CCFA84" w:rsidR="001B6732" w:rsidRPr="00037A46" w:rsidRDefault="001B6732" w:rsidP="00677A80">
      <w:pPr>
        <w:pStyle w:val="StandaardUitvullen"/>
        <w:ind w:left="0"/>
      </w:pPr>
      <w:r w:rsidRPr="00FD7E2F">
        <w:rPr>
          <w:bCs/>
        </w:rPr>
        <w:t>Worden gelijkgesteld met deze arbeidsprestaties</w:t>
      </w:r>
      <w:r w:rsidR="001273D0" w:rsidRPr="00FD7E2F">
        <w:rPr>
          <w:bCs/>
        </w:rPr>
        <w:t>:</w:t>
      </w:r>
      <w:r w:rsidRPr="00FD7E2F">
        <w:rPr>
          <w:bCs/>
        </w:rPr>
        <w:t xml:space="preserve"> de niet-gepresteerde dagen of uren voor zover zij aanleiding geven</w:t>
      </w:r>
      <w:r w:rsidRPr="00037A46">
        <w:t xml:space="preserve"> tot de betaling van een vergoeding door de inrichting (</w:t>
      </w:r>
      <w:proofErr w:type="spellStart"/>
      <w:r w:rsidRPr="00037A46">
        <w:t>ondermeer</w:t>
      </w:r>
      <w:proofErr w:type="spellEnd"/>
      <w:r w:rsidRPr="00037A46">
        <w:t xml:space="preserve"> jaarlijkse vakantie, feestdagen, ziekteperiode gedekt door een gewaarborgd loon).</w:t>
      </w:r>
    </w:p>
    <w:p w14:paraId="4833C4E5" w14:textId="77777777" w:rsidR="001B6732" w:rsidRPr="00037A46" w:rsidRDefault="001B6732" w:rsidP="00677A80">
      <w:pPr>
        <w:pStyle w:val="StandaardUitvullen"/>
        <w:ind w:left="0"/>
      </w:pPr>
      <w:r w:rsidRPr="00037A46">
        <w:t>De niet-gepresteerde dagen of uren worden niet gelijkgesteld voor zover zij geen aanleiding geven tot de betaling van een vergoeding door de inrichting (</w:t>
      </w:r>
      <w:proofErr w:type="spellStart"/>
      <w:r w:rsidRPr="00037A46">
        <w:t>ondermeer</w:t>
      </w:r>
      <w:proofErr w:type="spellEnd"/>
      <w:r w:rsidRPr="00037A46">
        <w:t xml:space="preserve"> ziekteperiode niet gedekt door een gewaarborgd loon, onbetaald verlof, enz.).</w:t>
      </w:r>
    </w:p>
    <w:p w14:paraId="05156F85" w14:textId="77777777" w:rsidR="001B6732" w:rsidRPr="00037A46" w:rsidRDefault="001B6732" w:rsidP="00677A80">
      <w:pPr>
        <w:ind w:left="0"/>
        <w:rPr>
          <w:lang w:val="nl-BE"/>
        </w:rPr>
      </w:pPr>
      <w:r w:rsidRPr="00037A46">
        <w:rPr>
          <w:lang w:val="nl-BE"/>
        </w:rPr>
        <w:t>De periodes waarin het personeelslid in disponibiliteit is gesteld wegens ziekte of gebrekkigheid worden evenmin gelijkgesteld.</w:t>
      </w:r>
    </w:p>
    <w:p w14:paraId="2263EB21" w14:textId="77777777" w:rsidR="001B6732" w:rsidRPr="00037A46" w:rsidRDefault="001B6732" w:rsidP="00677A80">
      <w:pPr>
        <w:ind w:left="0"/>
        <w:rPr>
          <w:lang w:val="nl-BE"/>
        </w:rPr>
      </w:pPr>
      <w:r w:rsidRPr="00037A46">
        <w:rPr>
          <w:lang w:val="nl-BE"/>
        </w:rPr>
        <w:t>De referentieperiode is de periode, gaande van 1 januari tot en met 30 september van het betrokken jaar. Ieder gepresteerde of daarmee gelijkgestelde maand tijdens de referentieperiode geeft recht op een negende van het tweede deel van de premie, toegekend overeenkomstig de bepalingen van §2.</w:t>
      </w:r>
    </w:p>
    <w:p w14:paraId="6E401219" w14:textId="77777777" w:rsidR="001B6732" w:rsidRPr="00037A46" w:rsidRDefault="001B6732" w:rsidP="00677A80">
      <w:pPr>
        <w:ind w:left="0"/>
        <w:rPr>
          <w:lang w:val="nl-BE"/>
        </w:rPr>
      </w:pPr>
      <w:r w:rsidRPr="00037A46">
        <w:rPr>
          <w:lang w:val="nl-BE"/>
        </w:rPr>
        <w:t>Voor de toepassing van de vorige alinea worden enkel de maanden binnen de referentieperiode in aanmerking genomen waarin effectieve of gelijkgestelde prestaties zijn geleverd vóór de zestiende dag van de maand.</w:t>
      </w:r>
    </w:p>
    <w:p w14:paraId="2B03435E" w14:textId="77777777" w:rsidR="001B6732" w:rsidRPr="00037A46" w:rsidRDefault="001B6732" w:rsidP="00677A80">
      <w:pPr>
        <w:pStyle w:val="StandaardUitvullen"/>
        <w:ind w:left="0"/>
        <w:rPr>
          <w:rFonts w:cs="Arial"/>
        </w:rPr>
      </w:pPr>
      <w:r w:rsidRPr="00037A46">
        <w:rPr>
          <w:rFonts w:cs="Arial"/>
        </w:rPr>
        <w:t>Als de werknemer het gehele tweede deel van de premie niet kan genieten in het raam van volledige arbeidsprestaties omdat hij in dienst werd genomen tijdens de referentieperiode of de instelling heeft verlaten in de loop van de referentieperiode, wordt het bedrag van het tweede deel van de premie vastgesteld naar rata van de tijdens de referentieperiode verrichte of daarmee gelijkgestelde arbeidsprestaties.</w:t>
      </w:r>
    </w:p>
    <w:p w14:paraId="373C3169" w14:textId="77777777" w:rsidR="001B6732" w:rsidRPr="00037A46" w:rsidRDefault="001B6732" w:rsidP="00677A80">
      <w:pPr>
        <w:pStyle w:val="StandaardUitvullen"/>
        <w:ind w:left="0"/>
        <w:rPr>
          <w:rFonts w:cs="Arial"/>
        </w:rPr>
      </w:pPr>
      <w:r w:rsidRPr="00037A46">
        <w:rPr>
          <w:rFonts w:cs="Arial"/>
        </w:rPr>
        <w:t>Voor de deeltijds tewerkgestelde werknemer wordt het bedrag van het tweede deel van de premie berekend naar rata van de duur van de tijdens de referentieperiode verrichte of daarmee gelijkgestelde arbeidsprestaties.</w:t>
      </w:r>
    </w:p>
    <w:p w14:paraId="1B404ED5" w14:textId="5EB86523" w:rsidR="001B6732" w:rsidRPr="00037A46" w:rsidRDefault="001B6732" w:rsidP="00677A80">
      <w:pPr>
        <w:pStyle w:val="StandaardUitvullen"/>
        <w:ind w:left="0"/>
        <w:rPr>
          <w:rFonts w:cs="Arial"/>
        </w:rPr>
      </w:pPr>
      <w:r w:rsidRPr="00FD7E2F">
        <w:rPr>
          <w:rFonts w:cs="Arial"/>
          <w:bCs/>
        </w:rPr>
        <w:t>§4</w:t>
      </w:r>
      <w:r w:rsidR="00FD7E2F" w:rsidRPr="00FD7E2F">
        <w:rPr>
          <w:rFonts w:cs="Arial"/>
          <w:bCs/>
        </w:rPr>
        <w:t>.</w:t>
      </w:r>
      <w:r w:rsidRPr="00FD7E2F">
        <w:rPr>
          <w:rFonts w:cs="Arial"/>
          <w:bCs/>
        </w:rPr>
        <w:t xml:space="preserve"> Het tweede deel van de premie wordt in één keer uitbetaald in de loop van het laatste kwartaal van het in</w:t>
      </w:r>
      <w:r w:rsidRPr="00037A46">
        <w:rPr>
          <w:rFonts w:cs="Arial"/>
        </w:rPr>
        <w:t xml:space="preserve"> aanmerking genomen jaar.</w:t>
      </w:r>
    </w:p>
    <w:p w14:paraId="649F71B6" w14:textId="77EA17BB" w:rsidR="00B6767D" w:rsidRPr="00037A46" w:rsidRDefault="00B6767D" w:rsidP="00B44CF7">
      <w:pPr>
        <w:pStyle w:val="Kop2"/>
      </w:pPr>
      <w:bookmarkStart w:id="187" w:name="_Toc215739011"/>
      <w:r w:rsidRPr="00037A46">
        <w:lastRenderedPageBreak/>
        <w:t>Hoofdstuk iii. de onregelmatige prestaties</w:t>
      </w:r>
      <w:bookmarkEnd w:id="187"/>
    </w:p>
    <w:p w14:paraId="53DA514C" w14:textId="2AAB65D3" w:rsidR="00B6767D" w:rsidRDefault="00B6767D" w:rsidP="00B6767D">
      <w:pPr>
        <w:pStyle w:val="Kop3"/>
      </w:pPr>
      <w:bookmarkStart w:id="188" w:name="_Toc215739012"/>
      <w:r w:rsidRPr="00037A46">
        <w:t>Afdeling 1. nachtprestaties en prestaties op zaterdagen, zondagen en feestdagen</w:t>
      </w:r>
      <w:bookmarkEnd w:id="188"/>
    </w:p>
    <w:p w14:paraId="64207CF1" w14:textId="77777777" w:rsidR="00495DFE" w:rsidRDefault="00495DFE" w:rsidP="00495DFE">
      <w:pPr>
        <w:pStyle w:val="StandaardUitvullen"/>
        <w:ind w:left="0"/>
        <w:rPr>
          <w:lang w:val="nl-BE" w:eastAsia="en-US"/>
        </w:rPr>
      </w:pPr>
    </w:p>
    <w:p w14:paraId="13C133C6" w14:textId="44935B40" w:rsidR="00495DFE" w:rsidRPr="00037A46" w:rsidRDefault="00495DFE" w:rsidP="00495DFE">
      <w:pPr>
        <w:pStyle w:val="StandaardUitvullen"/>
        <w:ind w:left="0"/>
        <w:rPr>
          <w:lang w:val="nl-BE" w:eastAsia="en-US"/>
        </w:rPr>
      </w:pPr>
      <w:r w:rsidRPr="00037A46">
        <w:rPr>
          <w:lang w:val="nl-BE" w:eastAsia="en-US"/>
        </w:rPr>
        <w:t xml:space="preserve">Deze afdeling is niet van toepassing op: </w:t>
      </w:r>
    </w:p>
    <w:p w14:paraId="75EBF2C4" w14:textId="77777777" w:rsidR="00495DFE" w:rsidRDefault="00495DFE" w:rsidP="00E80C0C">
      <w:pPr>
        <w:pStyle w:val="StandaardUitvullen"/>
        <w:numPr>
          <w:ilvl w:val="0"/>
          <w:numId w:val="8"/>
        </w:numPr>
        <w:rPr>
          <w:lang w:val="nl-BE" w:eastAsia="en-US"/>
        </w:rPr>
      </w:pPr>
      <w:r w:rsidRPr="00037A46">
        <w:rPr>
          <w:lang w:val="nl-BE" w:eastAsia="en-US"/>
        </w:rPr>
        <w:t xml:space="preserve">de algemeen directeur en de financieel directeur; </w:t>
      </w:r>
    </w:p>
    <w:p w14:paraId="485C6376" w14:textId="2FEB4152" w:rsidR="00BB2A58" w:rsidRPr="00037A46" w:rsidRDefault="00BB2A58" w:rsidP="00BB2A58">
      <w:pPr>
        <w:keepNext/>
        <w:spacing w:before="360" w:after="60"/>
        <w:ind w:left="0"/>
        <w:outlineLvl w:val="3"/>
      </w:pPr>
      <w:bookmarkStart w:id="189" w:name="_Hlk143174024"/>
      <w:bookmarkStart w:id="190" w:name="_Toc110948202"/>
      <w:r w:rsidRPr="00037A46">
        <w:t>Onderafdeling 1. Buitengewone prestaties</w:t>
      </w:r>
    </w:p>
    <w:p w14:paraId="78C9AD05" w14:textId="700287F9" w:rsidR="00CB743A" w:rsidRPr="00037A46" w:rsidRDefault="00CB743A" w:rsidP="00CB743A">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w:t>
      </w:r>
      <w:r w:rsidR="006763C7">
        <w:rPr>
          <w:rFonts w:eastAsia="Calibri" w:cs="Arial"/>
          <w:b/>
          <w:bCs/>
          <w:kern w:val="2"/>
          <w:lang w:val="nl-BE" w:eastAsia="en-US"/>
          <w14:ligatures w14:val="standardContextual"/>
        </w:rPr>
        <w:t>132</w:t>
      </w:r>
    </w:p>
    <w:p w14:paraId="4875BCF0" w14:textId="5A3BD7EF" w:rsidR="00CB743A" w:rsidRPr="00037A46" w:rsidRDefault="00CB743A" w:rsidP="00FD7E2F">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§1</w:t>
      </w:r>
      <w:r w:rsidR="006E3BB4">
        <w:rPr>
          <w:rFonts w:eastAsia="Calibri" w:cs="Arial"/>
          <w:kern w:val="2"/>
          <w:lang w:val="nl-BE" w:eastAsia="en-US"/>
          <w14:ligatures w14:val="standardContextual"/>
        </w:rPr>
        <w:t>.</w:t>
      </w:r>
      <w:r w:rsidRPr="00037A46">
        <w:rPr>
          <w:rFonts w:eastAsia="Calibri" w:cs="Arial"/>
          <w:kern w:val="2"/>
          <w:lang w:val="nl-BE" w:eastAsia="en-US"/>
          <w14:ligatures w14:val="standardContextual"/>
        </w:rPr>
        <w:t xml:space="preserve"> Naast de inhaalrust opgelegd door de arbeidstijdwetgeving krijgt het personeelslid:</w:t>
      </w:r>
    </w:p>
    <w:p w14:paraId="67DE286A" w14:textId="77777777" w:rsidR="00CB743A" w:rsidRPr="00037A46" w:rsidRDefault="00CB743A" w:rsidP="009D4C40">
      <w:pPr>
        <w:numPr>
          <w:ilvl w:val="0"/>
          <w:numId w:val="72"/>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Per uur nachtprestaties tussen 22 uur en 6 uur één kwartier extra inhaalrust;</w:t>
      </w:r>
    </w:p>
    <w:p w14:paraId="50C1538E" w14:textId="77777777" w:rsidR="00CB743A" w:rsidRPr="00037A46" w:rsidRDefault="00CB743A" w:rsidP="009D4C40">
      <w:pPr>
        <w:numPr>
          <w:ilvl w:val="0"/>
          <w:numId w:val="72"/>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Per uur prestaties tussen 0 en 24 uur op een zondag of een feestdag één uur extra inhaalrust;</w:t>
      </w:r>
    </w:p>
    <w:p w14:paraId="23AF61C1" w14:textId="77777777" w:rsidR="00CB743A" w:rsidRPr="00037A46" w:rsidRDefault="00CB743A" w:rsidP="009D4C40">
      <w:pPr>
        <w:numPr>
          <w:ilvl w:val="0"/>
          <w:numId w:val="72"/>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Per uur prestaties tussen 0 en 24 uur op een zaterdag een half uur extra inhaalrust. </w:t>
      </w:r>
    </w:p>
    <w:p w14:paraId="77C42E1A" w14:textId="77777777" w:rsidR="00A92AF1" w:rsidRDefault="00A92AF1" w:rsidP="00A92AF1">
      <w:pPr>
        <w:spacing w:before="0" w:after="160" w:line="259" w:lineRule="auto"/>
        <w:ind w:left="0"/>
        <w:jc w:val="left"/>
        <w:rPr>
          <w:rFonts w:eastAsia="Calibri" w:cs="Arial"/>
          <w:kern w:val="2"/>
          <w:lang w:val="nl-BE" w:eastAsia="en-US"/>
          <w14:ligatures w14:val="standardContextual"/>
        </w:rPr>
      </w:pPr>
    </w:p>
    <w:p w14:paraId="1A45E38F" w14:textId="1544497E" w:rsidR="00CB743A" w:rsidRPr="00037A46" w:rsidRDefault="00CB743A" w:rsidP="00677A80">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extra inhaalrust bij nachtprestaties is niet </w:t>
      </w:r>
      <w:proofErr w:type="spellStart"/>
      <w:r w:rsidRPr="00037A46">
        <w:rPr>
          <w:rFonts w:eastAsia="Calibri" w:cs="Arial"/>
          <w:kern w:val="2"/>
          <w:lang w:val="nl-BE" w:eastAsia="en-US"/>
          <w14:ligatures w14:val="standardContextual"/>
        </w:rPr>
        <w:t>cumuleerbaar</w:t>
      </w:r>
      <w:proofErr w:type="spellEnd"/>
      <w:r w:rsidRPr="00037A46">
        <w:rPr>
          <w:rFonts w:eastAsia="Calibri" w:cs="Arial"/>
          <w:kern w:val="2"/>
          <w:lang w:val="nl-BE" w:eastAsia="en-US"/>
          <w14:ligatures w14:val="standardContextual"/>
        </w:rPr>
        <w:t xml:space="preserve"> met de extra inhaalrust voor</w:t>
      </w:r>
      <w:r w:rsidR="00A92AF1">
        <w:rPr>
          <w:rFonts w:eastAsia="Calibri" w:cs="Arial"/>
          <w:kern w:val="2"/>
          <w:lang w:val="nl-BE" w:eastAsia="en-US"/>
          <w14:ligatures w14:val="standardContextual"/>
        </w:rPr>
        <w:t xml:space="preserve"> </w:t>
      </w:r>
      <w:r w:rsidRPr="00037A46">
        <w:rPr>
          <w:rFonts w:eastAsia="Calibri" w:cs="Arial"/>
          <w:kern w:val="2"/>
          <w:lang w:val="nl-BE" w:eastAsia="en-US"/>
          <w14:ligatures w14:val="standardContextual"/>
        </w:rPr>
        <w:t xml:space="preserve">prestaties op zaterdagen, zon- en feestdagen. </w:t>
      </w:r>
    </w:p>
    <w:p w14:paraId="0637B281" w14:textId="3A775EF0" w:rsidR="00CB743A" w:rsidRPr="00037A46" w:rsidRDefault="00CB743A" w:rsidP="00677A80">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salarisbijslag en de uur-toeslagen voor onregelmatige prestaties die sommige personeelscategorieën in de federaal gefinancierde gezondheidsinstellingen krijgen, zijn nooit </w:t>
      </w:r>
      <w:proofErr w:type="spellStart"/>
      <w:r w:rsidRPr="00037A46">
        <w:rPr>
          <w:rFonts w:eastAsia="Calibri" w:cs="Arial"/>
          <w:kern w:val="2"/>
          <w:lang w:val="nl-BE" w:eastAsia="en-US"/>
          <w14:ligatures w14:val="standardContextual"/>
        </w:rPr>
        <w:t>cumuleerbaar</w:t>
      </w:r>
      <w:proofErr w:type="spellEnd"/>
      <w:r w:rsidRPr="00037A46">
        <w:rPr>
          <w:rFonts w:eastAsia="Calibri" w:cs="Arial"/>
          <w:kern w:val="2"/>
          <w:lang w:val="nl-BE" w:eastAsia="en-US"/>
          <w14:ligatures w14:val="standardContextual"/>
        </w:rPr>
        <w:t xml:space="preserve"> met de toeslagen vermeld in deze afdeling. De salarisbijslag en </w:t>
      </w:r>
      <w:proofErr w:type="spellStart"/>
      <w:r w:rsidRPr="00037A46">
        <w:rPr>
          <w:rFonts w:eastAsia="Calibri" w:cs="Arial"/>
          <w:kern w:val="2"/>
          <w:lang w:val="nl-BE" w:eastAsia="en-US"/>
          <w14:ligatures w14:val="standardContextual"/>
        </w:rPr>
        <w:t>uurtoeslagen</w:t>
      </w:r>
      <w:proofErr w:type="spellEnd"/>
      <w:r w:rsidRPr="00037A46">
        <w:rPr>
          <w:rFonts w:eastAsia="Calibri" w:cs="Arial"/>
          <w:kern w:val="2"/>
          <w:lang w:val="nl-BE" w:eastAsia="en-US"/>
          <w14:ligatures w14:val="standardContextual"/>
        </w:rPr>
        <w:t xml:space="preserve"> worden wat de bedragen en voorwaarden betreft, toegekend in overeenstemming met de onderrichtingen van de federale financierende overheid.</w:t>
      </w:r>
    </w:p>
    <w:p w14:paraId="21C7B244" w14:textId="63A4B218" w:rsidR="00CB743A" w:rsidRPr="00037A46" w:rsidRDefault="00CB743A" w:rsidP="00677A80">
      <w:pPr>
        <w:spacing w:before="0" w:after="160" w:line="259" w:lineRule="auto"/>
        <w:ind w:left="0" w:firstLine="708"/>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Medewerkers van de dienst aanvullende thuiszorg/poetsdienst krijgen volgende toeslagen</w:t>
      </w:r>
      <w:r w:rsidR="00197535">
        <w:rPr>
          <w:rFonts w:eastAsia="Calibri" w:cs="Arial"/>
          <w:kern w:val="2"/>
          <w:lang w:val="nl-BE" w:eastAsia="en-US"/>
          <w14:ligatures w14:val="standardContextual"/>
        </w:rPr>
        <w:t>:</w:t>
      </w:r>
    </w:p>
    <w:p w14:paraId="050EA569" w14:textId="77777777" w:rsidR="00CB743A" w:rsidRPr="00037A46" w:rsidRDefault="00CB743A" w:rsidP="009D4C40">
      <w:pPr>
        <w:numPr>
          <w:ilvl w:val="0"/>
          <w:numId w:val="73"/>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Per uur nachtprestaties tussen 22 uur en 6 uur: Een toeslag op het uur-salaris die gelijk is aan 25% van het uur-salaris;</w:t>
      </w:r>
    </w:p>
    <w:p w14:paraId="1DEC644B" w14:textId="77777777" w:rsidR="00CB743A" w:rsidRPr="00037A46" w:rsidRDefault="00CB743A" w:rsidP="009D4C40">
      <w:pPr>
        <w:numPr>
          <w:ilvl w:val="0"/>
          <w:numId w:val="73"/>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Per uur prestaties tussen 0 en 24 uur op een zondag of een feestdag: Een toeslag op het uur-salaris die gelijk is aan 100% van het uur-salaris</w:t>
      </w:r>
    </w:p>
    <w:p w14:paraId="10D05F1A" w14:textId="77777777" w:rsidR="00CB743A" w:rsidRPr="00037A46" w:rsidRDefault="00CB743A" w:rsidP="009D4C40">
      <w:pPr>
        <w:numPr>
          <w:ilvl w:val="0"/>
          <w:numId w:val="73"/>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Per uur prestaties tussen 0 uur en 24 uur op een zaterdag: Een toeslag op het uur-salaris die gelijk is aan 50% van het uur-salaris</w:t>
      </w:r>
    </w:p>
    <w:p w14:paraId="6741676B" w14:textId="728F2950" w:rsidR="00BB2A58" w:rsidRPr="00037A46" w:rsidRDefault="00BB2A58" w:rsidP="00BB2A58">
      <w:pPr>
        <w:keepNext/>
        <w:spacing w:before="360" w:after="60"/>
        <w:ind w:left="0"/>
        <w:outlineLvl w:val="3"/>
      </w:pPr>
      <w:r w:rsidRPr="00037A46">
        <w:t>Onderafdeling 1. Bijzondere regeling: verzorgend personeelslid in een erkende dienst voor gezinszorg</w:t>
      </w:r>
    </w:p>
    <w:p w14:paraId="39586297" w14:textId="0FDD01F7" w:rsidR="00CB743A" w:rsidRPr="00037A46" w:rsidRDefault="00CB743A" w:rsidP="00677A80">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§2. Naast de voorgeschreven inhaalrust uit de arbeidstijdwetgeving krijgt het verzorgend personeelslid in een erkende dienst voor gezinszorg, vermeld in artikel 1, 25°, van bijlage 2 die bij het besluit van de Vlaamse Regering van 28 juni 2019 betreffende de programmatie, de erkenningsvoorwaarden en de subsidieregeling voor woonzorgvoorzieningen en verenigingen voor mantelzorgers en gebruikers is gevoegd, de volgende voordelen:</w:t>
      </w:r>
    </w:p>
    <w:p w14:paraId="0ECAFA9F" w14:textId="690AFE92" w:rsidR="00CB743A" w:rsidRPr="00037A46" w:rsidRDefault="00CB743A" w:rsidP="009D4C40">
      <w:pPr>
        <w:numPr>
          <w:ilvl w:val="0"/>
          <w:numId w:val="74"/>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Per uur prestaties op weekdagen tussen 18 uur en 2</w:t>
      </w:r>
      <w:r w:rsidR="006E2681">
        <w:rPr>
          <w:rFonts w:eastAsia="Calibri" w:cs="Arial"/>
          <w:kern w:val="2"/>
          <w:lang w:val="nl-BE" w:eastAsia="en-US"/>
          <w14:ligatures w14:val="standardContextual"/>
        </w:rPr>
        <w:t>2</w:t>
      </w:r>
      <w:r w:rsidRPr="00037A46">
        <w:rPr>
          <w:rFonts w:eastAsia="Calibri" w:cs="Arial"/>
          <w:kern w:val="2"/>
          <w:lang w:val="nl-BE" w:eastAsia="en-US"/>
          <w14:ligatures w14:val="standardContextual"/>
        </w:rPr>
        <w:t xml:space="preserve"> uur: Een toeslag op het uur-salaris die gelijk is aan 15% van het uur-salaris</w:t>
      </w:r>
    </w:p>
    <w:p w14:paraId="1BFD6F58" w14:textId="77777777" w:rsidR="00CB743A" w:rsidRPr="00037A46" w:rsidRDefault="00CB743A" w:rsidP="009D4C40">
      <w:pPr>
        <w:numPr>
          <w:ilvl w:val="0"/>
          <w:numId w:val="74"/>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Per uur nachtprestaties tussen 22 uur en 6 uur: Een toeslag op het uur-salaris die gelijk is aan 25% van het uur-salaris;</w:t>
      </w:r>
    </w:p>
    <w:p w14:paraId="64A544AE" w14:textId="77777777" w:rsidR="00CB743A" w:rsidRPr="00037A46" w:rsidRDefault="00CB743A" w:rsidP="009D4C40">
      <w:pPr>
        <w:numPr>
          <w:ilvl w:val="0"/>
          <w:numId w:val="74"/>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Per uur prestaties tussen 0 en 24 uur op een zondag of een feestdag: Een toeslag op het uur-salaris die gelijk is aan 100% van het uur-salaris</w:t>
      </w:r>
    </w:p>
    <w:p w14:paraId="3348AC84" w14:textId="77777777" w:rsidR="00CB743A" w:rsidRPr="00037A46" w:rsidRDefault="00CB743A" w:rsidP="009D4C40">
      <w:pPr>
        <w:numPr>
          <w:ilvl w:val="0"/>
          <w:numId w:val="74"/>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Per uur prestaties tussen 0 uur en 24 uur op een zaterdag: Een toeslag op het uur-salaris die gelijk is aan 50% van het uur-salaris</w:t>
      </w:r>
    </w:p>
    <w:p w14:paraId="1554E0BC" w14:textId="77777777" w:rsidR="00A92AF1" w:rsidRDefault="00A92AF1" w:rsidP="00A92AF1">
      <w:pPr>
        <w:spacing w:before="0" w:after="160" w:line="259" w:lineRule="auto"/>
        <w:ind w:left="0"/>
        <w:jc w:val="left"/>
        <w:rPr>
          <w:rFonts w:eastAsia="Calibri" w:cs="Arial"/>
          <w:kern w:val="2"/>
          <w:lang w:val="nl-BE" w:eastAsia="en-US"/>
          <w14:ligatures w14:val="standardContextual"/>
        </w:rPr>
      </w:pPr>
    </w:p>
    <w:p w14:paraId="7076BFB4" w14:textId="3E45C2F4" w:rsidR="00CB743A" w:rsidRPr="00037A46" w:rsidRDefault="00CB743A" w:rsidP="00677A80">
      <w:pPr>
        <w:spacing w:before="0" w:after="160" w:line="259" w:lineRule="auto"/>
        <w:ind w:left="0"/>
        <w:jc w:val="left"/>
        <w:rPr>
          <w:rFonts w:eastAsia="Calibri" w:cs="Arial"/>
          <w:strike/>
          <w:kern w:val="2"/>
          <w:lang w:val="nl-BE" w:eastAsia="en-US"/>
          <w14:ligatures w14:val="standardContextual"/>
        </w:rPr>
      </w:pPr>
      <w:r w:rsidRPr="00037A46">
        <w:rPr>
          <w:rFonts w:eastAsia="Calibri" w:cs="Arial"/>
          <w:kern w:val="2"/>
          <w:lang w:val="nl-BE" w:eastAsia="en-US"/>
          <w14:ligatures w14:val="standardContextual"/>
        </w:rPr>
        <w:lastRenderedPageBreak/>
        <w:t>In deze paragraaf wordt verstaan onder werkdag: elke dag van de week, behalve zaterdag, zondag en feestdagen.</w:t>
      </w:r>
    </w:p>
    <w:p w14:paraId="3254997A" w14:textId="504FE179" w:rsidR="003A11FB" w:rsidRPr="00037A46" w:rsidRDefault="003A11FB" w:rsidP="003A11FB">
      <w:pPr>
        <w:pStyle w:val="Kop3"/>
      </w:pPr>
      <w:bookmarkStart w:id="191" w:name="_Toc110948203"/>
      <w:bookmarkStart w:id="192" w:name="_Toc215739013"/>
      <w:bookmarkEnd w:id="189"/>
      <w:bookmarkEnd w:id="190"/>
      <w:r w:rsidRPr="00037A46">
        <w:t>Afdeling 2. de overuren</w:t>
      </w:r>
      <w:bookmarkEnd w:id="191"/>
      <w:bookmarkEnd w:id="192"/>
    </w:p>
    <w:p w14:paraId="7290AC97" w14:textId="1F42E8FE" w:rsidR="003A11FB" w:rsidRPr="00037A46" w:rsidRDefault="00F43E03" w:rsidP="003A11FB">
      <w:pPr>
        <w:pStyle w:val="Kop5"/>
      </w:pPr>
      <w:r w:rsidRPr="00037A46">
        <w:t xml:space="preserve">Artikel </w:t>
      </w:r>
      <w:r w:rsidR="004C431F">
        <w:t>1</w:t>
      </w:r>
      <w:r w:rsidR="006763C7">
        <w:t>33</w:t>
      </w:r>
    </w:p>
    <w:p w14:paraId="333A23CD" w14:textId="77777777" w:rsidR="003A11FB" w:rsidRPr="00037A46" w:rsidRDefault="003A11FB" w:rsidP="0017099E">
      <w:pPr>
        <w:pStyle w:val="StandaardUitvullen"/>
        <w:ind w:left="0"/>
        <w:rPr>
          <w:lang w:val="nl-BE" w:eastAsia="en-US"/>
        </w:rPr>
      </w:pPr>
      <w:r w:rsidRPr="00037A46">
        <w:rPr>
          <w:lang w:val="nl-BE" w:eastAsia="en-US"/>
        </w:rPr>
        <w:t xml:space="preserve">Deze afdeling is niet van toepassing op: </w:t>
      </w:r>
    </w:p>
    <w:p w14:paraId="587C4E8E" w14:textId="77777777" w:rsidR="003A11FB" w:rsidRDefault="003A11FB" w:rsidP="009D4C40">
      <w:pPr>
        <w:pStyle w:val="StandaardUitvullen"/>
        <w:numPr>
          <w:ilvl w:val="0"/>
          <w:numId w:val="103"/>
        </w:numPr>
        <w:rPr>
          <w:lang w:val="nl-BE" w:eastAsia="en-US"/>
        </w:rPr>
      </w:pPr>
      <w:r w:rsidRPr="00037A46">
        <w:rPr>
          <w:lang w:val="nl-BE" w:eastAsia="en-US"/>
        </w:rPr>
        <w:t>de</w:t>
      </w:r>
      <w:r w:rsidR="00D62238" w:rsidRPr="00037A46">
        <w:rPr>
          <w:lang w:val="nl-BE" w:eastAsia="en-US"/>
        </w:rPr>
        <w:t xml:space="preserve"> </w:t>
      </w:r>
      <w:r w:rsidR="003474E1" w:rsidRPr="00037A46">
        <w:rPr>
          <w:lang w:val="nl-BE" w:eastAsia="en-US"/>
        </w:rPr>
        <w:t>algemeen directeur</w:t>
      </w:r>
      <w:r w:rsidRPr="00037A46">
        <w:rPr>
          <w:lang w:val="nl-BE" w:eastAsia="en-US"/>
        </w:rPr>
        <w:t xml:space="preserve"> en de </w:t>
      </w:r>
      <w:r w:rsidR="003474E1" w:rsidRPr="00037A46">
        <w:rPr>
          <w:lang w:val="nl-BE" w:eastAsia="en-US"/>
        </w:rPr>
        <w:t>financieel directeur</w:t>
      </w:r>
      <w:r w:rsidRPr="00037A46">
        <w:rPr>
          <w:lang w:val="nl-BE" w:eastAsia="en-US"/>
        </w:rPr>
        <w:t xml:space="preserve">; </w:t>
      </w:r>
    </w:p>
    <w:p w14:paraId="7F396227" w14:textId="441BBAD9" w:rsidR="00AE12EE" w:rsidRPr="00037A46" w:rsidRDefault="003225ED" w:rsidP="009D4C40">
      <w:pPr>
        <w:pStyle w:val="StandaardUitvullen"/>
        <w:numPr>
          <w:ilvl w:val="0"/>
          <w:numId w:val="103"/>
        </w:numPr>
        <w:rPr>
          <w:lang w:val="nl-BE" w:eastAsia="en-US"/>
        </w:rPr>
      </w:pPr>
      <w:r>
        <w:rPr>
          <w:lang w:val="nl-BE" w:eastAsia="en-US"/>
        </w:rPr>
        <w:t>de personeelsleden van niveau A</w:t>
      </w:r>
      <w:r w:rsidR="00257477">
        <w:rPr>
          <w:lang w:val="nl-BE" w:eastAsia="en-US"/>
        </w:rPr>
        <w:t>;</w:t>
      </w:r>
    </w:p>
    <w:p w14:paraId="33DE8AAF" w14:textId="77777777" w:rsidR="003A11FB" w:rsidRPr="00037A46" w:rsidRDefault="003A11FB" w:rsidP="009D4C40">
      <w:pPr>
        <w:pStyle w:val="StandaardUitvullen"/>
        <w:numPr>
          <w:ilvl w:val="0"/>
          <w:numId w:val="103"/>
        </w:numPr>
      </w:pPr>
      <w:r w:rsidRPr="00037A46">
        <w:rPr>
          <w:lang w:val="nl-BE" w:eastAsia="en-US"/>
        </w:rPr>
        <w:t>de personeelsleden die onder het toepassingsgebied van de Arbeidswet van 16 maart 1971 vallen.</w:t>
      </w:r>
    </w:p>
    <w:p w14:paraId="3DAF185B" w14:textId="7AD0C0E4" w:rsidR="003A11FB" w:rsidRPr="00037A46" w:rsidRDefault="00F43E03" w:rsidP="003A11FB">
      <w:pPr>
        <w:pStyle w:val="Kop5"/>
      </w:pPr>
      <w:r w:rsidRPr="00037A46">
        <w:t>Artikel</w:t>
      </w:r>
      <w:r w:rsidR="004C431F">
        <w:t xml:space="preserve"> </w:t>
      </w:r>
      <w:r w:rsidR="006763C7">
        <w:t>134</w:t>
      </w:r>
    </w:p>
    <w:p w14:paraId="01463CFE" w14:textId="2BE4C393" w:rsidR="003A11FB" w:rsidRPr="00BD780E" w:rsidRDefault="00057DE7" w:rsidP="00677A80">
      <w:pPr>
        <w:ind w:left="0"/>
        <w:rPr>
          <w:bCs/>
          <w:lang w:val="nl-BE" w:eastAsia="en-US"/>
        </w:rPr>
      </w:pPr>
      <w:r w:rsidRPr="00BD780E">
        <w:rPr>
          <w:bCs/>
        </w:rPr>
        <w:t>§</w:t>
      </w:r>
      <w:r w:rsidR="003A11FB" w:rsidRPr="00BD780E">
        <w:rPr>
          <w:bCs/>
        </w:rPr>
        <w:t>1</w:t>
      </w:r>
      <w:r w:rsidR="00BD780E" w:rsidRPr="00BD780E">
        <w:rPr>
          <w:bCs/>
        </w:rPr>
        <w:t>.</w:t>
      </w:r>
      <w:r w:rsidR="00F970C9" w:rsidRPr="00BD780E">
        <w:rPr>
          <w:bCs/>
        </w:rPr>
        <w:t xml:space="preserve"> </w:t>
      </w:r>
      <w:r w:rsidR="003A11FB" w:rsidRPr="00BD780E">
        <w:rPr>
          <w:bCs/>
          <w:lang w:val="nl-BE" w:eastAsia="en-US"/>
        </w:rPr>
        <w:t xml:space="preserve">Onder overuren worden verstaan de uitzonderlijke prestaties die op verzoek van de </w:t>
      </w:r>
      <w:r w:rsidR="003474E1" w:rsidRPr="00BD780E">
        <w:rPr>
          <w:bCs/>
          <w:lang w:val="nl-BE" w:eastAsia="en-US"/>
        </w:rPr>
        <w:t>algemeen directeur</w:t>
      </w:r>
      <w:r w:rsidR="003A11FB" w:rsidRPr="00BD780E">
        <w:rPr>
          <w:bCs/>
          <w:lang w:val="nl-BE" w:eastAsia="en-US"/>
        </w:rPr>
        <w:t xml:space="preserve">, </w:t>
      </w:r>
      <w:r w:rsidR="00E0628E" w:rsidRPr="00BD780E">
        <w:rPr>
          <w:bCs/>
          <w:lang w:val="nl-BE" w:eastAsia="en-US"/>
        </w:rPr>
        <w:t>de teamverantwoordelijke</w:t>
      </w:r>
      <w:r w:rsidR="003A11FB" w:rsidRPr="00BD780E">
        <w:rPr>
          <w:bCs/>
          <w:lang w:val="nl-BE" w:eastAsia="en-US"/>
        </w:rPr>
        <w:t xml:space="preserve"> of de rechtstreeks leidinggevende geleverd worden boven op de uren die op grond van de gewone arbeidstijdregeling op weekbasis door het personeelslid gepresteerd worden.</w:t>
      </w:r>
    </w:p>
    <w:p w14:paraId="7E9E9F41" w14:textId="77777777" w:rsidR="003A11FB" w:rsidRPr="00BD780E" w:rsidRDefault="003A11FB" w:rsidP="00677A80">
      <w:pPr>
        <w:pStyle w:val="StandaardUitvullen"/>
        <w:ind w:left="0"/>
        <w:rPr>
          <w:bCs/>
          <w:lang w:val="nl-BE" w:eastAsia="en-US"/>
        </w:rPr>
      </w:pPr>
      <w:r w:rsidRPr="00BD780E">
        <w:rPr>
          <w:bCs/>
          <w:lang w:val="nl-BE" w:eastAsia="en-US"/>
        </w:rPr>
        <w:t xml:space="preserve">Het personeelslid dat overuren presteert, krijgt compenserende inhaalrust binnen de termijn van 4 maanden. Deze compenserende inhaalrust is gelijk aan de duur van de overuren. </w:t>
      </w:r>
    </w:p>
    <w:p w14:paraId="26508FA8" w14:textId="56FEA582" w:rsidR="003A11FB" w:rsidRPr="00BD780E" w:rsidRDefault="00057DE7" w:rsidP="00677A80">
      <w:pPr>
        <w:ind w:left="0"/>
        <w:rPr>
          <w:bCs/>
          <w:lang w:val="nl-BE" w:eastAsia="en-US"/>
        </w:rPr>
      </w:pPr>
      <w:bookmarkStart w:id="193" w:name="OLE_LINK29"/>
      <w:bookmarkStart w:id="194" w:name="OLE_LINK30"/>
      <w:r w:rsidRPr="00BD780E">
        <w:rPr>
          <w:bCs/>
        </w:rPr>
        <w:t>§</w:t>
      </w:r>
      <w:r w:rsidR="003A11FB" w:rsidRPr="00BD780E">
        <w:rPr>
          <w:bCs/>
        </w:rPr>
        <w:t>2</w:t>
      </w:r>
      <w:r w:rsidR="00BD780E" w:rsidRPr="00BD780E">
        <w:rPr>
          <w:bCs/>
        </w:rPr>
        <w:t>.</w:t>
      </w:r>
      <w:r w:rsidR="00F970C9" w:rsidRPr="00BD780E">
        <w:rPr>
          <w:bCs/>
        </w:rPr>
        <w:t xml:space="preserve"> </w:t>
      </w:r>
      <w:bookmarkStart w:id="195" w:name="OLE_LINK24"/>
      <w:bookmarkStart w:id="196" w:name="OLE_LINK25"/>
      <w:r w:rsidR="003A11FB" w:rsidRPr="00BD780E">
        <w:rPr>
          <w:bCs/>
          <w:lang w:val="nl-BE" w:eastAsia="en-US"/>
        </w:rPr>
        <w:t xml:space="preserve">Als over een periode van </w:t>
      </w:r>
      <w:r w:rsidR="0037345A" w:rsidRPr="00BD780E">
        <w:rPr>
          <w:bCs/>
          <w:lang w:val="nl-BE" w:eastAsia="en-US"/>
        </w:rPr>
        <w:t>4</w:t>
      </w:r>
      <w:r w:rsidR="003A11FB" w:rsidRPr="00BD780E">
        <w:rPr>
          <w:bCs/>
          <w:lang w:val="nl-BE" w:eastAsia="en-US"/>
        </w:rPr>
        <w:t xml:space="preserve"> maanden de gemiddelde arbeidstijd, door omstandigheden buiten de wil van het personeelslid, groter is dan 38 uur per week voor voltijdse prestaties of dan de gewone arbeidstijdsregeling op weekbasis bij deeltijdse prestaties, wordt aan het personeelslid het </w:t>
      </w:r>
      <w:proofErr w:type="spellStart"/>
      <w:r w:rsidR="003A11FB" w:rsidRPr="00BD780E">
        <w:rPr>
          <w:bCs/>
          <w:lang w:val="nl-BE" w:eastAsia="en-US"/>
        </w:rPr>
        <w:t>uursalaris</w:t>
      </w:r>
      <w:proofErr w:type="spellEnd"/>
      <w:r w:rsidR="003A11FB" w:rsidRPr="00BD780E">
        <w:rPr>
          <w:bCs/>
          <w:lang w:val="nl-BE" w:eastAsia="en-US"/>
        </w:rPr>
        <w:t xml:space="preserve"> uitbetaald. </w:t>
      </w:r>
    </w:p>
    <w:bookmarkEnd w:id="195"/>
    <w:bookmarkEnd w:id="196"/>
    <w:p w14:paraId="7BA3D59A" w14:textId="685D012F" w:rsidR="003A11FB" w:rsidRPr="00BD780E" w:rsidRDefault="003A11FB" w:rsidP="00677A80">
      <w:pPr>
        <w:pStyle w:val="StandaardUitvullen"/>
        <w:ind w:left="0"/>
        <w:rPr>
          <w:bCs/>
          <w:lang w:val="nl-BE" w:eastAsia="en-US"/>
        </w:rPr>
      </w:pPr>
      <w:r w:rsidRPr="00BD780E">
        <w:rPr>
          <w:bCs/>
          <w:lang w:val="nl-BE" w:eastAsia="en-US"/>
        </w:rPr>
        <w:t xml:space="preserve">Het personeelslid heeft in dat geval recht op een </w:t>
      </w:r>
      <w:proofErr w:type="spellStart"/>
      <w:r w:rsidRPr="00BD780E">
        <w:rPr>
          <w:bCs/>
          <w:lang w:val="nl-BE" w:eastAsia="en-US"/>
        </w:rPr>
        <w:t>overloon</w:t>
      </w:r>
      <w:proofErr w:type="spellEnd"/>
      <w:r w:rsidRPr="00BD780E">
        <w:rPr>
          <w:bCs/>
          <w:lang w:val="nl-BE" w:eastAsia="en-US"/>
        </w:rPr>
        <w:t xml:space="preserve"> van 25% per uur voor overuren op weekdagen tussen 6 en 22 uur.</w:t>
      </w:r>
    </w:p>
    <w:bookmarkEnd w:id="193"/>
    <w:bookmarkEnd w:id="194"/>
    <w:p w14:paraId="57467047" w14:textId="273900B8" w:rsidR="003A11FB" w:rsidRPr="00BD780E" w:rsidRDefault="00057DE7" w:rsidP="00677A80">
      <w:pPr>
        <w:ind w:left="0"/>
        <w:rPr>
          <w:bCs/>
          <w:lang w:val="nl-BE" w:eastAsia="en-US"/>
        </w:rPr>
      </w:pPr>
      <w:r w:rsidRPr="00BD780E">
        <w:rPr>
          <w:bCs/>
        </w:rPr>
        <w:t>§</w:t>
      </w:r>
      <w:r w:rsidR="003A11FB" w:rsidRPr="00BD780E">
        <w:rPr>
          <w:bCs/>
        </w:rPr>
        <w:t>3</w:t>
      </w:r>
      <w:r w:rsidR="00BD780E" w:rsidRPr="00BD780E">
        <w:rPr>
          <w:bCs/>
        </w:rPr>
        <w:t>.</w:t>
      </w:r>
      <w:r w:rsidR="00F970C9" w:rsidRPr="00BD780E">
        <w:rPr>
          <w:bCs/>
        </w:rPr>
        <w:t xml:space="preserve"> </w:t>
      </w:r>
      <w:r w:rsidR="003A11FB" w:rsidRPr="00BD780E">
        <w:rPr>
          <w:bCs/>
          <w:lang w:val="nl-BE" w:eastAsia="en-US"/>
        </w:rPr>
        <w:t xml:space="preserve">Als berekeningsbasis voor het </w:t>
      </w:r>
      <w:proofErr w:type="spellStart"/>
      <w:r w:rsidR="003A11FB" w:rsidRPr="00BD780E">
        <w:rPr>
          <w:bCs/>
          <w:lang w:val="nl-BE" w:eastAsia="en-US"/>
        </w:rPr>
        <w:t>overloon</w:t>
      </w:r>
      <w:proofErr w:type="spellEnd"/>
      <w:r w:rsidR="003A11FB" w:rsidRPr="00BD780E">
        <w:rPr>
          <w:bCs/>
          <w:lang w:val="nl-BE" w:eastAsia="en-US"/>
        </w:rPr>
        <w:t xml:space="preserve"> geldt het bruto-</w:t>
      </w:r>
      <w:proofErr w:type="spellStart"/>
      <w:r w:rsidR="003A11FB" w:rsidRPr="00BD780E">
        <w:rPr>
          <w:bCs/>
          <w:lang w:val="nl-BE" w:eastAsia="en-US"/>
        </w:rPr>
        <w:t>uursalaris</w:t>
      </w:r>
      <w:proofErr w:type="spellEnd"/>
      <w:r w:rsidR="003A11FB" w:rsidRPr="00BD780E">
        <w:rPr>
          <w:bCs/>
          <w:lang w:val="nl-BE" w:eastAsia="en-US"/>
        </w:rPr>
        <w:t>, eventueel verhoogd met de haard- of standplaatstoelage, de toelage voor het waarnemen van een hogere functie of de gegarandeerde salarisverhoging na bevordering.</w:t>
      </w:r>
    </w:p>
    <w:p w14:paraId="444E2D08" w14:textId="387D399B" w:rsidR="003A11FB" w:rsidRPr="00037A46" w:rsidRDefault="00057DE7" w:rsidP="00677A80">
      <w:pPr>
        <w:ind w:left="0"/>
      </w:pPr>
      <w:r w:rsidRPr="00BD780E">
        <w:rPr>
          <w:bCs/>
          <w:lang w:val="nl-BE" w:eastAsia="en-US"/>
        </w:rPr>
        <w:t>§</w:t>
      </w:r>
      <w:r w:rsidR="003A11FB" w:rsidRPr="00BD780E">
        <w:rPr>
          <w:bCs/>
          <w:lang w:val="nl-BE" w:eastAsia="en-US"/>
        </w:rPr>
        <w:t>4</w:t>
      </w:r>
      <w:r w:rsidR="00BD780E" w:rsidRPr="00BD780E">
        <w:rPr>
          <w:bCs/>
          <w:lang w:val="nl-BE" w:eastAsia="en-US"/>
        </w:rPr>
        <w:t>.</w:t>
      </w:r>
      <w:r w:rsidR="00F970C9" w:rsidRPr="00BD780E">
        <w:rPr>
          <w:bCs/>
          <w:lang w:val="nl-BE" w:eastAsia="en-US"/>
        </w:rPr>
        <w:t xml:space="preserve"> </w:t>
      </w:r>
      <w:r w:rsidR="003A11FB" w:rsidRPr="00BD780E">
        <w:rPr>
          <w:rStyle w:val="Zwaar"/>
          <w:bCs/>
        </w:rPr>
        <w:t>De</w:t>
      </w:r>
      <w:r w:rsidR="003A11FB" w:rsidRPr="00037A46">
        <w:rPr>
          <w:rStyle w:val="Zwaar"/>
          <w:b w:val="0"/>
        </w:rPr>
        <w:t xml:space="preserve"> bepalingen van dit artikel zijn </w:t>
      </w:r>
      <w:proofErr w:type="spellStart"/>
      <w:r w:rsidR="003A11FB" w:rsidRPr="00037A46">
        <w:rPr>
          <w:rStyle w:val="Zwaar"/>
          <w:b w:val="0"/>
        </w:rPr>
        <w:t>cumuleerbaar</w:t>
      </w:r>
      <w:proofErr w:type="spellEnd"/>
      <w:r w:rsidR="003A11FB" w:rsidRPr="00037A46">
        <w:rPr>
          <w:rStyle w:val="Zwaar"/>
          <w:b w:val="0"/>
        </w:rPr>
        <w:t xml:space="preserve"> met de compensatie voor nachtprestaties en prestaties op zaterdagen, zondagen en feestdagen.</w:t>
      </w:r>
    </w:p>
    <w:p w14:paraId="06227290" w14:textId="1CDDF618" w:rsidR="00C83C9D" w:rsidRPr="00037A46" w:rsidRDefault="00C83C9D" w:rsidP="00C83C9D">
      <w:pPr>
        <w:pStyle w:val="Kop3"/>
      </w:pPr>
      <w:bookmarkStart w:id="197" w:name="_Toc291754399"/>
      <w:bookmarkStart w:id="198" w:name="_Toc110948204"/>
      <w:bookmarkStart w:id="199" w:name="_Toc215739014"/>
      <w:r w:rsidRPr="00037A46">
        <w:t xml:space="preserve">Afdeling 3. de salarisbijslag en de </w:t>
      </w:r>
      <w:proofErr w:type="spellStart"/>
      <w:r w:rsidRPr="00037A46">
        <w:t>uurtoeslagen</w:t>
      </w:r>
      <w:proofErr w:type="spellEnd"/>
      <w:r w:rsidRPr="00037A46">
        <w:t xml:space="preserve"> voor onregelmatige prestaties voor sommige personeelscategorieën in de federaal gefinancierde gezondheidsinstellingen</w:t>
      </w:r>
      <w:bookmarkEnd w:id="197"/>
      <w:bookmarkEnd w:id="198"/>
      <w:bookmarkEnd w:id="199"/>
    </w:p>
    <w:p w14:paraId="7291ABF1" w14:textId="424FFEFE" w:rsidR="00C83C9D" w:rsidRPr="00037A46" w:rsidRDefault="00C83C9D" w:rsidP="00074DFE">
      <w:pPr>
        <w:pStyle w:val="Kop5"/>
      </w:pPr>
      <w:r w:rsidRPr="00037A46">
        <w:t xml:space="preserve">Artikel </w:t>
      </w:r>
      <w:r w:rsidR="006763C7">
        <w:t>135</w:t>
      </w:r>
    </w:p>
    <w:p w14:paraId="597E2E24" w14:textId="76A305E9" w:rsidR="00C83C9D" w:rsidRPr="00BD780E" w:rsidRDefault="00C83C9D" w:rsidP="00677A80">
      <w:pPr>
        <w:pStyle w:val="StandaardUitvullen"/>
        <w:ind w:left="0"/>
        <w:rPr>
          <w:rFonts w:cs="Arial"/>
          <w:bCs/>
          <w:lang w:val="nl-BE" w:eastAsia="en-US"/>
        </w:rPr>
      </w:pPr>
      <w:r w:rsidRPr="00BD780E">
        <w:rPr>
          <w:rFonts w:cs="Arial"/>
          <w:bCs/>
          <w:lang w:val="nl-BE" w:eastAsia="en-US"/>
        </w:rPr>
        <w:t>§1</w:t>
      </w:r>
      <w:r w:rsidR="00BD780E" w:rsidRPr="00BD780E">
        <w:rPr>
          <w:rFonts w:cs="Arial"/>
          <w:bCs/>
          <w:lang w:val="nl-BE" w:eastAsia="en-US"/>
        </w:rPr>
        <w:t>.</w:t>
      </w:r>
      <w:r w:rsidRPr="00BD780E">
        <w:rPr>
          <w:rFonts w:cs="Arial"/>
          <w:bCs/>
          <w:i/>
          <w:lang w:val="nl-BE" w:eastAsia="en-US"/>
        </w:rPr>
        <w:t xml:space="preserve"> </w:t>
      </w:r>
      <w:r w:rsidRPr="00BD780E">
        <w:rPr>
          <w:rFonts w:cs="Arial"/>
          <w:bCs/>
          <w:lang w:val="nl-BE" w:eastAsia="en-US"/>
        </w:rPr>
        <w:t>Aan het verzorgend en verpleegkundig personeelslid wordt een toelage toegekend :</w:t>
      </w:r>
    </w:p>
    <w:p w14:paraId="58BD0301" w14:textId="77777777" w:rsidR="00C83C9D" w:rsidRPr="00BD780E" w:rsidRDefault="00C83C9D" w:rsidP="009D4C40">
      <w:pPr>
        <w:pStyle w:val="StandaardUitvullen"/>
        <w:numPr>
          <w:ilvl w:val="0"/>
          <w:numId w:val="36"/>
        </w:numPr>
        <w:rPr>
          <w:rFonts w:cs="Arial"/>
          <w:bCs/>
          <w:lang w:val="nl-BE" w:eastAsia="en-US"/>
        </w:rPr>
      </w:pPr>
      <w:r w:rsidRPr="00BD780E">
        <w:rPr>
          <w:rFonts w:cs="Arial"/>
          <w:bCs/>
          <w:lang w:val="nl-BE" w:eastAsia="en-US"/>
        </w:rPr>
        <w:t xml:space="preserve">van 25% van het op grond van de jaarlijkse globale </w:t>
      </w:r>
      <w:proofErr w:type="spellStart"/>
      <w:r w:rsidRPr="00BD780E">
        <w:rPr>
          <w:rFonts w:cs="Arial"/>
          <w:bCs/>
          <w:lang w:val="nl-BE" w:eastAsia="en-US"/>
        </w:rPr>
        <w:t>brutobezoldiging</w:t>
      </w:r>
      <w:proofErr w:type="spellEnd"/>
      <w:r w:rsidRPr="00BD780E">
        <w:rPr>
          <w:rFonts w:cs="Arial"/>
          <w:bCs/>
          <w:lang w:val="nl-BE" w:eastAsia="en-US"/>
        </w:rPr>
        <w:t xml:space="preserve"> berekend uurloon voor ieder uur nachtwerk tussen 20 en 6 uur. Alle uren of delen van een uur van een prestatie die middernacht overschrijdt, worden beschouwd en betaald als nachturen, zelfs indien de prestatie start v</w:t>
      </w:r>
      <w:r w:rsidR="0037345A" w:rsidRPr="00BD780E">
        <w:rPr>
          <w:rFonts w:cs="Arial"/>
          <w:bCs/>
          <w:lang w:val="nl-BE" w:eastAsia="en-US"/>
        </w:rPr>
        <w:t>óó</w:t>
      </w:r>
      <w:r w:rsidRPr="00BD780E">
        <w:rPr>
          <w:rFonts w:cs="Arial"/>
          <w:bCs/>
          <w:lang w:val="nl-BE" w:eastAsia="en-US"/>
        </w:rPr>
        <w:t>r 20 uur of eindigt na 6 uur.</w:t>
      </w:r>
    </w:p>
    <w:p w14:paraId="662914BA" w14:textId="7229A5B2" w:rsidR="00C83C9D" w:rsidRPr="00BD780E" w:rsidRDefault="00C83C9D" w:rsidP="00C83C9D">
      <w:pPr>
        <w:pStyle w:val="StandaardUitvullen"/>
        <w:ind w:left="1211"/>
        <w:rPr>
          <w:rFonts w:cs="Arial"/>
          <w:bCs/>
          <w:lang w:val="nl-BE" w:eastAsia="en-US"/>
        </w:rPr>
      </w:pPr>
      <w:r w:rsidRPr="00BD780E">
        <w:rPr>
          <w:rFonts w:cs="Arial"/>
          <w:bCs/>
          <w:lang w:val="nl-BE" w:eastAsia="en-US"/>
        </w:rPr>
        <w:t xml:space="preserve">Deze toelage voor de nacht wordt toegevoegd aan het basisbarema van 11% (conform artikel </w:t>
      </w:r>
      <w:r w:rsidR="009C642B" w:rsidRPr="00BD780E">
        <w:rPr>
          <w:rFonts w:cs="Arial"/>
          <w:bCs/>
          <w:lang w:val="nl-BE" w:eastAsia="en-US"/>
        </w:rPr>
        <w:t>136</w:t>
      </w:r>
      <w:r w:rsidRPr="00BD780E">
        <w:rPr>
          <w:rFonts w:cs="Arial"/>
          <w:bCs/>
          <w:lang w:val="nl-BE" w:eastAsia="en-US"/>
        </w:rPr>
        <w:t>, ongeacht de dag van de week, inclusief zaterdag en zon- en feestdagen.</w:t>
      </w:r>
    </w:p>
    <w:p w14:paraId="510D1BD4" w14:textId="77777777" w:rsidR="00C83C9D" w:rsidRPr="00BD780E" w:rsidRDefault="00C83C9D" w:rsidP="009D4C40">
      <w:pPr>
        <w:pStyle w:val="StandaardUitvullen"/>
        <w:numPr>
          <w:ilvl w:val="0"/>
          <w:numId w:val="36"/>
        </w:numPr>
        <w:rPr>
          <w:rFonts w:cs="Arial"/>
          <w:bCs/>
          <w:strike/>
          <w:lang w:val="nl-BE" w:eastAsia="en-US"/>
        </w:rPr>
      </w:pPr>
      <w:r w:rsidRPr="00BD780E">
        <w:rPr>
          <w:rFonts w:cs="Arial"/>
          <w:bCs/>
          <w:lang w:val="nl-BE" w:eastAsia="en-US"/>
        </w:rPr>
        <w:t xml:space="preserve">van 1,02 euro per werkelijk gepresteerd uur in de loop van de zaterdag, zondag en feestdagen, gekoppeld aan de index. </w:t>
      </w:r>
    </w:p>
    <w:p w14:paraId="7EF1824E" w14:textId="77777777" w:rsidR="00C83C9D" w:rsidRPr="00BD780E" w:rsidRDefault="00C83C9D" w:rsidP="009D4C40">
      <w:pPr>
        <w:pStyle w:val="StandaardUitvullen"/>
        <w:numPr>
          <w:ilvl w:val="0"/>
          <w:numId w:val="36"/>
        </w:numPr>
        <w:rPr>
          <w:rFonts w:cs="Arial"/>
          <w:bCs/>
          <w:lang w:val="nl-BE" w:eastAsia="en-US"/>
        </w:rPr>
      </w:pPr>
      <w:r w:rsidRPr="00BD780E">
        <w:rPr>
          <w:rFonts w:cs="Arial"/>
          <w:bCs/>
          <w:lang w:val="nl-BE" w:eastAsia="en-US"/>
        </w:rPr>
        <w:t>die gelijk is aan de toelage voor nachtprestaties, voor elk werkelijk gepresteerd uur tussen 19 en 20 uur, ongeacht de dag van de week, inclusief zaterdag en zon- en feestdagen.</w:t>
      </w:r>
    </w:p>
    <w:p w14:paraId="1220F8ED" w14:textId="51411C44" w:rsidR="00C83C9D" w:rsidRPr="00BD780E" w:rsidRDefault="00C83C9D" w:rsidP="00677A80">
      <w:pPr>
        <w:pStyle w:val="StandaardUitvullen"/>
        <w:ind w:left="0"/>
        <w:rPr>
          <w:rFonts w:cs="Arial"/>
          <w:bCs/>
          <w:lang w:val="nl-BE" w:eastAsia="en-US"/>
        </w:rPr>
      </w:pPr>
      <w:r w:rsidRPr="00BD780E">
        <w:rPr>
          <w:rFonts w:cs="Arial"/>
          <w:bCs/>
          <w:lang w:val="nl-BE" w:eastAsia="en-US"/>
        </w:rPr>
        <w:lastRenderedPageBreak/>
        <w:t>§2</w:t>
      </w:r>
      <w:r w:rsidR="00BD780E" w:rsidRPr="00BD780E">
        <w:rPr>
          <w:rFonts w:cs="Arial"/>
          <w:bCs/>
          <w:lang w:val="nl-BE" w:eastAsia="en-US"/>
        </w:rPr>
        <w:t>.</w:t>
      </w:r>
      <w:r w:rsidRPr="00BD780E">
        <w:rPr>
          <w:rFonts w:cs="Arial"/>
          <w:bCs/>
          <w:lang w:val="nl-BE" w:eastAsia="en-US"/>
        </w:rPr>
        <w:t xml:space="preserve"> De toelage voor prestaties op zaterdag, zon- en feestdagen, zoals voorzien in §1, punt 2, kan niet gecumuleerd worden met de toelage voor nachtdiensten, zoals voorzien in §1, punt 1.</w:t>
      </w:r>
    </w:p>
    <w:p w14:paraId="15FA690D" w14:textId="7355EE9E" w:rsidR="00C83C9D" w:rsidRPr="00BD780E" w:rsidRDefault="00C83C9D" w:rsidP="00677A80">
      <w:pPr>
        <w:pStyle w:val="StandaardUitvullen"/>
        <w:ind w:left="0"/>
        <w:rPr>
          <w:rFonts w:cs="Arial"/>
          <w:bCs/>
          <w:lang w:val="nl-BE" w:eastAsia="en-US"/>
        </w:rPr>
      </w:pPr>
      <w:r w:rsidRPr="00BD780E">
        <w:rPr>
          <w:rFonts w:cs="Arial"/>
          <w:bCs/>
          <w:lang w:val="nl-BE" w:eastAsia="en-US"/>
        </w:rPr>
        <w:t xml:space="preserve">De toelage voor prestaties op zaterdag, zon- en feestdagen, zoals voorzien in §1, punt 2, kan wel samen met de salarisbijslag voor buitengewone dienstprestaties, voorzien in artikel </w:t>
      </w:r>
      <w:r w:rsidR="009C642B" w:rsidRPr="00BD780E">
        <w:rPr>
          <w:rFonts w:cs="Arial"/>
          <w:bCs/>
          <w:lang w:val="nl-BE" w:eastAsia="en-US"/>
        </w:rPr>
        <w:t>136</w:t>
      </w:r>
      <w:r w:rsidRPr="00BD780E">
        <w:rPr>
          <w:rFonts w:cs="Arial"/>
          <w:bCs/>
          <w:lang w:val="nl-BE" w:eastAsia="en-US"/>
        </w:rPr>
        <w:t>, worden toegekend.</w:t>
      </w:r>
    </w:p>
    <w:p w14:paraId="429CE01B" w14:textId="213A137D" w:rsidR="00C83C9D" w:rsidRPr="00BD780E" w:rsidRDefault="00C83C9D" w:rsidP="00677A80">
      <w:pPr>
        <w:pStyle w:val="StandaardUitvullen"/>
        <w:ind w:left="0"/>
        <w:rPr>
          <w:rFonts w:cs="Arial"/>
          <w:bCs/>
          <w:lang w:val="nl-BE" w:eastAsia="en-US"/>
        </w:rPr>
      </w:pPr>
      <w:r w:rsidRPr="00BD780E">
        <w:rPr>
          <w:rFonts w:cs="Arial"/>
          <w:bCs/>
          <w:lang w:val="nl-BE" w:eastAsia="en-US"/>
        </w:rPr>
        <w:t>§3</w:t>
      </w:r>
      <w:r w:rsidR="00BD780E" w:rsidRPr="00BD780E">
        <w:rPr>
          <w:rFonts w:cs="Arial"/>
          <w:bCs/>
          <w:lang w:val="nl-BE" w:eastAsia="en-US"/>
        </w:rPr>
        <w:t>.</w:t>
      </w:r>
      <w:r w:rsidRPr="00BD780E">
        <w:rPr>
          <w:rFonts w:cs="Arial"/>
          <w:bCs/>
          <w:lang w:val="nl-BE" w:eastAsia="en-US"/>
        </w:rPr>
        <w:t xml:space="preserve"> In afwijking van § 1 hebben alle personeelsleden van het Woon- en Zorgcentrum recht op de toelage zoals bedoeld in § 1, punt 1 en 3.</w:t>
      </w:r>
    </w:p>
    <w:p w14:paraId="174E311F" w14:textId="444E4E79" w:rsidR="00B37BAD" w:rsidRPr="00BD780E" w:rsidRDefault="00C83C9D" w:rsidP="00677A80">
      <w:pPr>
        <w:pStyle w:val="StandaardUitvullen"/>
        <w:ind w:left="0"/>
        <w:rPr>
          <w:rFonts w:cs="Arial"/>
          <w:bCs/>
          <w:lang w:val="nl-BE" w:eastAsia="en-US"/>
        </w:rPr>
      </w:pPr>
      <w:r w:rsidRPr="00BD780E">
        <w:rPr>
          <w:rFonts w:cs="Arial"/>
          <w:bCs/>
          <w:lang w:val="nl-BE" w:eastAsia="en-US"/>
        </w:rPr>
        <w:t>§4</w:t>
      </w:r>
      <w:r w:rsidR="00BD780E" w:rsidRPr="00BD780E">
        <w:rPr>
          <w:rFonts w:cs="Arial"/>
          <w:bCs/>
          <w:lang w:val="nl-BE" w:eastAsia="en-US"/>
        </w:rPr>
        <w:t>.</w:t>
      </w:r>
      <w:r w:rsidRPr="00BD780E">
        <w:rPr>
          <w:rFonts w:cs="Arial"/>
          <w:bCs/>
          <w:lang w:val="nl-BE" w:eastAsia="en-US"/>
        </w:rPr>
        <w:t xml:space="preserve"> In afwijking van § 1 heeft het personeel dat niet behoort tot het verplegend en verzorgend personeel recht op een toeslag gelijk aan</w:t>
      </w:r>
      <w:r w:rsidR="00B37BAD" w:rsidRPr="00BD780E">
        <w:rPr>
          <w:rFonts w:cs="Arial"/>
          <w:bCs/>
          <w:lang w:val="nl-BE" w:eastAsia="en-US"/>
        </w:rPr>
        <w:t>:</w:t>
      </w:r>
    </w:p>
    <w:p w14:paraId="2DBF266A" w14:textId="77777777" w:rsidR="00B37BAD" w:rsidRPr="00BD780E" w:rsidRDefault="00B37BAD" w:rsidP="00C83C9D">
      <w:pPr>
        <w:pStyle w:val="StandaardUitvullen"/>
        <w:rPr>
          <w:rFonts w:cs="Arial"/>
          <w:bCs/>
          <w:lang w:val="nl-BE" w:eastAsia="en-US"/>
        </w:rPr>
      </w:pPr>
      <w:r w:rsidRPr="00BD780E">
        <w:rPr>
          <w:rFonts w:cs="Arial"/>
          <w:bCs/>
          <w:lang w:val="nl-BE" w:eastAsia="en-US"/>
        </w:rPr>
        <w:t>-Voor zaterdag: 0,5</w:t>
      </w:r>
      <w:r w:rsidR="00C83C9D" w:rsidRPr="00BD780E">
        <w:rPr>
          <w:rFonts w:cs="Arial"/>
          <w:bCs/>
          <w:lang w:val="nl-BE" w:eastAsia="en-US"/>
        </w:rPr>
        <w:t>/1976</w:t>
      </w:r>
      <w:r w:rsidR="00C83C9D" w:rsidRPr="00BD780E">
        <w:rPr>
          <w:rFonts w:cs="Arial"/>
          <w:bCs/>
          <w:vertAlign w:val="superscript"/>
          <w:lang w:val="nl-BE" w:eastAsia="en-US"/>
        </w:rPr>
        <w:t>ste</w:t>
      </w:r>
      <w:r w:rsidR="00C83C9D" w:rsidRPr="00BD780E">
        <w:rPr>
          <w:rFonts w:cs="Arial"/>
          <w:bCs/>
          <w:lang w:val="nl-BE" w:eastAsia="en-US"/>
        </w:rPr>
        <w:t xml:space="preserve"> van het jaarsalaris. </w:t>
      </w:r>
    </w:p>
    <w:p w14:paraId="1931742C" w14:textId="77777777" w:rsidR="00B37BAD" w:rsidRPr="00BD780E" w:rsidRDefault="00B37BAD" w:rsidP="00C83C9D">
      <w:pPr>
        <w:pStyle w:val="StandaardUitvullen"/>
        <w:rPr>
          <w:rFonts w:cs="Arial"/>
          <w:bCs/>
          <w:lang w:val="nl-BE" w:eastAsia="en-US"/>
        </w:rPr>
      </w:pPr>
      <w:r w:rsidRPr="00BD780E">
        <w:rPr>
          <w:rFonts w:cs="Arial"/>
          <w:bCs/>
          <w:lang w:val="nl-BE" w:eastAsia="en-US"/>
        </w:rPr>
        <w:t>-Voor zon- en feestdagen: 1/1976</w:t>
      </w:r>
      <w:r w:rsidRPr="00BD780E">
        <w:rPr>
          <w:rFonts w:cs="Arial"/>
          <w:bCs/>
          <w:vertAlign w:val="superscript"/>
          <w:lang w:val="nl-BE" w:eastAsia="en-US"/>
        </w:rPr>
        <w:t>ste</w:t>
      </w:r>
      <w:r w:rsidRPr="00BD780E">
        <w:rPr>
          <w:rFonts w:cs="Arial"/>
          <w:bCs/>
          <w:lang w:val="nl-BE" w:eastAsia="en-US"/>
        </w:rPr>
        <w:t xml:space="preserve"> van het jaarsalaris.</w:t>
      </w:r>
    </w:p>
    <w:p w14:paraId="24DA721E" w14:textId="10DBF600" w:rsidR="00C83C9D" w:rsidRPr="00BD780E" w:rsidRDefault="00C83C9D" w:rsidP="00677A80">
      <w:pPr>
        <w:pStyle w:val="StandaardUitvullen"/>
        <w:ind w:left="0"/>
        <w:rPr>
          <w:rFonts w:cs="Arial"/>
          <w:bCs/>
          <w:lang w:val="nl-BE" w:eastAsia="en-US"/>
        </w:rPr>
      </w:pPr>
      <w:r w:rsidRPr="00BD780E">
        <w:rPr>
          <w:rFonts w:cs="Arial"/>
          <w:bCs/>
          <w:lang w:val="nl-BE" w:eastAsia="en-US"/>
        </w:rPr>
        <w:t>Deze toeslag</w:t>
      </w:r>
      <w:r w:rsidR="00B37BAD" w:rsidRPr="00BD780E">
        <w:rPr>
          <w:rFonts w:cs="Arial"/>
          <w:bCs/>
          <w:lang w:val="nl-BE" w:eastAsia="en-US"/>
        </w:rPr>
        <w:t>en zijn</w:t>
      </w:r>
      <w:r w:rsidRPr="00BD780E">
        <w:rPr>
          <w:rFonts w:cs="Arial"/>
          <w:bCs/>
          <w:lang w:val="nl-BE" w:eastAsia="en-US"/>
        </w:rPr>
        <w:t xml:space="preserve"> niet </w:t>
      </w:r>
      <w:proofErr w:type="spellStart"/>
      <w:r w:rsidRPr="00BD780E">
        <w:rPr>
          <w:rFonts w:cs="Arial"/>
          <w:bCs/>
          <w:lang w:val="nl-BE" w:eastAsia="en-US"/>
        </w:rPr>
        <w:t>cumuleerbaar</w:t>
      </w:r>
      <w:proofErr w:type="spellEnd"/>
      <w:r w:rsidRPr="00BD780E">
        <w:rPr>
          <w:rFonts w:cs="Arial"/>
          <w:bCs/>
          <w:lang w:val="nl-BE" w:eastAsia="en-US"/>
        </w:rPr>
        <w:t xml:space="preserve"> met de compensatie voorzien in artikel </w:t>
      </w:r>
      <w:r w:rsidR="009C642B" w:rsidRPr="00BD780E">
        <w:rPr>
          <w:rFonts w:cs="Arial"/>
          <w:bCs/>
          <w:lang w:val="nl-BE" w:eastAsia="en-US"/>
        </w:rPr>
        <w:t>1</w:t>
      </w:r>
      <w:r w:rsidR="00C80484" w:rsidRPr="00BD780E">
        <w:rPr>
          <w:rFonts w:cs="Arial"/>
          <w:bCs/>
          <w:lang w:val="nl-BE" w:eastAsia="en-US"/>
        </w:rPr>
        <w:t>3</w:t>
      </w:r>
      <w:r w:rsidR="009C642B" w:rsidRPr="00BD780E">
        <w:rPr>
          <w:rFonts w:cs="Arial"/>
          <w:bCs/>
          <w:lang w:val="nl-BE" w:eastAsia="en-US"/>
        </w:rPr>
        <w:t>2</w:t>
      </w:r>
      <w:r w:rsidRPr="00BD780E">
        <w:rPr>
          <w:rFonts w:cs="Arial"/>
          <w:bCs/>
          <w:lang w:val="nl-BE" w:eastAsia="en-US"/>
        </w:rPr>
        <w:t>.</w:t>
      </w:r>
    </w:p>
    <w:p w14:paraId="6B58BB51" w14:textId="308C3E9F" w:rsidR="00C83C9D" w:rsidRPr="00037A46" w:rsidRDefault="00C83C9D" w:rsidP="00677A80">
      <w:pPr>
        <w:autoSpaceDE w:val="0"/>
        <w:autoSpaceDN w:val="0"/>
        <w:ind w:left="0"/>
        <w:rPr>
          <w:rFonts w:cs="Arial"/>
          <w:b/>
          <w:i/>
          <w:lang w:eastAsia="en-US"/>
        </w:rPr>
      </w:pPr>
      <w:r w:rsidRPr="00BD780E">
        <w:rPr>
          <w:rFonts w:cs="Arial"/>
          <w:bCs/>
          <w:iCs/>
        </w:rPr>
        <w:t>§5</w:t>
      </w:r>
      <w:r w:rsidR="00BD780E" w:rsidRPr="00BD780E">
        <w:rPr>
          <w:rFonts w:cs="Arial"/>
          <w:bCs/>
          <w:iCs/>
        </w:rPr>
        <w:t>.</w:t>
      </w:r>
      <w:r w:rsidRPr="00BD780E">
        <w:rPr>
          <w:rFonts w:cs="Arial"/>
          <w:bCs/>
          <w:iCs/>
        </w:rPr>
        <w:t xml:space="preserve"> Voor</w:t>
      </w:r>
      <w:r w:rsidRPr="00A92AF1">
        <w:rPr>
          <w:rFonts w:cs="Arial"/>
          <w:bCs/>
          <w:iCs/>
        </w:rPr>
        <w:t xml:space="preserve"> de berekening van deze toeslagen worden de uren op maandbasis geteld, waarbij het resterend </w:t>
      </w:r>
      <w:proofErr w:type="spellStart"/>
      <w:r w:rsidRPr="00A92AF1">
        <w:rPr>
          <w:rFonts w:cs="Arial"/>
          <w:bCs/>
          <w:iCs/>
        </w:rPr>
        <w:t>uurgedeelte</w:t>
      </w:r>
      <w:proofErr w:type="spellEnd"/>
      <w:r w:rsidRPr="00A92AF1">
        <w:rPr>
          <w:rFonts w:cs="Arial"/>
          <w:bCs/>
          <w:iCs/>
        </w:rPr>
        <w:t xml:space="preserve"> wordt weggelaten of afgerond tot een uur, naargelang het minder dan of ten minste </w:t>
      </w:r>
      <w:r w:rsidR="0037345A" w:rsidRPr="00A92AF1">
        <w:rPr>
          <w:rFonts w:cs="Arial"/>
          <w:bCs/>
          <w:iCs/>
        </w:rPr>
        <w:t>30</w:t>
      </w:r>
      <w:r w:rsidRPr="00A92AF1">
        <w:rPr>
          <w:rFonts w:cs="Arial"/>
          <w:bCs/>
          <w:iCs/>
        </w:rPr>
        <w:t xml:space="preserve"> minuten bedraagt.</w:t>
      </w:r>
    </w:p>
    <w:p w14:paraId="46170B23" w14:textId="0979D42C" w:rsidR="00C83C9D" w:rsidRPr="00037A46" w:rsidRDefault="00C83C9D" w:rsidP="00C83C9D">
      <w:pPr>
        <w:pStyle w:val="Kop5"/>
      </w:pPr>
      <w:r w:rsidRPr="00037A46">
        <w:t xml:space="preserve">Artikel </w:t>
      </w:r>
      <w:r w:rsidR="006763C7">
        <w:t>136</w:t>
      </w:r>
    </w:p>
    <w:p w14:paraId="7D13092A" w14:textId="77777777" w:rsidR="00C83C9D" w:rsidRPr="00037A46" w:rsidRDefault="00C83C9D" w:rsidP="00677A80">
      <w:pPr>
        <w:pStyle w:val="StandaardUitvullen"/>
        <w:ind w:left="0"/>
        <w:rPr>
          <w:rFonts w:cs="Arial"/>
          <w:lang w:val="nl-BE" w:eastAsia="en-US"/>
        </w:rPr>
      </w:pPr>
      <w:r w:rsidRPr="00FA79E5">
        <w:rPr>
          <w:rFonts w:cs="Arial"/>
          <w:lang w:val="nl-BE" w:eastAsia="en-US"/>
        </w:rPr>
        <w:t xml:space="preserve">Prestaties geleverd onder de vorm van wisselende diensten met nacht- zondag- en feestdagwerk krijgen een extra jaarlijkse salarisbijslag, </w:t>
      </w:r>
      <w:r w:rsidR="008E63BF" w:rsidRPr="00FA79E5">
        <w:rPr>
          <w:rFonts w:cs="Arial"/>
          <w:lang w:val="nl-BE" w:eastAsia="en-US"/>
        </w:rPr>
        <w:t xml:space="preserve">nl. de </w:t>
      </w:r>
      <w:r w:rsidRPr="00FA79E5">
        <w:rPr>
          <w:rFonts w:cs="Arial"/>
          <w:lang w:val="nl-BE" w:eastAsia="en-US"/>
        </w:rPr>
        <w:t>toelage voor wisseldienst.</w:t>
      </w:r>
    </w:p>
    <w:p w14:paraId="5E538D16" w14:textId="77777777" w:rsidR="00C83C9D" w:rsidRPr="00037A46" w:rsidRDefault="00C83C9D" w:rsidP="00677A80">
      <w:pPr>
        <w:pStyle w:val="StandaardUitvullen"/>
        <w:spacing w:after="60"/>
        <w:ind w:left="0"/>
        <w:rPr>
          <w:rFonts w:cs="Arial"/>
          <w:lang w:val="nl-BE" w:eastAsia="en-US"/>
        </w:rPr>
      </w:pPr>
      <w:r w:rsidRPr="00037A46">
        <w:rPr>
          <w:rFonts w:cs="Arial"/>
          <w:lang w:val="nl-BE" w:eastAsia="en-US"/>
        </w:rPr>
        <w:t>Onder wisseldienst wordt begrepen :</w:t>
      </w:r>
    </w:p>
    <w:p w14:paraId="46587682" w14:textId="77777777" w:rsidR="00C83C9D" w:rsidRPr="00037A46" w:rsidRDefault="00C83C9D" w:rsidP="009D4C40">
      <w:pPr>
        <w:pStyle w:val="StandaardUitvullen"/>
        <w:numPr>
          <w:ilvl w:val="0"/>
          <w:numId w:val="37"/>
        </w:numPr>
        <w:spacing w:before="0" w:after="0"/>
        <w:ind w:left="1208" w:hanging="357"/>
        <w:rPr>
          <w:rFonts w:cs="Arial"/>
          <w:lang w:val="nl-BE" w:eastAsia="en-US"/>
        </w:rPr>
      </w:pPr>
      <w:r w:rsidRPr="00037A46">
        <w:rPr>
          <w:rFonts w:cs="Arial"/>
          <w:lang w:val="nl-BE" w:eastAsia="en-US"/>
        </w:rPr>
        <w:t>nachtdienst</w:t>
      </w:r>
    </w:p>
    <w:p w14:paraId="4AC73A2F" w14:textId="77777777" w:rsidR="00C83C9D" w:rsidRPr="00037A46" w:rsidRDefault="00C83C9D" w:rsidP="009D4C40">
      <w:pPr>
        <w:pStyle w:val="StandaardUitvullen"/>
        <w:numPr>
          <w:ilvl w:val="0"/>
          <w:numId w:val="37"/>
        </w:numPr>
        <w:spacing w:after="0"/>
        <w:ind w:left="1208" w:hanging="357"/>
        <w:rPr>
          <w:rFonts w:cs="Arial"/>
          <w:lang w:val="nl-BE" w:eastAsia="en-US"/>
        </w:rPr>
      </w:pPr>
      <w:r w:rsidRPr="00037A46">
        <w:rPr>
          <w:rFonts w:cs="Arial"/>
          <w:lang w:val="nl-BE" w:eastAsia="en-US"/>
        </w:rPr>
        <w:t>werk op zon-</w:t>
      </w:r>
      <w:r w:rsidR="0037345A" w:rsidRPr="00037A46">
        <w:rPr>
          <w:rFonts w:cs="Arial"/>
          <w:lang w:val="nl-BE" w:eastAsia="en-US"/>
        </w:rPr>
        <w:t xml:space="preserve"> </w:t>
      </w:r>
      <w:r w:rsidRPr="00037A46">
        <w:rPr>
          <w:rFonts w:cs="Arial"/>
          <w:lang w:val="nl-BE" w:eastAsia="en-US"/>
        </w:rPr>
        <w:t>en feestdagen</w:t>
      </w:r>
    </w:p>
    <w:p w14:paraId="580FF88F" w14:textId="77777777" w:rsidR="00C83C9D" w:rsidRPr="00037A46" w:rsidRDefault="00C83C9D" w:rsidP="009D4C40">
      <w:pPr>
        <w:pStyle w:val="StandaardUitvullen"/>
        <w:numPr>
          <w:ilvl w:val="0"/>
          <w:numId w:val="37"/>
        </w:numPr>
        <w:spacing w:after="60"/>
        <w:ind w:left="1208" w:hanging="357"/>
        <w:rPr>
          <w:rFonts w:cs="Arial"/>
          <w:lang w:val="nl-BE" w:eastAsia="en-US"/>
        </w:rPr>
      </w:pPr>
      <w:r w:rsidRPr="00037A46">
        <w:rPr>
          <w:rFonts w:cs="Arial"/>
          <w:lang w:val="nl-BE" w:eastAsia="en-US"/>
        </w:rPr>
        <w:t>wisselende dienstprestaties of onderbroken diensten</w:t>
      </w:r>
    </w:p>
    <w:p w14:paraId="77BF7DD5" w14:textId="77777777" w:rsidR="00C83C9D" w:rsidRPr="00037A46" w:rsidRDefault="00C83C9D" w:rsidP="00677A80">
      <w:pPr>
        <w:pStyle w:val="StandaardUitvullen"/>
        <w:spacing w:before="120"/>
        <w:ind w:left="0"/>
        <w:rPr>
          <w:rFonts w:cs="Arial"/>
          <w:lang w:val="nl-BE" w:eastAsia="en-US"/>
        </w:rPr>
      </w:pPr>
      <w:r w:rsidRPr="00037A46">
        <w:rPr>
          <w:rFonts w:cs="Arial"/>
          <w:lang w:val="nl-BE" w:eastAsia="en-US"/>
        </w:rPr>
        <w:t xml:space="preserve">Gediplomeerde en niet-gediplomeerde leden van het verplegend en verzorgend personeel tot en met de graad van </w:t>
      </w:r>
      <w:proofErr w:type="spellStart"/>
      <w:r w:rsidRPr="00037A46">
        <w:rPr>
          <w:rFonts w:cs="Arial"/>
          <w:lang w:val="nl-BE" w:eastAsia="en-US"/>
        </w:rPr>
        <w:t>hoofdverple</w:t>
      </w:r>
      <w:proofErr w:type="spellEnd"/>
      <w:r w:rsidRPr="00037A46">
        <w:rPr>
          <w:rFonts w:cs="Arial"/>
          <w:lang w:val="nl-BE" w:eastAsia="en-US"/>
        </w:rPr>
        <w:t>(e)g(st)er en leden van het paramedisch personeel die twee van de drie prestaties vermeld onder definitie wisseldienst doorlopend vervullen, komen in aanmerking voor deze toelage.</w:t>
      </w:r>
    </w:p>
    <w:p w14:paraId="084B4633" w14:textId="26AC9742" w:rsidR="00C83C9D" w:rsidRPr="00037A46" w:rsidRDefault="00C83C9D" w:rsidP="00677A80">
      <w:pPr>
        <w:pStyle w:val="StandaardUitvullen"/>
        <w:ind w:left="0"/>
        <w:rPr>
          <w:rFonts w:cs="Arial"/>
          <w:lang w:val="nl-BE" w:eastAsia="en-US"/>
        </w:rPr>
      </w:pPr>
      <w:r w:rsidRPr="00037A46">
        <w:rPr>
          <w:rFonts w:cs="Arial"/>
          <w:lang w:val="nl-BE" w:eastAsia="en-US"/>
        </w:rPr>
        <w:t>De jaarlijkse salaristoelage voor wisseldienst bedraagt 11%, berekend op basis van hun werkelijke wedde. Deze salarisbijslag wordt maandelijks verrekend.</w:t>
      </w:r>
    </w:p>
    <w:p w14:paraId="4AD0C2B5" w14:textId="4DE3C5C4" w:rsidR="00C83C9D" w:rsidRPr="00037A46" w:rsidRDefault="00C83C9D" w:rsidP="00677A80">
      <w:pPr>
        <w:pStyle w:val="StandaardUitvullen"/>
        <w:ind w:left="0"/>
        <w:rPr>
          <w:rFonts w:cs="Arial"/>
          <w:lang w:val="nl-BE" w:eastAsia="en-US"/>
        </w:rPr>
      </w:pPr>
      <w:r w:rsidRPr="00037A46">
        <w:rPr>
          <w:rFonts w:cs="Arial"/>
          <w:lang w:val="nl-BE" w:eastAsia="en-US"/>
        </w:rPr>
        <w:t>De salarisbijslag van 11% wordt eveneens uitbetaald in een maand, tijdens welke het betrokken personeelslid de twee gestelde voorwaarden toevallig niet heeft vervuld, wanneer deze toevalligheid voortspruit uit de normale toepassing van de dienstrol.</w:t>
      </w:r>
    </w:p>
    <w:p w14:paraId="45CA6BBA" w14:textId="77777777" w:rsidR="00C83C9D" w:rsidRPr="00037A46" w:rsidRDefault="00C83C9D" w:rsidP="00677A80">
      <w:pPr>
        <w:pStyle w:val="StandaardUitvullen"/>
        <w:ind w:left="0"/>
        <w:rPr>
          <w:b/>
          <w:lang w:eastAsia="en-US"/>
        </w:rPr>
      </w:pPr>
      <w:r w:rsidRPr="00037A46">
        <w:rPr>
          <w:rFonts w:cs="Arial"/>
          <w:lang w:val="nl-BE" w:eastAsia="en-US"/>
        </w:rPr>
        <w:t>Wanneer aan de gestelde voorwaarden nochtans niet wordt voldaan door de omstandigheden, afhangende van het personeelslid zelf (vb. een vraag om gedurende een bepaalde tijd ontslagen te worden van een van de twee vereiste prestaties, afwezigheid wegens onbezoldigd verlof enz.) en zich uitstrekt over de duurtijd van 1 maand verbeurt het personeelslid de salarisbijslag van 11 %.</w:t>
      </w:r>
    </w:p>
    <w:p w14:paraId="01938D79" w14:textId="758DEFFA" w:rsidR="003B1BA0" w:rsidRPr="00037A46" w:rsidRDefault="00074DFE" w:rsidP="00074DFE">
      <w:pPr>
        <w:pStyle w:val="Kop3"/>
        <w:jc w:val="left"/>
        <w:rPr>
          <w:lang w:val="nl-BE" w:eastAsia="en-US"/>
        </w:rPr>
      </w:pPr>
      <w:bookmarkStart w:id="200" w:name="_Toc110948205"/>
      <w:bookmarkStart w:id="201" w:name="_Toc215739015"/>
      <w:r w:rsidRPr="00037A46">
        <w:t>Afdeling 4</w:t>
      </w:r>
      <w:r w:rsidR="003B1BA0" w:rsidRPr="00037A46">
        <w:t>. De verstoringstoelage</w:t>
      </w:r>
      <w:bookmarkEnd w:id="200"/>
      <w:bookmarkEnd w:id="201"/>
      <w:r w:rsidR="003B1BA0" w:rsidRPr="00037A46">
        <w:br/>
      </w:r>
    </w:p>
    <w:p w14:paraId="14A718B3" w14:textId="7F7B12C8" w:rsidR="0033559A" w:rsidRPr="00037A46" w:rsidRDefault="00C83C9D" w:rsidP="0033559A">
      <w:pPr>
        <w:ind w:left="0"/>
        <w:rPr>
          <w:b/>
          <w:lang w:val="nl-BE" w:eastAsia="en-US"/>
        </w:rPr>
      </w:pPr>
      <w:r w:rsidRPr="00037A46">
        <w:rPr>
          <w:b/>
          <w:lang w:val="nl-BE" w:eastAsia="en-US"/>
        </w:rPr>
        <w:t>Artikel</w:t>
      </w:r>
      <w:r w:rsidR="00C94443">
        <w:rPr>
          <w:b/>
          <w:lang w:val="nl-BE" w:eastAsia="en-US"/>
        </w:rPr>
        <w:t xml:space="preserve"> </w:t>
      </w:r>
      <w:r w:rsidR="006763C7">
        <w:rPr>
          <w:b/>
          <w:lang w:val="nl-BE" w:eastAsia="en-US"/>
        </w:rPr>
        <w:t>137</w:t>
      </w:r>
    </w:p>
    <w:p w14:paraId="696B5847" w14:textId="50F0DC5F" w:rsidR="003B1BA0" w:rsidRPr="00FD7E2F" w:rsidRDefault="003B1BA0" w:rsidP="00677A80">
      <w:pPr>
        <w:ind w:left="0"/>
        <w:rPr>
          <w:bCs/>
          <w:lang w:val="nl-BE" w:eastAsia="en-US"/>
        </w:rPr>
      </w:pPr>
      <w:r w:rsidRPr="00FD7E2F">
        <w:rPr>
          <w:bCs/>
          <w:lang w:val="nl-BE" w:eastAsia="en-US"/>
        </w:rPr>
        <w:t>§1</w:t>
      </w:r>
      <w:r w:rsidR="00FD7E2F" w:rsidRPr="00FD7E2F">
        <w:rPr>
          <w:bCs/>
          <w:lang w:val="nl-BE" w:eastAsia="en-US"/>
        </w:rPr>
        <w:t>.</w:t>
      </w:r>
      <w:r w:rsidR="0008368C" w:rsidRPr="00FD7E2F">
        <w:rPr>
          <w:bCs/>
          <w:lang w:val="nl-BE" w:eastAsia="en-US"/>
        </w:rPr>
        <w:t xml:space="preserve"> </w:t>
      </w:r>
      <w:r w:rsidRPr="00FD7E2F">
        <w:rPr>
          <w:bCs/>
          <w:lang w:val="nl-BE" w:eastAsia="en-US"/>
        </w:rPr>
        <w:t xml:space="preserve">Het personeelslid dat onvoorzien buiten zijn arbeidstijdregeling of buiten de periode waarin het op vrijwillige basis in de wachtregeling van de technische uitvoeringsdiensten, van de bibliotheek, de bevolking en de burgerlijke stand en de </w:t>
      </w:r>
      <w:r w:rsidR="000B17AD" w:rsidRPr="00FD7E2F">
        <w:rPr>
          <w:bCs/>
          <w:lang w:val="nl-BE" w:eastAsia="en-US"/>
        </w:rPr>
        <w:t>regeling ijzelbestrijding</w:t>
      </w:r>
      <w:r w:rsidRPr="00FD7E2F">
        <w:rPr>
          <w:bCs/>
          <w:lang w:val="nl-BE" w:eastAsia="en-US"/>
        </w:rPr>
        <w:t xml:space="preserve"> is toegetreden, opgeroepen wordt voor een dringend en onvoorzien werk, ontvangt per oproep een verstoringstoelage. De verstoringstoelage bedraagt twee keer het uurloon.</w:t>
      </w:r>
    </w:p>
    <w:p w14:paraId="56268B8C" w14:textId="7C7BEB57" w:rsidR="003B1BA0" w:rsidRPr="00FD7E2F" w:rsidRDefault="003B1BA0" w:rsidP="00677A80">
      <w:pPr>
        <w:ind w:left="0"/>
        <w:rPr>
          <w:bCs/>
          <w:lang w:val="nl-BE" w:eastAsia="en-US"/>
        </w:rPr>
      </w:pPr>
      <w:r w:rsidRPr="00FD7E2F">
        <w:rPr>
          <w:bCs/>
          <w:lang w:val="nl-BE" w:eastAsia="en-US"/>
        </w:rPr>
        <w:lastRenderedPageBreak/>
        <w:t>§2</w:t>
      </w:r>
      <w:r w:rsidR="00FD7E2F" w:rsidRPr="00FD7E2F">
        <w:rPr>
          <w:bCs/>
          <w:lang w:val="nl-BE" w:eastAsia="en-US"/>
        </w:rPr>
        <w:t>.</w:t>
      </w:r>
      <w:r w:rsidRPr="00FD7E2F">
        <w:rPr>
          <w:bCs/>
          <w:lang w:val="nl-BE" w:eastAsia="en-US"/>
        </w:rPr>
        <w:t xml:space="preserve"> Als berekeningsbasis voor het uurloon geldt het bruto-</w:t>
      </w:r>
      <w:proofErr w:type="spellStart"/>
      <w:r w:rsidRPr="00FD7E2F">
        <w:rPr>
          <w:bCs/>
          <w:lang w:val="nl-BE" w:eastAsia="en-US"/>
        </w:rPr>
        <w:t>uursalaris</w:t>
      </w:r>
      <w:proofErr w:type="spellEnd"/>
      <w:r w:rsidRPr="00FD7E2F">
        <w:rPr>
          <w:bCs/>
          <w:lang w:val="nl-BE" w:eastAsia="en-US"/>
        </w:rPr>
        <w:t>, eventueel verhoogd met de haard- of standplaatstoelage, de toelage voor het waarnemen van een hogere functie of de gegarandeerde salarisverhoging na bevordering.</w:t>
      </w:r>
    </w:p>
    <w:p w14:paraId="1FC463A9" w14:textId="5CA562D8" w:rsidR="00DA3FF7" w:rsidRPr="00FD7E2F" w:rsidRDefault="0033559A" w:rsidP="00677A80">
      <w:pPr>
        <w:ind w:left="0"/>
        <w:rPr>
          <w:bCs/>
          <w:lang w:val="nl-BE" w:eastAsia="en-US"/>
        </w:rPr>
      </w:pPr>
      <w:r w:rsidRPr="00FD7E2F">
        <w:rPr>
          <w:bCs/>
          <w:lang w:val="nl-BE" w:eastAsia="en-US"/>
        </w:rPr>
        <w:t>§3</w:t>
      </w:r>
      <w:r w:rsidR="00FD7E2F" w:rsidRPr="00FD7E2F">
        <w:rPr>
          <w:bCs/>
          <w:lang w:val="nl-BE" w:eastAsia="en-US"/>
        </w:rPr>
        <w:t>.</w:t>
      </w:r>
      <w:r w:rsidRPr="00FD7E2F">
        <w:rPr>
          <w:bCs/>
          <w:lang w:val="nl-BE" w:eastAsia="en-US"/>
        </w:rPr>
        <w:t xml:space="preserve"> </w:t>
      </w:r>
      <w:r w:rsidR="00DA3FF7" w:rsidRPr="00FD7E2F">
        <w:rPr>
          <w:bCs/>
          <w:lang w:val="nl-BE" w:eastAsia="en-US"/>
        </w:rPr>
        <w:t xml:space="preserve">De verstoringstoelage kan gecumuleerd worden met de bepalingen inzake de inhaalrust bij de onregelmatige prestaties zoals bepaald in artikel </w:t>
      </w:r>
      <w:r w:rsidR="00C80484" w:rsidRPr="00FD7E2F">
        <w:rPr>
          <w:bCs/>
          <w:lang w:val="nl-BE" w:eastAsia="en-US"/>
        </w:rPr>
        <w:t>132</w:t>
      </w:r>
      <w:r w:rsidR="00DA3FF7" w:rsidRPr="00FD7E2F">
        <w:rPr>
          <w:bCs/>
          <w:lang w:val="nl-BE" w:eastAsia="en-US"/>
        </w:rPr>
        <w:t>.</w:t>
      </w:r>
    </w:p>
    <w:p w14:paraId="4C301027" w14:textId="72024A4B" w:rsidR="00BB35B5" w:rsidRPr="00FD7E2F" w:rsidRDefault="00DA3FF7" w:rsidP="00677A80">
      <w:pPr>
        <w:ind w:left="0"/>
        <w:jc w:val="left"/>
        <w:rPr>
          <w:bCs/>
        </w:rPr>
      </w:pPr>
      <w:r w:rsidRPr="00FD7E2F">
        <w:rPr>
          <w:bCs/>
          <w:lang w:val="nl-BE" w:eastAsia="en-US"/>
        </w:rPr>
        <w:t>§4</w:t>
      </w:r>
      <w:r w:rsidR="00FD7E2F" w:rsidRPr="00FD7E2F">
        <w:rPr>
          <w:bCs/>
          <w:lang w:val="nl-BE" w:eastAsia="en-US"/>
        </w:rPr>
        <w:t>.</w:t>
      </w:r>
      <w:r w:rsidRPr="00FD7E2F">
        <w:rPr>
          <w:bCs/>
          <w:lang w:val="nl-BE" w:eastAsia="en-US"/>
        </w:rPr>
        <w:t xml:space="preserve"> De decretale graden en de personeelsleden die onder de arbeidswet vallen zijn uitgesloten van de verstoringstoelage.</w:t>
      </w:r>
      <w:r w:rsidR="00BB35B5" w:rsidRPr="00FD7E2F">
        <w:rPr>
          <w:bCs/>
        </w:rPr>
        <w:t xml:space="preserve"> </w:t>
      </w:r>
    </w:p>
    <w:p w14:paraId="6AE88620" w14:textId="74040C25" w:rsidR="00BB35B5" w:rsidRPr="00FD7E2F" w:rsidRDefault="00BB35B5" w:rsidP="00677A80">
      <w:pPr>
        <w:ind w:left="0"/>
        <w:jc w:val="left"/>
        <w:rPr>
          <w:lang w:val="nl-BE" w:eastAsia="en-US"/>
        </w:rPr>
      </w:pPr>
      <w:r w:rsidRPr="00FD7E2F">
        <w:rPr>
          <w:bCs/>
          <w:lang w:val="nl-BE" w:eastAsia="en-US"/>
        </w:rPr>
        <w:t>§5</w:t>
      </w:r>
      <w:r w:rsidR="00FD7E2F" w:rsidRPr="00FD7E2F">
        <w:rPr>
          <w:bCs/>
          <w:lang w:val="nl-BE" w:eastAsia="en-US"/>
        </w:rPr>
        <w:t>.</w:t>
      </w:r>
      <w:r w:rsidRPr="00FD7E2F">
        <w:rPr>
          <w:bCs/>
          <w:lang w:val="nl-BE" w:eastAsia="en-US"/>
        </w:rPr>
        <w:t xml:space="preserve"> Elke aanvraag </w:t>
      </w:r>
      <w:r w:rsidR="0025696C" w:rsidRPr="00FD7E2F">
        <w:rPr>
          <w:bCs/>
          <w:lang w:val="nl-BE" w:eastAsia="en-US"/>
        </w:rPr>
        <w:t xml:space="preserve">dient te worden goedgekeurd door de </w:t>
      </w:r>
      <w:r w:rsidR="003474E1" w:rsidRPr="00FD7E2F">
        <w:rPr>
          <w:bCs/>
          <w:lang w:val="nl-BE" w:eastAsia="en-US"/>
        </w:rPr>
        <w:t>algemeen directeur</w:t>
      </w:r>
      <w:r w:rsidR="0025696C" w:rsidRPr="00FD7E2F">
        <w:rPr>
          <w:bCs/>
          <w:lang w:val="nl-BE" w:eastAsia="en-US"/>
        </w:rPr>
        <w:t xml:space="preserve"> op basis van volgende voorwaarden</w:t>
      </w:r>
      <w:r w:rsidR="0025696C" w:rsidRPr="00FD7E2F">
        <w:rPr>
          <w:lang w:val="nl-BE" w:eastAsia="en-US"/>
        </w:rPr>
        <w:t>:</w:t>
      </w:r>
      <w:r w:rsidRPr="00FD7E2F">
        <w:rPr>
          <w:lang w:val="nl-BE" w:eastAsia="en-US"/>
        </w:rPr>
        <w:t xml:space="preserve"> </w:t>
      </w:r>
    </w:p>
    <w:p w14:paraId="756E7148" w14:textId="02B921DD" w:rsidR="00BB35B5" w:rsidRPr="00FD7E2F" w:rsidRDefault="00BB35B5" w:rsidP="009D4C40">
      <w:pPr>
        <w:pStyle w:val="Lijstalinea"/>
        <w:numPr>
          <w:ilvl w:val="0"/>
          <w:numId w:val="107"/>
        </w:numPr>
        <w:jc w:val="left"/>
        <w:rPr>
          <w:lang w:val="nl-BE" w:eastAsia="en-US"/>
        </w:rPr>
      </w:pPr>
      <w:r w:rsidRPr="00FD7E2F">
        <w:rPr>
          <w:lang w:val="nl-BE" w:eastAsia="en-US"/>
        </w:rPr>
        <w:t>het moet gaan om een onvoorzien probleem dat een dringende oplossing vraagt en waardoor de werking onderbroken of gestoord wordt. Het gaat dus niet om structurele problem</w:t>
      </w:r>
      <w:r w:rsidR="000D62A9" w:rsidRPr="00FD7E2F">
        <w:rPr>
          <w:lang w:val="nl-BE" w:eastAsia="en-US"/>
        </w:rPr>
        <w:t>en;</w:t>
      </w:r>
    </w:p>
    <w:p w14:paraId="28FCDA82" w14:textId="74082DBA" w:rsidR="00A84227" w:rsidRPr="00FD7E2F" w:rsidRDefault="00BB35B5" w:rsidP="009D4C40">
      <w:pPr>
        <w:pStyle w:val="Lijstalinea"/>
        <w:numPr>
          <w:ilvl w:val="0"/>
          <w:numId w:val="107"/>
        </w:numPr>
        <w:jc w:val="left"/>
        <w:rPr>
          <w:lang w:val="nl-BE" w:eastAsia="en-US"/>
        </w:rPr>
      </w:pPr>
      <w:r w:rsidRPr="00FD7E2F">
        <w:rPr>
          <w:lang w:val="nl-BE" w:eastAsia="en-US"/>
        </w:rPr>
        <w:t>het kan enkel door d</w:t>
      </w:r>
      <w:r w:rsidR="000D62A9" w:rsidRPr="00FD7E2F">
        <w:rPr>
          <w:lang w:val="nl-BE" w:eastAsia="en-US"/>
        </w:rPr>
        <w:t>e ‘verstoorde’ worden verholpen;</w:t>
      </w:r>
    </w:p>
    <w:p w14:paraId="075770BE" w14:textId="57FEF1EF" w:rsidR="00590FCB" w:rsidRPr="00FD7E2F" w:rsidRDefault="00BB35B5" w:rsidP="009D4C40">
      <w:pPr>
        <w:pStyle w:val="Lijstalinea"/>
        <w:numPr>
          <w:ilvl w:val="0"/>
          <w:numId w:val="107"/>
        </w:numPr>
        <w:jc w:val="left"/>
        <w:rPr>
          <w:lang w:val="nl-BE" w:eastAsia="en-US"/>
        </w:rPr>
      </w:pPr>
      <w:r w:rsidRPr="00FD7E2F">
        <w:rPr>
          <w:lang w:val="nl-BE" w:eastAsia="en-US"/>
        </w:rPr>
        <w:t xml:space="preserve">het gaat om problemen die zich voordoen buiten </w:t>
      </w:r>
      <w:r w:rsidR="000D62A9" w:rsidRPr="00FD7E2F">
        <w:rPr>
          <w:lang w:val="nl-BE" w:eastAsia="en-US"/>
        </w:rPr>
        <w:t>de</w:t>
      </w:r>
      <w:r w:rsidR="00ED72F1" w:rsidRPr="00FD7E2F">
        <w:rPr>
          <w:lang w:val="nl-BE" w:eastAsia="en-US"/>
        </w:rPr>
        <w:t xml:space="preserve"> effectieve</w:t>
      </w:r>
      <w:r w:rsidR="000D62A9" w:rsidRPr="00FD7E2F">
        <w:rPr>
          <w:lang w:val="nl-BE" w:eastAsia="en-US"/>
        </w:rPr>
        <w:t xml:space="preserve"> werktijd van de ‘verstoorde’;</w:t>
      </w:r>
    </w:p>
    <w:p w14:paraId="408CCF63" w14:textId="00C8DFF8" w:rsidR="00590FCB" w:rsidRPr="00FD7E2F" w:rsidRDefault="00BB35B5" w:rsidP="009D4C40">
      <w:pPr>
        <w:pStyle w:val="Lijstalinea"/>
        <w:numPr>
          <w:ilvl w:val="0"/>
          <w:numId w:val="107"/>
        </w:numPr>
        <w:jc w:val="left"/>
        <w:rPr>
          <w:lang w:val="nl-BE" w:eastAsia="en-US"/>
        </w:rPr>
      </w:pPr>
      <w:r w:rsidRPr="00FD7E2F">
        <w:rPr>
          <w:lang w:val="nl-BE" w:eastAsia="en-US"/>
        </w:rPr>
        <w:t>de 'verstoorde' moet een actie ondernemen (bellen, ter plaatse gaan, richtlijnen geven…). Een gewone kennisname (bv. wijziging planning per sms/mail) of doorverwijzing is geen verstoring.</w:t>
      </w:r>
    </w:p>
    <w:p w14:paraId="74FCE2CD" w14:textId="75CF61D4" w:rsidR="003A11FB" w:rsidRPr="00FD7E2F" w:rsidRDefault="003A11FB" w:rsidP="00B44CF7">
      <w:pPr>
        <w:pStyle w:val="Kop2"/>
        <w:rPr>
          <w:lang w:val="nl-BE" w:eastAsia="en-US"/>
        </w:rPr>
      </w:pPr>
      <w:bookmarkStart w:id="202" w:name="_Toc110948206"/>
      <w:bookmarkStart w:id="203" w:name="_Toc215739016"/>
      <w:r w:rsidRPr="00FD7E2F">
        <w:t>Hoofdstuk iv. de andere toelagen</w:t>
      </w:r>
      <w:bookmarkEnd w:id="202"/>
      <w:bookmarkEnd w:id="203"/>
    </w:p>
    <w:p w14:paraId="2495CA83" w14:textId="7C75EF4B" w:rsidR="003A11FB" w:rsidRPr="00FD7E2F" w:rsidRDefault="003A11FB" w:rsidP="003A11FB">
      <w:pPr>
        <w:pStyle w:val="Kop3"/>
      </w:pPr>
      <w:bookmarkStart w:id="204" w:name="_Toc110948207"/>
      <w:bookmarkStart w:id="205" w:name="_Toc215739017"/>
      <w:r w:rsidRPr="00FD7E2F">
        <w:t>Afdeling 1. de toelage voor het waarnemen van een hogere functie</w:t>
      </w:r>
      <w:bookmarkEnd w:id="204"/>
      <w:bookmarkEnd w:id="205"/>
    </w:p>
    <w:p w14:paraId="2186B6C5" w14:textId="6B10886E" w:rsidR="003A11FB" w:rsidRPr="00FD7E2F" w:rsidRDefault="00F43E03" w:rsidP="003A11FB">
      <w:pPr>
        <w:pStyle w:val="Kop5"/>
      </w:pPr>
      <w:r w:rsidRPr="00FD7E2F">
        <w:t>Artikel</w:t>
      </w:r>
      <w:r w:rsidR="00C94443" w:rsidRPr="00FD7E2F">
        <w:t xml:space="preserve"> </w:t>
      </w:r>
      <w:r w:rsidR="006763C7" w:rsidRPr="00FD7E2F">
        <w:t>138</w:t>
      </w:r>
    </w:p>
    <w:p w14:paraId="481E595D" w14:textId="641F068F" w:rsidR="003A11FB" w:rsidRPr="00037A46" w:rsidRDefault="003A11FB" w:rsidP="00677A80">
      <w:pPr>
        <w:pStyle w:val="StandaardUitvullen"/>
        <w:ind w:left="0"/>
        <w:rPr>
          <w:lang w:val="nl-BE" w:eastAsia="en-US"/>
        </w:rPr>
      </w:pPr>
      <w:r w:rsidRPr="00FD7E2F">
        <w:rPr>
          <w:lang w:val="nl-BE" w:eastAsia="en-US"/>
        </w:rPr>
        <w:t xml:space="preserve">Het personeelslid dat gedurende ten minste </w:t>
      </w:r>
      <w:r w:rsidR="000D62A9" w:rsidRPr="00FD7E2F">
        <w:rPr>
          <w:lang w:val="nl-BE" w:eastAsia="en-US"/>
        </w:rPr>
        <w:t>30</w:t>
      </w:r>
      <w:r w:rsidRPr="00FD7E2F">
        <w:rPr>
          <w:lang w:val="nl-BE" w:eastAsia="en-US"/>
        </w:rPr>
        <w:t xml:space="preserve"> opeenvolgende kalenderdagen een hogere functie waarneemt overeenkomstig artikel </w:t>
      </w:r>
      <w:r w:rsidR="00C168C0" w:rsidRPr="00FD7E2F">
        <w:rPr>
          <w:lang w:val="nl-BE" w:eastAsia="en-US"/>
        </w:rPr>
        <w:t>7</w:t>
      </w:r>
      <w:r w:rsidR="00A807EB" w:rsidRPr="00FD7E2F">
        <w:rPr>
          <w:lang w:val="nl-BE" w:eastAsia="en-US"/>
        </w:rPr>
        <w:t>2</w:t>
      </w:r>
      <w:r w:rsidRPr="00FD7E2F">
        <w:rPr>
          <w:lang w:val="nl-BE" w:eastAsia="en-US"/>
        </w:rPr>
        <w:t xml:space="preserve"> heeft</w:t>
      </w:r>
      <w:r w:rsidRPr="00037A46">
        <w:rPr>
          <w:lang w:val="nl-BE" w:eastAsia="en-US"/>
        </w:rPr>
        <w:t xml:space="preserve"> recht op een toelage.</w:t>
      </w:r>
    </w:p>
    <w:p w14:paraId="4F572EA9" w14:textId="568299C8" w:rsidR="003A11FB" w:rsidRPr="00037A46" w:rsidRDefault="00F43E03" w:rsidP="003A11FB">
      <w:pPr>
        <w:pStyle w:val="Kop5"/>
      </w:pPr>
      <w:r w:rsidRPr="00037A46">
        <w:t>Artikel</w:t>
      </w:r>
      <w:r w:rsidR="00C94443">
        <w:t xml:space="preserve"> </w:t>
      </w:r>
      <w:r w:rsidR="006763C7">
        <w:t>139</w:t>
      </w:r>
    </w:p>
    <w:p w14:paraId="5EA5D61F" w14:textId="77777777" w:rsidR="003A11FB" w:rsidRPr="00037A46" w:rsidRDefault="003A11FB" w:rsidP="00677A80">
      <w:pPr>
        <w:pStyle w:val="StandaardUitvullen"/>
        <w:ind w:left="0"/>
        <w:rPr>
          <w:lang w:val="nl-BE" w:eastAsia="en-US"/>
        </w:rPr>
      </w:pPr>
      <w:r w:rsidRPr="00037A46">
        <w:rPr>
          <w:lang w:val="nl-BE" w:eastAsia="en-US"/>
        </w:rPr>
        <w:t xml:space="preserve">De toelage is gelijk aan het verschil tussen het salaris dat het personeelslid bij een bevordering in de waargenomen hogere functie zou ontvangen en het salaris dat het personeelslid in zijn werkelijke functie ontvangt. </w:t>
      </w:r>
    </w:p>
    <w:p w14:paraId="1B143D1A" w14:textId="77777777" w:rsidR="003A11FB" w:rsidRPr="00037A46" w:rsidRDefault="003A11FB" w:rsidP="00677A80">
      <w:pPr>
        <w:pStyle w:val="StandaardUitvullen"/>
        <w:ind w:left="0"/>
        <w:rPr>
          <w:lang w:val="nl-BE" w:eastAsia="en-US"/>
        </w:rPr>
      </w:pPr>
      <w:r w:rsidRPr="00037A46">
        <w:rPr>
          <w:lang w:val="nl-BE" w:eastAsia="en-US"/>
        </w:rPr>
        <w:t>In het salaris zijn de haard- of standplaatstoelage en elke andere salaristoeslag inbegrepen.</w:t>
      </w:r>
    </w:p>
    <w:p w14:paraId="1D305491" w14:textId="445A76EE" w:rsidR="002515AE" w:rsidRPr="00037A46" w:rsidRDefault="002515AE" w:rsidP="002515AE">
      <w:pPr>
        <w:pStyle w:val="Kop3"/>
      </w:pPr>
      <w:bookmarkStart w:id="206" w:name="_Toc288769091"/>
      <w:bookmarkStart w:id="207" w:name="_Toc291754403"/>
      <w:bookmarkStart w:id="208" w:name="_Toc110948209"/>
      <w:bookmarkStart w:id="209" w:name="_Toc215739018"/>
      <w:r w:rsidRPr="00037A46">
        <w:t xml:space="preserve">Afdeling </w:t>
      </w:r>
      <w:r w:rsidR="00E7160E">
        <w:t>2</w:t>
      </w:r>
      <w:r w:rsidRPr="00037A46">
        <w:t>. functiecomplement voor bijzondere beroepsbekwaamheden</w:t>
      </w:r>
      <w:bookmarkEnd w:id="206"/>
      <w:bookmarkEnd w:id="207"/>
      <w:bookmarkEnd w:id="208"/>
      <w:bookmarkEnd w:id="209"/>
    </w:p>
    <w:p w14:paraId="6228F54C" w14:textId="486C234B" w:rsidR="002515AE" w:rsidRPr="00037A46" w:rsidRDefault="002515AE" w:rsidP="00A53455">
      <w:pPr>
        <w:pStyle w:val="Kop5"/>
      </w:pPr>
      <w:r w:rsidRPr="00037A46">
        <w:t>Artikel</w:t>
      </w:r>
      <w:r w:rsidR="00C94443">
        <w:t xml:space="preserve"> </w:t>
      </w:r>
      <w:r w:rsidR="006763C7">
        <w:t>140</w:t>
      </w:r>
    </w:p>
    <w:p w14:paraId="58574E68" w14:textId="77777777" w:rsidR="002515AE" w:rsidRDefault="002515AE" w:rsidP="00677A80">
      <w:pPr>
        <w:pStyle w:val="StandaardUitvullen"/>
        <w:ind w:left="0"/>
        <w:rPr>
          <w:lang w:eastAsia="en-US"/>
        </w:rPr>
      </w:pPr>
      <w:r w:rsidRPr="00037A46">
        <w:rPr>
          <w:lang w:eastAsia="en-US"/>
        </w:rPr>
        <w:t>De personeelsleden die voldoen aan de voorwaarden, zoals bepaald in artikel 1 van het KB van 22 juni 2010 betreffende de uitvoering van het attractiviteitsplan voor het verpleegkundig beroep wat betreft de premies voor de titels en bijzondere beroepsbekwaamheden en onregelmatige prestaties, ontvangen vanaf 1 januari 2010 een bijkomende premie met betrekking tot de titels of bijzondere beroepsbekwaamheden, overeenkomstig de artikelen 1 tot en met 3 van het KB.</w:t>
      </w:r>
    </w:p>
    <w:p w14:paraId="32D296E1" w14:textId="5BB472A1" w:rsidR="003A11FB" w:rsidRPr="00037A46" w:rsidRDefault="003A11FB" w:rsidP="00B44CF7">
      <w:pPr>
        <w:pStyle w:val="Kop2"/>
      </w:pPr>
      <w:bookmarkStart w:id="210" w:name="_Toc110948210"/>
      <w:bookmarkStart w:id="211" w:name="_Toc215739019"/>
      <w:r w:rsidRPr="00037A46">
        <w:t xml:space="preserve">Hoofdstuk v. de vergoeding voor </w:t>
      </w:r>
      <w:r w:rsidR="003F4154">
        <w:t>dienstverplaatsingen</w:t>
      </w:r>
      <w:bookmarkEnd w:id="210"/>
      <w:bookmarkEnd w:id="211"/>
    </w:p>
    <w:p w14:paraId="53F30709" w14:textId="2247FC34" w:rsidR="003A11FB" w:rsidRPr="00037A46" w:rsidRDefault="003A11FB" w:rsidP="003A11FB">
      <w:pPr>
        <w:pStyle w:val="Kop3"/>
      </w:pPr>
      <w:bookmarkStart w:id="212" w:name="_Toc110948211"/>
      <w:bookmarkStart w:id="213" w:name="_Toc215739020"/>
      <w:r w:rsidRPr="00037A46">
        <w:t>Afdeling 1. algemene bepalingen</w:t>
      </w:r>
      <w:bookmarkEnd w:id="212"/>
      <w:bookmarkEnd w:id="213"/>
    </w:p>
    <w:p w14:paraId="2D61C12F" w14:textId="7C8C15AD" w:rsidR="003A11FB" w:rsidRPr="00037A46" w:rsidRDefault="00F43E03" w:rsidP="003A11FB">
      <w:pPr>
        <w:pStyle w:val="Kop5"/>
      </w:pPr>
      <w:r w:rsidRPr="00037A46">
        <w:t>Artikel</w:t>
      </w:r>
      <w:r w:rsidR="00C94443">
        <w:t xml:space="preserve"> </w:t>
      </w:r>
      <w:r w:rsidR="006763C7">
        <w:t>141</w:t>
      </w:r>
    </w:p>
    <w:p w14:paraId="1A3CE48B" w14:textId="77777777" w:rsidR="003A11FB" w:rsidRPr="00037A46" w:rsidRDefault="003A11FB" w:rsidP="00677A80">
      <w:pPr>
        <w:pStyle w:val="StandaardUitvullen"/>
        <w:ind w:left="0"/>
        <w:rPr>
          <w:lang w:eastAsia="en-US"/>
        </w:rPr>
      </w:pPr>
      <w:r w:rsidRPr="00037A46">
        <w:rPr>
          <w:lang w:eastAsia="en-US"/>
        </w:rPr>
        <w:lastRenderedPageBreak/>
        <w:t>Een dienstreis is de verplaatsing van de woonplaats of de standplaats naar een vooraf bepaalde bestemming in opdracht of op uitnodiging van de bevoegde hiërarchische meerdere van het personeelslid.</w:t>
      </w:r>
    </w:p>
    <w:p w14:paraId="2D187260" w14:textId="3CF471B8" w:rsidR="003A11FB" w:rsidRPr="00037A46" w:rsidRDefault="00F43E03" w:rsidP="003A11FB">
      <w:pPr>
        <w:pStyle w:val="Kop5"/>
      </w:pPr>
      <w:r w:rsidRPr="00037A46">
        <w:t xml:space="preserve">Artikel </w:t>
      </w:r>
      <w:r w:rsidR="006763C7">
        <w:t>142</w:t>
      </w:r>
    </w:p>
    <w:p w14:paraId="1DE8AA76" w14:textId="77777777" w:rsidR="003A11FB" w:rsidRPr="00037A46" w:rsidRDefault="00637322" w:rsidP="00677A80">
      <w:pPr>
        <w:pStyle w:val="StandaardUitvullen"/>
        <w:ind w:left="0"/>
        <w:rPr>
          <w:lang w:eastAsia="en-US"/>
        </w:rPr>
      </w:pPr>
      <w:r w:rsidRPr="00037A46">
        <w:rPr>
          <w:lang w:eastAsia="en-US"/>
        </w:rPr>
        <w:t xml:space="preserve">De </w:t>
      </w:r>
      <w:r w:rsidR="003474E1" w:rsidRPr="00037A46">
        <w:rPr>
          <w:lang w:eastAsia="en-US"/>
        </w:rPr>
        <w:t>algemeen directeur</w:t>
      </w:r>
      <w:r w:rsidR="003A11FB" w:rsidRPr="00037A46">
        <w:rPr>
          <w:lang w:eastAsia="en-US"/>
        </w:rPr>
        <w:t xml:space="preserve"> (of in voorkomend geval het personeelslid aan wie deze bevoegdheid werd gedelegeerd) geeft toestemming voor dienstreizen.</w:t>
      </w:r>
      <w:r w:rsidR="00F24507" w:rsidRPr="00037A46">
        <w:rPr>
          <w:lang w:eastAsia="en-US"/>
        </w:rPr>
        <w:t xml:space="preserve"> </w:t>
      </w:r>
      <w:r w:rsidR="003A11FB" w:rsidRPr="00037A46">
        <w:rPr>
          <w:lang w:eastAsia="en-US"/>
        </w:rPr>
        <w:t>Hij beslist welk vervoermiddel functioneel en financieel het meest verantwoord is.</w:t>
      </w:r>
    </w:p>
    <w:p w14:paraId="01E045B1" w14:textId="1211D666" w:rsidR="003A11FB" w:rsidRPr="00037A46" w:rsidRDefault="00F43E03" w:rsidP="003A11FB">
      <w:pPr>
        <w:pStyle w:val="Kop5"/>
      </w:pPr>
      <w:r w:rsidRPr="00037A46">
        <w:t xml:space="preserve">Artikel </w:t>
      </w:r>
      <w:r w:rsidR="006763C7">
        <w:t>143</w:t>
      </w:r>
    </w:p>
    <w:p w14:paraId="13DE3C18" w14:textId="73A846A6" w:rsidR="003A11FB" w:rsidRPr="00037A46" w:rsidRDefault="003A11FB" w:rsidP="00677A80">
      <w:pPr>
        <w:pStyle w:val="StandaardUitvullen"/>
        <w:ind w:left="0"/>
        <w:rPr>
          <w:lang w:eastAsia="en-US"/>
        </w:rPr>
      </w:pPr>
      <w:r w:rsidRPr="00037A46">
        <w:rPr>
          <w:lang w:eastAsia="en-US"/>
        </w:rPr>
        <w:t>Reiskosten worden, samen met de</w:t>
      </w:r>
      <w:r w:rsidR="00773221" w:rsidRPr="00037A46">
        <w:rPr>
          <w:lang w:eastAsia="en-US"/>
        </w:rPr>
        <w:t xml:space="preserve"> </w:t>
      </w:r>
      <w:r w:rsidRPr="00037A46">
        <w:rPr>
          <w:lang w:eastAsia="en-US"/>
        </w:rPr>
        <w:t xml:space="preserve">bewijsstukken, </w:t>
      </w:r>
      <w:r w:rsidR="00DB1916">
        <w:rPr>
          <w:lang w:eastAsia="en-US"/>
        </w:rPr>
        <w:t xml:space="preserve">maandelijks </w:t>
      </w:r>
      <w:r w:rsidRPr="00037A46">
        <w:rPr>
          <w:lang w:eastAsia="en-US"/>
        </w:rPr>
        <w:t xml:space="preserve">ingediend </w:t>
      </w:r>
      <w:r w:rsidR="00DB1916">
        <w:rPr>
          <w:lang w:eastAsia="en-US"/>
        </w:rPr>
        <w:t>via het tijdsregistratiesysteem</w:t>
      </w:r>
      <w:r w:rsidR="005D5DF1">
        <w:rPr>
          <w:lang w:eastAsia="en-US"/>
        </w:rPr>
        <w:t xml:space="preserve"> </w:t>
      </w:r>
      <w:r w:rsidR="00773221" w:rsidRPr="00037A46">
        <w:rPr>
          <w:lang w:eastAsia="en-US"/>
        </w:rPr>
        <w:t xml:space="preserve">vóór de </w:t>
      </w:r>
      <w:r w:rsidR="00FA79E5">
        <w:rPr>
          <w:lang w:eastAsia="en-US"/>
        </w:rPr>
        <w:t>8</w:t>
      </w:r>
      <w:r w:rsidR="00773221" w:rsidRPr="00037A46">
        <w:rPr>
          <w:vertAlign w:val="superscript"/>
          <w:lang w:eastAsia="en-US"/>
        </w:rPr>
        <w:t>e</w:t>
      </w:r>
      <w:r w:rsidR="00773221" w:rsidRPr="00037A46">
        <w:rPr>
          <w:lang w:eastAsia="en-US"/>
        </w:rPr>
        <w:t xml:space="preserve"> van de volgende maand</w:t>
      </w:r>
      <w:r w:rsidR="005D5DF1">
        <w:rPr>
          <w:lang w:eastAsia="en-US"/>
        </w:rPr>
        <w:t>.</w:t>
      </w:r>
      <w:r w:rsidR="00773221" w:rsidRPr="00037A46">
        <w:rPr>
          <w:lang w:eastAsia="en-US"/>
        </w:rPr>
        <w:t xml:space="preserve"> Kilometers of andere onkosten (vb. treinticket, parkeerticket) die later worden doorgegeven, zullen niet meer vergoed worden</w:t>
      </w:r>
      <w:r w:rsidRPr="00037A46">
        <w:rPr>
          <w:lang w:eastAsia="en-US"/>
        </w:rPr>
        <w:t xml:space="preserve">. </w:t>
      </w:r>
    </w:p>
    <w:p w14:paraId="6FDCBDBA" w14:textId="632D4EBE" w:rsidR="007B56AC" w:rsidRPr="00037A46" w:rsidRDefault="007B56AC" w:rsidP="007B56AC">
      <w:pPr>
        <w:pStyle w:val="Kop3"/>
      </w:pPr>
      <w:bookmarkStart w:id="214" w:name="_Toc215739021"/>
      <w:r w:rsidRPr="00037A46">
        <w:t>Afdeling 2. vergoeding voor dienstreizen</w:t>
      </w:r>
      <w:bookmarkStart w:id="215" w:name="_Toc110948212"/>
      <w:bookmarkEnd w:id="214"/>
    </w:p>
    <w:p w14:paraId="6C6EC086" w14:textId="77777777" w:rsidR="007B56AC" w:rsidRPr="00037A46" w:rsidRDefault="007B56AC" w:rsidP="007F44EC">
      <w:pPr>
        <w:spacing w:before="0" w:after="160" w:line="259" w:lineRule="auto"/>
        <w:ind w:left="0"/>
        <w:jc w:val="left"/>
        <w:rPr>
          <w:rFonts w:eastAsia="Calibri" w:cs="Arial"/>
          <w:kern w:val="2"/>
          <w:lang w:val="nl-BE" w:eastAsia="en-US"/>
          <w14:ligatures w14:val="standardContextual"/>
        </w:rPr>
      </w:pPr>
    </w:p>
    <w:p w14:paraId="512AE8CC" w14:textId="51972E10" w:rsidR="007F44EC" w:rsidRPr="00037A46" w:rsidRDefault="007F44EC" w:rsidP="007F44EC">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w:t>
      </w:r>
      <w:r w:rsidR="006763C7">
        <w:rPr>
          <w:rFonts w:eastAsia="Calibri" w:cs="Arial"/>
          <w:b/>
          <w:bCs/>
          <w:kern w:val="2"/>
          <w:lang w:val="nl-BE" w:eastAsia="en-US"/>
          <w14:ligatures w14:val="standardContextual"/>
        </w:rPr>
        <w:t>144</w:t>
      </w:r>
    </w:p>
    <w:p w14:paraId="6BB7641C" w14:textId="25453215" w:rsidR="007F44EC" w:rsidRPr="00037A46" w:rsidRDefault="007F44EC" w:rsidP="007F44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Het personeelslid ontvangt een vergoeding voor dienstreizen voor de verplaatsing van personeelsleden van de vaste standplaats naar een vooraf bepaalde bestemming in opdracht of op uitnodiging van de bevoegde hiërarchische meerdere toegekend. Voor medewerkers van de dienst Gezinszorg en Aanvullende Thuiszorg geldt dat een verplaatsing van de vaste standplaats naar een werkplaats die niet de vaste plaats van tewerkstelling is, ook een dienstreis is. Dienstopdrachten impliceren dus wisselende ad-hoc opdrachten.</w:t>
      </w:r>
    </w:p>
    <w:p w14:paraId="758884B9" w14:textId="77777777" w:rsidR="007F44EC" w:rsidRPr="00037A46" w:rsidRDefault="007F44EC" w:rsidP="007F44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Bij die vergoeding gelden de volgende bepalingen:</w:t>
      </w:r>
    </w:p>
    <w:p w14:paraId="1158A578" w14:textId="77777777" w:rsidR="007F44EC" w:rsidRPr="00037A46" w:rsidRDefault="007F44EC" w:rsidP="009D4C40">
      <w:pPr>
        <w:numPr>
          <w:ilvl w:val="0"/>
          <w:numId w:val="71"/>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Als personeelsleden van hun eigen motorvoertuig gebruik maken, hebben ze recht op dezelfde vergoeding als de vergoeding voor de dienstreizen van het personeel van de diensten van de Vlaamse overheid, vermeld in artikel VII 80 van het Vlaams personeelsstatuut van 13 januari 2006;</w:t>
      </w:r>
    </w:p>
    <w:p w14:paraId="10D0B49A" w14:textId="5A9D313B" w:rsidR="007F44EC" w:rsidRPr="00037A46" w:rsidRDefault="007F44EC" w:rsidP="009D4C40">
      <w:pPr>
        <w:numPr>
          <w:ilvl w:val="0"/>
          <w:numId w:val="71"/>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Als personeelsleden hun eigen fiets gebruiken, ontvangen ze een fietsvergoeding </w:t>
      </w:r>
      <w:r w:rsidR="000922B7">
        <w:rPr>
          <w:rFonts w:eastAsia="Calibri" w:cs="Arial"/>
          <w:kern w:val="2"/>
          <w:lang w:val="nl-BE" w:eastAsia="en-US"/>
          <w14:ligatures w14:val="standardContextual"/>
        </w:rPr>
        <w:t xml:space="preserve">per kilometer gelijk aan </w:t>
      </w:r>
      <w:r w:rsidRPr="00037A46">
        <w:rPr>
          <w:rFonts w:eastAsia="Calibri" w:cs="Arial"/>
          <w:kern w:val="2"/>
          <w:lang w:val="nl-BE" w:eastAsia="en-US"/>
          <w14:ligatures w14:val="standardContextual"/>
        </w:rPr>
        <w:t>het bedrag dat op grond van de fiscale wetgeving en de socialezekerheidswetgeving</w:t>
      </w:r>
      <w:r w:rsidR="00C82159">
        <w:rPr>
          <w:rFonts w:eastAsia="Calibri" w:cs="Arial"/>
          <w:kern w:val="2"/>
          <w:lang w:val="nl-BE" w:eastAsia="en-US"/>
          <w14:ligatures w14:val="standardContextual"/>
        </w:rPr>
        <w:t xml:space="preserve"> maximaal</w:t>
      </w:r>
      <w:r w:rsidRPr="00037A46">
        <w:rPr>
          <w:rFonts w:eastAsia="Calibri" w:cs="Arial"/>
          <w:kern w:val="2"/>
          <w:lang w:val="nl-BE" w:eastAsia="en-US"/>
          <w14:ligatures w14:val="standardContextual"/>
        </w:rPr>
        <w:t xml:space="preserve"> is vrijgesteld van belasting en sociale bijdragen.</w:t>
      </w:r>
    </w:p>
    <w:p w14:paraId="31AD40C7" w14:textId="77777777" w:rsidR="007F44EC" w:rsidRPr="00037A46" w:rsidRDefault="007F44EC" w:rsidP="007F44EC">
      <w:pPr>
        <w:spacing w:before="0" w:after="160" w:line="259" w:lineRule="auto"/>
        <w:ind w:left="360"/>
        <w:contextualSpacing/>
        <w:jc w:val="left"/>
        <w:rPr>
          <w:rFonts w:eastAsia="Calibri" w:cs="Arial"/>
          <w:kern w:val="2"/>
          <w:lang w:val="nl-BE" w:eastAsia="en-US"/>
          <w14:ligatures w14:val="standardContextual"/>
        </w:rPr>
      </w:pPr>
    </w:p>
    <w:p w14:paraId="5E9ADB0C" w14:textId="77777777" w:rsidR="007F44EC" w:rsidRPr="00037A46" w:rsidRDefault="007F44EC" w:rsidP="007F44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Voor dienstreizen met het eigen motorvoertuig, dekt de kilometervergoeding alle kosten die gepaard gaan met het gebruik van het eigen motorvoertuig, met uitzondering van de parkeerkosten. Het personeelslid heeft recht op de terugbetaling van eventuele parkeerkosten, mits voorlegging van de nodige bewijsstukken.</w:t>
      </w:r>
    </w:p>
    <w:p w14:paraId="75D24382" w14:textId="0B19C0CD" w:rsidR="007F44EC" w:rsidRPr="00037A46" w:rsidRDefault="007F44EC" w:rsidP="007F44EC">
      <w:pPr>
        <w:spacing w:before="0" w:after="160" w:line="259" w:lineRule="auto"/>
        <w:ind w:left="0"/>
        <w:jc w:val="left"/>
        <w:rPr>
          <w:rFonts w:eastAsia="Calibri" w:cs="Arial"/>
          <w:b/>
          <w:i/>
          <w:strike/>
          <w:kern w:val="2"/>
          <w:lang w:val="nl-BE" w:eastAsia="en-US"/>
          <w14:ligatures w14:val="standardContextual"/>
        </w:rPr>
      </w:pPr>
      <w:r w:rsidRPr="00037A46">
        <w:rPr>
          <w:rFonts w:eastAsia="Calibri" w:cs="Arial"/>
          <w:kern w:val="2"/>
          <w:lang w:val="nl-BE" w:eastAsia="en-US"/>
          <w14:ligatures w14:val="standardContextual"/>
        </w:rPr>
        <w:t>Bij carpooling wordt de wettelijke vergoeding voor de bestuurder verhoogd</w:t>
      </w:r>
      <w:r w:rsidR="00AB0F54">
        <w:rPr>
          <w:rFonts w:eastAsia="Calibri" w:cs="Arial"/>
          <w:kern w:val="2"/>
          <w:lang w:val="nl-BE" w:eastAsia="en-US"/>
          <w14:ligatures w14:val="standardContextual"/>
        </w:rPr>
        <w:t xml:space="preserve"> met 50%</w:t>
      </w:r>
      <w:r w:rsidRPr="00037A46">
        <w:rPr>
          <w:rFonts w:eastAsia="Calibri" w:cs="Arial"/>
          <w:kern w:val="2"/>
          <w:lang w:val="nl-BE" w:eastAsia="en-US"/>
          <w14:ligatures w14:val="standardContextual"/>
        </w:rPr>
        <w:t xml:space="preserve">. De meereizende personeelsleden hebben geen recht op een kilometervergoeding. </w:t>
      </w:r>
    </w:p>
    <w:p w14:paraId="7FBCFA1B" w14:textId="77777777" w:rsidR="007F44EC" w:rsidRPr="00037A46" w:rsidRDefault="007F44EC" w:rsidP="007F44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Als de werkgever het personeelslid vooraf geen vervoersbewijs ter beschikking stelt, worden de door het personeelslid gemaakte kosten voor een dienstreis met het openbaar vervoer terugbetaald op voorlegging van de bewijsstukken.</w:t>
      </w:r>
    </w:p>
    <w:p w14:paraId="0FD3D433" w14:textId="77777777" w:rsidR="007F44EC" w:rsidRPr="00037A46" w:rsidRDefault="007F44EC" w:rsidP="007F44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Het personeelslid dat een dienstreis maakt met het openbaar vervoer, reist in tweede klasse of </w:t>
      </w:r>
      <w:proofErr w:type="spellStart"/>
      <w:r w:rsidRPr="00037A46">
        <w:rPr>
          <w:rFonts w:eastAsia="Calibri" w:cs="Arial"/>
          <w:kern w:val="2"/>
          <w:lang w:val="nl-BE" w:eastAsia="en-US"/>
          <w14:ligatures w14:val="standardContextual"/>
        </w:rPr>
        <w:t>economy</w:t>
      </w:r>
      <w:proofErr w:type="spellEnd"/>
      <w:r w:rsidRPr="00037A46">
        <w:rPr>
          <w:rFonts w:eastAsia="Calibri" w:cs="Arial"/>
          <w:kern w:val="2"/>
          <w:lang w:val="nl-BE" w:eastAsia="en-US"/>
          <w14:ligatures w14:val="standardContextual"/>
        </w:rPr>
        <w:t xml:space="preserve"> class.</w:t>
      </w:r>
    </w:p>
    <w:p w14:paraId="1FEADF3D" w14:textId="3F6313FE" w:rsidR="003A11FB" w:rsidRPr="00037A46" w:rsidRDefault="003A11FB" w:rsidP="00B44CF7">
      <w:pPr>
        <w:pStyle w:val="Kop2"/>
      </w:pPr>
      <w:bookmarkStart w:id="216" w:name="_Toc110948213"/>
      <w:bookmarkStart w:id="217" w:name="_Toc215739022"/>
      <w:bookmarkEnd w:id="215"/>
      <w:r w:rsidRPr="00037A46">
        <w:lastRenderedPageBreak/>
        <w:t>Hoofdstuk vi. De sociale voordelen</w:t>
      </w:r>
      <w:bookmarkEnd w:id="216"/>
      <w:bookmarkEnd w:id="217"/>
    </w:p>
    <w:p w14:paraId="7461C739" w14:textId="581895DE" w:rsidR="00C82159" w:rsidRPr="00037A46" w:rsidRDefault="00C82159" w:rsidP="00C82159">
      <w:pPr>
        <w:pStyle w:val="Kop3"/>
      </w:pPr>
      <w:bookmarkStart w:id="218" w:name="_Toc110948218"/>
      <w:bookmarkStart w:id="219" w:name="_Toc215739023"/>
      <w:bookmarkStart w:id="220" w:name="_Toc110948214"/>
      <w:r w:rsidRPr="00037A46">
        <w:t xml:space="preserve">Afdeling </w:t>
      </w:r>
      <w:r>
        <w:t>1</w:t>
      </w:r>
      <w:r w:rsidRPr="00037A46">
        <w:t>. de vergoeding van de kosten van het woon-werkverkeer</w:t>
      </w:r>
      <w:bookmarkEnd w:id="218"/>
      <w:bookmarkEnd w:id="219"/>
    </w:p>
    <w:p w14:paraId="6624DC47" w14:textId="2BF1BE43" w:rsidR="00C82159" w:rsidRPr="00037A46" w:rsidRDefault="00C82159" w:rsidP="00C82159">
      <w:pPr>
        <w:pStyle w:val="Kop5"/>
      </w:pPr>
      <w:r w:rsidRPr="00037A46">
        <w:t xml:space="preserve">Artikel </w:t>
      </w:r>
      <w:r w:rsidR="006763C7">
        <w:t>145</w:t>
      </w:r>
    </w:p>
    <w:p w14:paraId="2F237253" w14:textId="77777777" w:rsidR="00C82159" w:rsidRPr="00037A46" w:rsidRDefault="00C82159" w:rsidP="00677A80">
      <w:pPr>
        <w:pStyle w:val="StandaardUitvullen"/>
        <w:ind w:left="0"/>
        <w:rPr>
          <w:lang w:eastAsia="en-US"/>
        </w:rPr>
      </w:pPr>
      <w:r w:rsidRPr="00037A46">
        <w:rPr>
          <w:lang w:eastAsia="en-US"/>
        </w:rPr>
        <w:t>Het personeelslid dat gebruik maakt van het openbaar vervoer voor de verplaatsing van en naar het werk krijgt het abonnement</w:t>
      </w:r>
      <w:r w:rsidRPr="00037A46">
        <w:rPr>
          <w:b/>
          <w:lang w:eastAsia="en-US"/>
        </w:rPr>
        <w:t xml:space="preserve"> </w:t>
      </w:r>
      <w:r w:rsidRPr="00037A46">
        <w:rPr>
          <w:lang w:eastAsia="en-US"/>
        </w:rPr>
        <w:t>volledig</w:t>
      </w:r>
      <w:r w:rsidRPr="00037A46">
        <w:rPr>
          <w:i/>
          <w:color w:val="0000FF"/>
          <w:lang w:eastAsia="en-US"/>
        </w:rPr>
        <w:t xml:space="preserve"> </w:t>
      </w:r>
      <w:r w:rsidRPr="00037A46">
        <w:rPr>
          <w:lang w:eastAsia="en-US"/>
        </w:rPr>
        <w:t xml:space="preserve">terugbetaald. </w:t>
      </w:r>
    </w:p>
    <w:p w14:paraId="7DE5AE85" w14:textId="77777777" w:rsidR="00C82159" w:rsidRPr="00037A46" w:rsidRDefault="00C82159" w:rsidP="00677A80">
      <w:pPr>
        <w:pStyle w:val="StandaardUitvullen"/>
        <w:ind w:left="0"/>
        <w:rPr>
          <w:lang w:eastAsia="en-US"/>
        </w:rPr>
      </w:pPr>
      <w:proofErr w:type="spellStart"/>
      <w:r w:rsidRPr="00037A46">
        <w:rPr>
          <w:lang w:eastAsia="en-US"/>
        </w:rPr>
        <w:t>Dagtickets</w:t>
      </w:r>
      <w:proofErr w:type="spellEnd"/>
      <w:r w:rsidRPr="00037A46">
        <w:rPr>
          <w:lang w:eastAsia="en-US"/>
        </w:rPr>
        <w:t xml:space="preserve"> worden terugbetaald indien de totale kostprijs hiervan per maand lager ligt dan de prijs van een abonnement berekend op maandbasis.</w:t>
      </w:r>
    </w:p>
    <w:p w14:paraId="6F651262" w14:textId="77777777" w:rsidR="00C82159" w:rsidRPr="00037A46" w:rsidRDefault="00C82159" w:rsidP="00677A80">
      <w:pPr>
        <w:pStyle w:val="StandaardUitvullen"/>
        <w:ind w:left="0"/>
        <w:rPr>
          <w:lang w:eastAsia="en-US"/>
        </w:rPr>
      </w:pPr>
      <w:r w:rsidRPr="00037A46">
        <w:rPr>
          <w:lang w:eastAsia="en-US"/>
        </w:rPr>
        <w:t xml:space="preserve">Als het personeelslid in eerste klasse reist, betaalt het zelf de supplementaire kosten daarvoor. </w:t>
      </w:r>
    </w:p>
    <w:p w14:paraId="137F335D" w14:textId="0794B285" w:rsidR="00C82159" w:rsidRPr="00037A46" w:rsidRDefault="00C82159" w:rsidP="00C82159">
      <w:pPr>
        <w:pStyle w:val="Kop5"/>
      </w:pPr>
      <w:r w:rsidRPr="00037A46">
        <w:t>Artikel</w:t>
      </w:r>
      <w:r w:rsidR="00C94443">
        <w:t xml:space="preserve"> </w:t>
      </w:r>
      <w:r w:rsidR="006763C7">
        <w:t>146</w:t>
      </w:r>
    </w:p>
    <w:p w14:paraId="67C268BE" w14:textId="1B35AE56" w:rsidR="00BE2F61" w:rsidRDefault="00C82159" w:rsidP="00927FE7">
      <w:pPr>
        <w:pStyle w:val="StandaardUitvullen"/>
        <w:ind w:left="0"/>
      </w:pPr>
      <w:r w:rsidRPr="00037A46">
        <w:t>Het personeelslid ontvangt een maandelijkse fietsvergoeding van het maximale bedrag dat op grond van de fiscale wetgeving en socialezekerheidswetgeving is vrijgesteld van belasting en sociale bijdragen per afgelegde kilometer wanneer hij de afstand van en naar het werk volledig of gedeeltelijk aflegt met de fiets.</w:t>
      </w:r>
    </w:p>
    <w:p w14:paraId="33C24B32" w14:textId="5979771A" w:rsidR="00BE2F61" w:rsidRDefault="00BE2F61" w:rsidP="00BE2F61">
      <w:pPr>
        <w:pStyle w:val="Kop5"/>
      </w:pPr>
      <w:r>
        <w:t xml:space="preserve">Artikel </w:t>
      </w:r>
      <w:r w:rsidR="006763C7">
        <w:t>147</w:t>
      </w:r>
    </w:p>
    <w:p w14:paraId="33B5D169" w14:textId="0285210C" w:rsidR="00BE2F61" w:rsidRPr="00037A46" w:rsidRDefault="00BE2F61" w:rsidP="00BE2F61">
      <w:pPr>
        <w:pStyle w:val="StandaardUitvullen"/>
        <w:ind w:left="0"/>
      </w:pPr>
      <w:r>
        <w:t>Het personeelslid ontvangt een maandelijkse stapvergoeding</w:t>
      </w:r>
      <w:r w:rsidR="00E1218D">
        <w:t xml:space="preserve"> van €0,2 per gewandelde kilometer wanneer hij de afstand van en naar het werk volledig of gedeeltelijk te voet aflegt. Hierbij wordt een limiet gelegd van maximaal €500,00 per kalenderjaar.</w:t>
      </w:r>
    </w:p>
    <w:p w14:paraId="2D7352E4" w14:textId="72A94E7B" w:rsidR="00C82159" w:rsidRPr="00037A46" w:rsidRDefault="00C82159" w:rsidP="00C82159">
      <w:pPr>
        <w:pStyle w:val="Kop5"/>
      </w:pPr>
      <w:r w:rsidRPr="00037A46">
        <w:t>Artikel</w:t>
      </w:r>
      <w:r w:rsidR="00C94443">
        <w:t xml:space="preserve"> </w:t>
      </w:r>
      <w:r w:rsidR="006763C7">
        <w:t>148</w:t>
      </w:r>
    </w:p>
    <w:p w14:paraId="3C3FC514" w14:textId="77777777" w:rsidR="00C82159" w:rsidRPr="00037A46" w:rsidRDefault="00C82159" w:rsidP="00677A80">
      <w:pPr>
        <w:pStyle w:val="StandaardUitvullen"/>
        <w:ind w:left="0"/>
      </w:pPr>
      <w:r w:rsidRPr="00037A46">
        <w:t xml:space="preserve">Het personeelslid dat aan de voorwaarden voldoet voor de toekenning van een parkeerkaart door de bevoegde hogere overheid, ontvangt een vergoeding voor de verplaatsing van en naar het werk met de wagen. </w:t>
      </w:r>
    </w:p>
    <w:p w14:paraId="32013BD9" w14:textId="2EF64FEE" w:rsidR="00C82159" w:rsidRDefault="00C82159" w:rsidP="00677A80">
      <w:pPr>
        <w:pStyle w:val="StandaardUitvullen"/>
        <w:ind w:left="0"/>
      </w:pPr>
      <w:r w:rsidRPr="00037A46">
        <w:t>Die vergoeding is gelijk aan de kostprijs van een treinkaart tweede klasse over dezelfde afstand.</w:t>
      </w:r>
    </w:p>
    <w:p w14:paraId="1082EFB2" w14:textId="519C5952" w:rsidR="003A11FB" w:rsidRPr="00037A46" w:rsidRDefault="003A11FB" w:rsidP="003A11FB">
      <w:pPr>
        <w:pStyle w:val="Kop3"/>
      </w:pPr>
      <w:bookmarkStart w:id="221" w:name="_Toc215739024"/>
      <w:r w:rsidRPr="00037A46">
        <w:t xml:space="preserve">Afdeling </w:t>
      </w:r>
      <w:r w:rsidR="00C82159">
        <w:t>2</w:t>
      </w:r>
      <w:r w:rsidRPr="00037A46">
        <w:t>. de maaltijdcheques</w:t>
      </w:r>
      <w:bookmarkEnd w:id="220"/>
      <w:bookmarkEnd w:id="221"/>
      <w:r w:rsidR="004B1ADD" w:rsidRPr="00037A46">
        <w:t xml:space="preserve"> </w:t>
      </w:r>
    </w:p>
    <w:p w14:paraId="0A322C8D" w14:textId="10AE6443" w:rsidR="003A11FB" w:rsidRPr="00037A46" w:rsidRDefault="00323D8D" w:rsidP="003A11FB">
      <w:pPr>
        <w:pStyle w:val="Kop5"/>
      </w:pPr>
      <w:r w:rsidRPr="00037A46">
        <w:t xml:space="preserve">Artikel </w:t>
      </w:r>
      <w:r w:rsidR="006763C7">
        <w:t>149</w:t>
      </w:r>
    </w:p>
    <w:p w14:paraId="41E3C921" w14:textId="51A47003" w:rsidR="0047290C" w:rsidRPr="00FD7E2F" w:rsidRDefault="008744BA" w:rsidP="00677A80">
      <w:pPr>
        <w:pStyle w:val="StandaardUitvullen"/>
        <w:ind w:left="0"/>
        <w:rPr>
          <w:bCs/>
          <w:lang w:eastAsia="en-US"/>
        </w:rPr>
      </w:pPr>
      <w:r w:rsidRPr="00FD7E2F">
        <w:rPr>
          <w:bCs/>
          <w:lang w:eastAsia="en-US"/>
        </w:rPr>
        <w:t>§1</w:t>
      </w:r>
      <w:r w:rsidR="00FD7E2F" w:rsidRPr="00FD7E2F">
        <w:rPr>
          <w:bCs/>
          <w:lang w:eastAsia="en-US"/>
        </w:rPr>
        <w:t>.</w:t>
      </w:r>
      <w:r w:rsidRPr="00FD7E2F">
        <w:rPr>
          <w:bCs/>
          <w:lang w:eastAsia="en-US"/>
        </w:rPr>
        <w:t xml:space="preserve"> </w:t>
      </w:r>
      <w:r w:rsidR="003A11FB" w:rsidRPr="00FD7E2F">
        <w:rPr>
          <w:bCs/>
          <w:lang w:eastAsia="en-US"/>
        </w:rPr>
        <w:t xml:space="preserve">Het personeelslid heeft recht op maaltijdcheques van </w:t>
      </w:r>
      <w:r w:rsidR="000E3AB7" w:rsidRPr="00FD7E2F">
        <w:rPr>
          <w:bCs/>
          <w:lang w:eastAsia="en-US"/>
        </w:rPr>
        <w:t>8</w:t>
      </w:r>
      <w:r w:rsidR="00C34946" w:rsidRPr="00FD7E2F">
        <w:rPr>
          <w:bCs/>
          <w:lang w:eastAsia="en-US"/>
        </w:rPr>
        <w:t xml:space="preserve"> euro</w:t>
      </w:r>
      <w:r w:rsidR="003A11FB" w:rsidRPr="00FD7E2F">
        <w:rPr>
          <w:bCs/>
          <w:lang w:eastAsia="en-US"/>
        </w:rPr>
        <w:t>, overeenkomstig het bijgevoegd reglement ter</w:t>
      </w:r>
      <w:r w:rsidR="0096281A" w:rsidRPr="00FD7E2F">
        <w:rPr>
          <w:bCs/>
          <w:lang w:eastAsia="en-US"/>
        </w:rPr>
        <w:t xml:space="preserve"> </w:t>
      </w:r>
      <w:r w:rsidR="003A11FB" w:rsidRPr="00FD7E2F">
        <w:rPr>
          <w:bCs/>
          <w:lang w:eastAsia="en-US"/>
        </w:rPr>
        <w:t>zake, en integraal deel uitmakend van deze rechtspositieregeling.</w:t>
      </w:r>
    </w:p>
    <w:p w14:paraId="5AA7E1C3" w14:textId="599AA88B" w:rsidR="0047290C" w:rsidRPr="00037A46" w:rsidRDefault="0047290C" w:rsidP="0047290C">
      <w:pPr>
        <w:pStyle w:val="Kop3"/>
      </w:pPr>
      <w:bookmarkStart w:id="222" w:name="_Toc110948215"/>
      <w:bookmarkStart w:id="223" w:name="_Toc215739025"/>
      <w:r w:rsidRPr="00037A46">
        <w:t xml:space="preserve">Afdeling </w:t>
      </w:r>
      <w:r w:rsidR="00C82159">
        <w:t>3</w:t>
      </w:r>
      <w:r w:rsidRPr="00037A46">
        <w:t xml:space="preserve">: </w:t>
      </w:r>
      <w:proofErr w:type="spellStart"/>
      <w:r w:rsidRPr="00037A46">
        <w:t>eco</w:t>
      </w:r>
      <w:proofErr w:type="spellEnd"/>
      <w:r w:rsidR="00E9305E">
        <w:t>- en geschenk</w:t>
      </w:r>
      <w:r w:rsidRPr="00037A46">
        <w:t>cheques</w:t>
      </w:r>
      <w:bookmarkEnd w:id="222"/>
      <w:bookmarkEnd w:id="223"/>
    </w:p>
    <w:p w14:paraId="758CC975" w14:textId="673260B8" w:rsidR="0047290C" w:rsidRPr="00037A46" w:rsidRDefault="0047290C" w:rsidP="0047290C">
      <w:pPr>
        <w:spacing w:before="240" w:after="0"/>
        <w:ind w:left="0"/>
        <w:rPr>
          <w:b/>
        </w:rPr>
      </w:pPr>
      <w:r w:rsidRPr="00037A46">
        <w:rPr>
          <w:b/>
        </w:rPr>
        <w:t xml:space="preserve">Artikel </w:t>
      </w:r>
      <w:r w:rsidR="006763C7">
        <w:rPr>
          <w:b/>
        </w:rPr>
        <w:t>150</w:t>
      </w:r>
    </w:p>
    <w:p w14:paraId="3519829E" w14:textId="79B16146" w:rsidR="0047290C" w:rsidRPr="00037A46" w:rsidRDefault="0047290C" w:rsidP="00677A80">
      <w:pPr>
        <w:pStyle w:val="StandaardUitvullen"/>
        <w:ind w:left="0"/>
        <w:rPr>
          <w:lang w:eastAsia="en-US"/>
        </w:rPr>
      </w:pPr>
      <w:r w:rsidRPr="00FD7E2F">
        <w:rPr>
          <w:bCs/>
          <w:lang w:eastAsia="en-US"/>
        </w:rPr>
        <w:t>§1</w:t>
      </w:r>
      <w:r w:rsidR="00FD7E2F" w:rsidRPr="00FD7E2F">
        <w:rPr>
          <w:bCs/>
          <w:lang w:eastAsia="en-US"/>
        </w:rPr>
        <w:t>.</w:t>
      </w:r>
      <w:r w:rsidRPr="00037A46">
        <w:rPr>
          <w:b/>
          <w:lang w:eastAsia="en-US"/>
        </w:rPr>
        <w:t xml:space="preserve"> </w:t>
      </w:r>
      <w:r w:rsidRPr="00037A46">
        <w:rPr>
          <w:lang w:eastAsia="en-US"/>
        </w:rPr>
        <w:t xml:space="preserve">Het personeelslid heeft recht op </w:t>
      </w:r>
      <w:proofErr w:type="spellStart"/>
      <w:r w:rsidRPr="00037A46">
        <w:rPr>
          <w:lang w:eastAsia="en-US"/>
        </w:rPr>
        <w:t>ecocheques</w:t>
      </w:r>
      <w:proofErr w:type="spellEnd"/>
      <w:r w:rsidRPr="00037A46">
        <w:rPr>
          <w:lang w:eastAsia="en-US"/>
        </w:rPr>
        <w:t xml:space="preserve"> voor 200 eur</w:t>
      </w:r>
      <w:r w:rsidR="00E15B2D">
        <w:rPr>
          <w:lang w:eastAsia="en-US"/>
        </w:rPr>
        <w:t>o</w:t>
      </w:r>
      <w:r w:rsidRPr="00037A46">
        <w:rPr>
          <w:lang w:eastAsia="en-US"/>
        </w:rPr>
        <w:t>, overeenkomstig het reglement ter</w:t>
      </w:r>
      <w:r w:rsidR="0096281A">
        <w:rPr>
          <w:lang w:eastAsia="en-US"/>
        </w:rPr>
        <w:t xml:space="preserve"> </w:t>
      </w:r>
      <w:r w:rsidRPr="00037A46">
        <w:rPr>
          <w:lang w:eastAsia="en-US"/>
        </w:rPr>
        <w:t>zake</w:t>
      </w:r>
      <w:r w:rsidR="00481835" w:rsidRPr="00037A46">
        <w:rPr>
          <w:lang w:eastAsia="en-US"/>
        </w:rPr>
        <w:t xml:space="preserve"> in het kader van de </w:t>
      </w:r>
      <w:proofErr w:type="spellStart"/>
      <w:r w:rsidR="00481835" w:rsidRPr="00037A46">
        <w:rPr>
          <w:lang w:eastAsia="en-US"/>
        </w:rPr>
        <w:t>recurrente</w:t>
      </w:r>
      <w:proofErr w:type="spellEnd"/>
      <w:r w:rsidR="00481835" w:rsidRPr="00037A46">
        <w:rPr>
          <w:lang w:eastAsia="en-US"/>
        </w:rPr>
        <w:t xml:space="preserve"> koopkrachtverhoging</w:t>
      </w:r>
      <w:r w:rsidR="00481835" w:rsidRPr="00037A46">
        <w:rPr>
          <w:rStyle w:val="Voetnootmarkering"/>
          <w:lang w:eastAsia="en-US"/>
        </w:rPr>
        <w:footnoteReference w:id="2"/>
      </w:r>
      <w:r w:rsidR="00481835" w:rsidRPr="00037A46">
        <w:rPr>
          <w:lang w:eastAsia="en-US"/>
        </w:rPr>
        <w:t xml:space="preserve"> </w:t>
      </w:r>
      <w:r w:rsidRPr="00037A46">
        <w:rPr>
          <w:lang w:eastAsia="en-US"/>
        </w:rPr>
        <w:t>, en integraal deel uitmakend van deze rechtspositieregeling.</w:t>
      </w:r>
      <w:r w:rsidR="00E9305E">
        <w:rPr>
          <w:lang w:eastAsia="en-US"/>
        </w:rPr>
        <w:t xml:space="preserve"> Medewerkers in deeltijds verband ontvangen deze cheques a rato hun tewerkstellingsbreuk.</w:t>
      </w:r>
    </w:p>
    <w:p w14:paraId="2EB4BDA4" w14:textId="1E2C8743" w:rsidR="00481835" w:rsidRPr="00037A46" w:rsidRDefault="000045BB" w:rsidP="00481835">
      <w:pPr>
        <w:pStyle w:val="Kop3"/>
      </w:pPr>
      <w:bookmarkStart w:id="224" w:name="_Toc110948216"/>
      <w:bookmarkStart w:id="225" w:name="_Toc215739026"/>
      <w:r w:rsidRPr="00037A46">
        <w:t xml:space="preserve">Afdeling </w:t>
      </w:r>
      <w:r w:rsidR="00C82159">
        <w:t>4</w:t>
      </w:r>
      <w:r w:rsidRPr="00037A46">
        <w:t xml:space="preserve">. </w:t>
      </w:r>
      <w:r w:rsidR="00B840EE">
        <w:t>p</w:t>
      </w:r>
      <w:r w:rsidRPr="00037A46">
        <w:t xml:space="preserve">remies en  </w:t>
      </w:r>
      <w:r w:rsidR="00481835" w:rsidRPr="00037A46">
        <w:t>geschenken</w:t>
      </w:r>
      <w:bookmarkEnd w:id="224"/>
      <w:bookmarkEnd w:id="225"/>
      <w:r w:rsidR="00481835" w:rsidRPr="00037A46">
        <w:t xml:space="preserve"> </w:t>
      </w:r>
    </w:p>
    <w:p w14:paraId="66DC190A" w14:textId="12514817" w:rsidR="00481835" w:rsidRPr="00037A46" w:rsidRDefault="00481835" w:rsidP="00481835">
      <w:pPr>
        <w:pStyle w:val="Kop5"/>
        <w:rPr>
          <w:lang w:eastAsia="en-US"/>
        </w:rPr>
      </w:pPr>
      <w:r w:rsidRPr="00037A46">
        <w:t xml:space="preserve">Artikel </w:t>
      </w:r>
      <w:r w:rsidR="006763C7">
        <w:t>151</w:t>
      </w:r>
    </w:p>
    <w:p w14:paraId="24B97405" w14:textId="40DFBA3E" w:rsidR="00481835" w:rsidRPr="00FD7E2F" w:rsidRDefault="00481835" w:rsidP="00677A80">
      <w:pPr>
        <w:pStyle w:val="StandaardUitvullen"/>
        <w:ind w:left="0"/>
        <w:jc w:val="left"/>
        <w:rPr>
          <w:bCs/>
          <w:lang w:eastAsia="en-US"/>
        </w:rPr>
      </w:pPr>
      <w:r w:rsidRPr="00FD7E2F">
        <w:rPr>
          <w:bCs/>
          <w:lang w:eastAsia="en-US"/>
        </w:rPr>
        <w:lastRenderedPageBreak/>
        <w:t>§1</w:t>
      </w:r>
      <w:r w:rsidR="00FD7E2F" w:rsidRPr="00FD7E2F">
        <w:rPr>
          <w:bCs/>
          <w:lang w:eastAsia="en-US"/>
        </w:rPr>
        <w:t>.</w:t>
      </w:r>
      <w:r w:rsidR="009F7359" w:rsidRPr="00FD7E2F">
        <w:rPr>
          <w:bCs/>
          <w:lang w:eastAsia="en-US"/>
        </w:rPr>
        <w:t xml:space="preserve"> </w:t>
      </w:r>
      <w:r w:rsidRPr="00FD7E2F">
        <w:rPr>
          <w:bCs/>
          <w:lang w:eastAsia="en-US"/>
        </w:rPr>
        <w:t>Bij indiensttreding heeft het personeels</w:t>
      </w:r>
      <w:r w:rsidR="009F7359" w:rsidRPr="00FD7E2F">
        <w:rPr>
          <w:bCs/>
          <w:lang w:eastAsia="en-US"/>
        </w:rPr>
        <w:t xml:space="preserve">lid recht op een </w:t>
      </w:r>
      <w:r w:rsidRPr="00FD7E2F">
        <w:rPr>
          <w:bCs/>
          <w:lang w:eastAsia="en-US"/>
        </w:rPr>
        <w:t>welkomstgeschenk ter waarde van 10 eu</w:t>
      </w:r>
      <w:r w:rsidR="007B087C" w:rsidRPr="00FD7E2F">
        <w:rPr>
          <w:bCs/>
          <w:lang w:eastAsia="en-US"/>
        </w:rPr>
        <w:t>ro</w:t>
      </w:r>
      <w:r w:rsidRPr="00FD7E2F">
        <w:rPr>
          <w:bCs/>
          <w:lang w:eastAsia="en-US"/>
        </w:rPr>
        <w:t>.</w:t>
      </w:r>
    </w:p>
    <w:p w14:paraId="79A4A00E" w14:textId="49814944" w:rsidR="00481835" w:rsidRPr="00FD7E2F" w:rsidRDefault="00481835" w:rsidP="00677A80">
      <w:pPr>
        <w:pStyle w:val="StandaardUitvullen"/>
        <w:ind w:left="0"/>
        <w:rPr>
          <w:bCs/>
          <w:lang w:eastAsia="en-US"/>
        </w:rPr>
      </w:pPr>
      <w:r w:rsidRPr="00FD7E2F">
        <w:rPr>
          <w:bCs/>
          <w:lang w:eastAsia="en-US"/>
        </w:rPr>
        <w:t>§2</w:t>
      </w:r>
      <w:r w:rsidR="00FD7E2F" w:rsidRPr="00FD7E2F">
        <w:rPr>
          <w:bCs/>
          <w:lang w:eastAsia="en-US"/>
        </w:rPr>
        <w:t>.</w:t>
      </w:r>
      <w:r w:rsidRPr="00FD7E2F">
        <w:rPr>
          <w:bCs/>
          <w:lang w:eastAsia="en-US"/>
        </w:rPr>
        <w:t xml:space="preserve"> Bij pensionering ontvangt het personeelslid een afscheidspremie ter waarde van 150 euro in de vorm van een geschenkcheque</w:t>
      </w:r>
      <w:r w:rsidR="00CA695B">
        <w:rPr>
          <w:bCs/>
          <w:lang w:eastAsia="en-US"/>
        </w:rPr>
        <w:t xml:space="preserve"> tijdens de nieuwjaarsreceptie</w:t>
      </w:r>
      <w:r w:rsidRPr="00FD7E2F">
        <w:rPr>
          <w:bCs/>
          <w:lang w:eastAsia="en-US"/>
        </w:rPr>
        <w:t xml:space="preserve">, alsook een fles (non-alcoholische) mousserende wijn en een bloemetje tijdens </w:t>
      </w:r>
      <w:r w:rsidR="00842934" w:rsidRPr="00CA695B">
        <w:rPr>
          <w:bCs/>
          <w:lang w:eastAsia="en-US"/>
        </w:rPr>
        <w:t xml:space="preserve">de </w:t>
      </w:r>
      <w:r w:rsidRPr="00CA695B">
        <w:rPr>
          <w:bCs/>
          <w:lang w:eastAsia="en-US"/>
        </w:rPr>
        <w:t>een afscheidsreceptie</w:t>
      </w:r>
      <w:r w:rsidRPr="00FD7E2F">
        <w:rPr>
          <w:bCs/>
          <w:lang w:eastAsia="en-US"/>
        </w:rPr>
        <w:t xml:space="preserve">. </w:t>
      </w:r>
      <w:r w:rsidR="00C82159" w:rsidRPr="00FD7E2F">
        <w:rPr>
          <w:bCs/>
          <w:lang w:eastAsia="en-US"/>
        </w:rPr>
        <w:t xml:space="preserve">Voorwaarde is dat het personeelslid minstens 3 jaar anciënniteit heeft bij het bestuur op moment van pensionering </w:t>
      </w:r>
      <w:r w:rsidRPr="00FD7E2F">
        <w:rPr>
          <w:bCs/>
          <w:lang w:eastAsia="en-US"/>
        </w:rPr>
        <w:t xml:space="preserve">Het personeelslid en genodigden krijgen 1u </w:t>
      </w:r>
      <w:r w:rsidR="000B17AD" w:rsidRPr="00FD7E2F">
        <w:rPr>
          <w:bCs/>
          <w:lang w:eastAsia="en-US"/>
        </w:rPr>
        <w:t>dienstvrijstelling.</w:t>
      </w:r>
    </w:p>
    <w:p w14:paraId="3B9D3ACA" w14:textId="602FDA98" w:rsidR="00481835" w:rsidRPr="00FD7E2F" w:rsidRDefault="00481835" w:rsidP="00677A80">
      <w:pPr>
        <w:pStyle w:val="StandaardUitvullen"/>
        <w:ind w:left="0"/>
        <w:rPr>
          <w:bCs/>
          <w:lang w:eastAsia="en-US"/>
        </w:rPr>
      </w:pPr>
      <w:r w:rsidRPr="00FD7E2F">
        <w:rPr>
          <w:bCs/>
          <w:lang w:eastAsia="en-US"/>
        </w:rPr>
        <w:t>§3</w:t>
      </w:r>
      <w:r w:rsidR="00FD7E2F" w:rsidRPr="00FD7E2F">
        <w:rPr>
          <w:bCs/>
          <w:lang w:eastAsia="en-US"/>
        </w:rPr>
        <w:t>.</w:t>
      </w:r>
      <w:r w:rsidRPr="00FD7E2F">
        <w:rPr>
          <w:bCs/>
          <w:lang w:eastAsia="en-US"/>
        </w:rPr>
        <w:t xml:space="preserve"> Het </w:t>
      </w:r>
      <w:r w:rsidR="00345C71" w:rsidRPr="00FD7E2F">
        <w:rPr>
          <w:bCs/>
          <w:lang w:eastAsia="en-US"/>
        </w:rPr>
        <w:t>p</w:t>
      </w:r>
      <w:r w:rsidRPr="00FD7E2F">
        <w:rPr>
          <w:bCs/>
          <w:lang w:eastAsia="en-US"/>
        </w:rPr>
        <w:t>ersoneelslid met 25 of 35 jaar dienstanciënniteit heeft recht op een anciënniteitspremie in de vorm van een geschenkcheque:</w:t>
      </w:r>
    </w:p>
    <w:p w14:paraId="19E51B0C" w14:textId="77777777" w:rsidR="00481835" w:rsidRPr="00FD7E2F" w:rsidRDefault="00481835" w:rsidP="00481835">
      <w:pPr>
        <w:pStyle w:val="StandaardUitvullen"/>
        <w:ind w:left="1416"/>
        <w:rPr>
          <w:bCs/>
          <w:lang w:eastAsia="en-US"/>
        </w:rPr>
      </w:pPr>
      <w:r w:rsidRPr="00FD7E2F">
        <w:rPr>
          <w:bCs/>
          <w:lang w:eastAsia="en-US"/>
        </w:rPr>
        <w:t>100 euro bij 25 jaar effectieve dienst</w:t>
      </w:r>
    </w:p>
    <w:p w14:paraId="054B4FAA" w14:textId="77777777" w:rsidR="009F7359" w:rsidRPr="00FD7E2F" w:rsidRDefault="00481835" w:rsidP="009F7359">
      <w:pPr>
        <w:pStyle w:val="StandaardUitvullen"/>
        <w:ind w:left="1416"/>
        <w:rPr>
          <w:bCs/>
          <w:lang w:eastAsia="en-US"/>
        </w:rPr>
      </w:pPr>
      <w:r w:rsidRPr="00FD7E2F">
        <w:rPr>
          <w:bCs/>
          <w:lang w:eastAsia="en-US"/>
        </w:rPr>
        <w:t>125 euro bij 35 jaar effectieve dienst</w:t>
      </w:r>
    </w:p>
    <w:p w14:paraId="353BD7FE" w14:textId="40E372B1" w:rsidR="009F7359" w:rsidRPr="00FD7E2F" w:rsidRDefault="009F7359" w:rsidP="00855674">
      <w:pPr>
        <w:pStyle w:val="Normaalweb"/>
        <w:spacing w:before="0" w:beforeAutospacing="0" w:after="0" w:afterAutospacing="0"/>
        <w:rPr>
          <w:rFonts w:ascii="Arial" w:hAnsi="Arial" w:cs="Arial"/>
          <w:bCs/>
          <w:color w:val="000000"/>
          <w:sz w:val="20"/>
          <w:szCs w:val="20"/>
        </w:rPr>
      </w:pPr>
      <w:r w:rsidRPr="00FD7E2F">
        <w:rPr>
          <w:rFonts w:ascii="Arial" w:hAnsi="Arial" w:cs="Arial"/>
          <w:bCs/>
          <w:color w:val="000000"/>
          <w:sz w:val="20"/>
          <w:szCs w:val="20"/>
        </w:rPr>
        <w:t>§4</w:t>
      </w:r>
      <w:r w:rsidR="00FD7E2F" w:rsidRPr="00FD7E2F">
        <w:rPr>
          <w:rFonts w:ascii="Arial" w:hAnsi="Arial" w:cs="Arial"/>
          <w:bCs/>
          <w:color w:val="000000"/>
          <w:sz w:val="20"/>
          <w:szCs w:val="20"/>
        </w:rPr>
        <w:t>.</w:t>
      </w:r>
      <w:r w:rsidRPr="00FD7E2F">
        <w:rPr>
          <w:rFonts w:ascii="Arial" w:hAnsi="Arial" w:cs="Arial"/>
          <w:bCs/>
          <w:color w:val="000000"/>
          <w:sz w:val="20"/>
          <w:szCs w:val="20"/>
        </w:rPr>
        <w:t xml:space="preserve"> De geschenkcheques zijn fiscaal en sociaal vrijgesteld. </w:t>
      </w:r>
    </w:p>
    <w:p w14:paraId="53D9FDB2" w14:textId="77777777" w:rsidR="009F7359" w:rsidRPr="00FD7E2F" w:rsidRDefault="009F7359" w:rsidP="00855674">
      <w:pPr>
        <w:ind w:left="0"/>
        <w:rPr>
          <w:rFonts w:cs="Arial"/>
          <w:bCs/>
        </w:rPr>
      </w:pPr>
      <w:r w:rsidRPr="00FD7E2F">
        <w:rPr>
          <w:rFonts w:cs="Arial"/>
          <w:bCs/>
          <w:color w:val="000000"/>
        </w:rPr>
        <w:t>De toekenning van de geschenkcheques bij pensionering en bij 25 en 35 jaar dienstanciënniteit, zoals respectievelijk voorzien in §2 en §3 van dit artikel, treedt geldelijk in werking met ingang van 01 januari 2022.</w:t>
      </w:r>
    </w:p>
    <w:p w14:paraId="6CE66802" w14:textId="395C3B69" w:rsidR="00481835" w:rsidRPr="00FD7E2F" w:rsidRDefault="00481835" w:rsidP="00855674">
      <w:pPr>
        <w:pStyle w:val="StandaardUitvullen"/>
        <w:ind w:left="0"/>
        <w:rPr>
          <w:bCs/>
          <w:lang w:eastAsia="en-US"/>
        </w:rPr>
      </w:pPr>
      <w:r w:rsidRPr="00FD7E2F">
        <w:rPr>
          <w:bCs/>
          <w:lang w:eastAsia="en-US"/>
        </w:rPr>
        <w:t>§</w:t>
      </w:r>
      <w:r w:rsidR="009F7359" w:rsidRPr="00FD7E2F">
        <w:rPr>
          <w:bCs/>
          <w:lang w:eastAsia="en-US"/>
        </w:rPr>
        <w:t>5</w:t>
      </w:r>
      <w:r w:rsidR="00FD7E2F" w:rsidRPr="00FD7E2F">
        <w:rPr>
          <w:bCs/>
          <w:lang w:eastAsia="en-US"/>
        </w:rPr>
        <w:t>.</w:t>
      </w:r>
      <w:r w:rsidRPr="00FD7E2F">
        <w:rPr>
          <w:bCs/>
          <w:lang w:eastAsia="en-US"/>
        </w:rPr>
        <w:t xml:space="preserve"> Het voltijds en deeltijds personeelslid met 20, 25, 30, 35 en 40 jaar effectieve dienst krijgt een fl</w:t>
      </w:r>
      <w:r w:rsidR="003F699A" w:rsidRPr="00FD7E2F">
        <w:rPr>
          <w:bCs/>
          <w:lang w:eastAsia="en-US"/>
        </w:rPr>
        <w:t>es (non-alcoholische) mousserende wijn</w:t>
      </w:r>
      <w:r w:rsidRPr="00FD7E2F">
        <w:rPr>
          <w:bCs/>
          <w:lang w:eastAsia="en-US"/>
        </w:rPr>
        <w:t xml:space="preserve"> en een bloemetje.</w:t>
      </w:r>
    </w:p>
    <w:p w14:paraId="5E310677" w14:textId="576A17B4" w:rsidR="00481835" w:rsidRPr="00FD7E2F" w:rsidRDefault="00481835" w:rsidP="00855674">
      <w:pPr>
        <w:pStyle w:val="StandaardUitvullen"/>
        <w:ind w:left="0"/>
        <w:rPr>
          <w:bCs/>
          <w:lang w:eastAsia="en-US"/>
        </w:rPr>
      </w:pPr>
      <w:r w:rsidRPr="00FD7E2F">
        <w:rPr>
          <w:bCs/>
          <w:lang w:eastAsia="en-US"/>
        </w:rPr>
        <w:t>§</w:t>
      </w:r>
      <w:r w:rsidR="009F7359" w:rsidRPr="00FD7E2F">
        <w:rPr>
          <w:bCs/>
          <w:lang w:eastAsia="en-US"/>
        </w:rPr>
        <w:t>6</w:t>
      </w:r>
      <w:r w:rsidR="00FD7E2F" w:rsidRPr="00FD7E2F">
        <w:rPr>
          <w:bCs/>
          <w:lang w:eastAsia="en-US"/>
        </w:rPr>
        <w:t>.</w:t>
      </w:r>
      <w:r w:rsidRPr="00FD7E2F">
        <w:rPr>
          <w:bCs/>
          <w:lang w:eastAsia="en-US"/>
        </w:rPr>
        <w:t xml:space="preserve"> Het personeelslid krijgt met Pasen en Sinterklaas een geschenkpakketje</w:t>
      </w:r>
      <w:r w:rsidR="00FD7E2F" w:rsidRPr="00FD7E2F">
        <w:rPr>
          <w:bCs/>
          <w:lang w:eastAsia="en-US"/>
        </w:rPr>
        <w:t>.</w:t>
      </w:r>
    </w:p>
    <w:p w14:paraId="36CFE4C9" w14:textId="61F8A80D" w:rsidR="003E04C6" w:rsidRPr="00037A46" w:rsidRDefault="00481835" w:rsidP="00855674">
      <w:pPr>
        <w:pStyle w:val="StandaardUitvullen"/>
        <w:ind w:left="0"/>
        <w:rPr>
          <w:lang w:eastAsia="en-US"/>
        </w:rPr>
      </w:pPr>
      <w:r w:rsidRPr="00FD7E2F">
        <w:rPr>
          <w:bCs/>
          <w:lang w:eastAsia="en-US"/>
        </w:rPr>
        <w:t>§</w:t>
      </w:r>
      <w:r w:rsidR="0000780D" w:rsidRPr="00FD7E2F">
        <w:rPr>
          <w:bCs/>
          <w:lang w:eastAsia="en-US"/>
        </w:rPr>
        <w:t>7</w:t>
      </w:r>
      <w:r w:rsidR="00FD7E2F" w:rsidRPr="00FD7E2F">
        <w:rPr>
          <w:bCs/>
          <w:lang w:eastAsia="en-US"/>
        </w:rPr>
        <w:t>.</w:t>
      </w:r>
      <w:r w:rsidRPr="00FD7E2F">
        <w:rPr>
          <w:bCs/>
          <w:lang w:eastAsia="en-US"/>
        </w:rPr>
        <w:t xml:space="preserve"> Het</w:t>
      </w:r>
      <w:r w:rsidRPr="00037A46">
        <w:rPr>
          <w:lang w:eastAsia="en-US"/>
        </w:rPr>
        <w:t xml:space="preserve"> personeelslid krijgt </w:t>
      </w:r>
      <w:r w:rsidR="003F699A" w:rsidRPr="00037A46">
        <w:rPr>
          <w:lang w:eastAsia="en-US"/>
        </w:rPr>
        <w:t xml:space="preserve">jaarlijks </w:t>
      </w:r>
      <w:r w:rsidRPr="00037A46">
        <w:rPr>
          <w:lang w:eastAsia="en-US"/>
        </w:rPr>
        <w:t>gratis een griepvaccin aangeboden.</w:t>
      </w:r>
    </w:p>
    <w:p w14:paraId="6565D8F8" w14:textId="2095D821" w:rsidR="003A11FB" w:rsidRPr="00037A46" w:rsidRDefault="003A11FB" w:rsidP="0047290C">
      <w:pPr>
        <w:pStyle w:val="Kop3"/>
      </w:pPr>
      <w:bookmarkStart w:id="226" w:name="_Toc110948217"/>
      <w:bookmarkStart w:id="227" w:name="_Toc215739027"/>
      <w:r w:rsidRPr="005101DF">
        <w:t xml:space="preserve">Afdeling </w:t>
      </w:r>
      <w:r w:rsidR="00C82159">
        <w:t>5</w:t>
      </w:r>
      <w:r w:rsidRPr="005101DF">
        <w:t>. de hospitalisatieverzekering</w:t>
      </w:r>
      <w:bookmarkEnd w:id="226"/>
      <w:bookmarkEnd w:id="227"/>
    </w:p>
    <w:p w14:paraId="0F4180BB" w14:textId="08815BFE" w:rsidR="003A11FB" w:rsidRPr="00037A46" w:rsidRDefault="00323D8D" w:rsidP="003A11FB">
      <w:pPr>
        <w:pStyle w:val="Kop5"/>
      </w:pPr>
      <w:r w:rsidRPr="00037A46">
        <w:t xml:space="preserve">Artikel </w:t>
      </w:r>
      <w:r w:rsidR="006763C7">
        <w:t>152</w:t>
      </w:r>
    </w:p>
    <w:p w14:paraId="5EF44938" w14:textId="35330414" w:rsidR="0029019C" w:rsidRPr="00FD7E2F" w:rsidRDefault="0029019C" w:rsidP="00677A80">
      <w:pPr>
        <w:pStyle w:val="StandaardUitvullen"/>
        <w:ind w:left="0"/>
        <w:rPr>
          <w:bCs/>
          <w:lang w:eastAsia="en-US"/>
        </w:rPr>
      </w:pPr>
      <w:r w:rsidRPr="00FD7E2F">
        <w:rPr>
          <w:bCs/>
          <w:lang w:eastAsia="en-US"/>
        </w:rPr>
        <w:t>§1</w:t>
      </w:r>
      <w:r w:rsidR="00FD7E2F" w:rsidRPr="00FD7E2F">
        <w:rPr>
          <w:bCs/>
          <w:lang w:eastAsia="en-US"/>
        </w:rPr>
        <w:t>.</w:t>
      </w:r>
      <w:r w:rsidRPr="00FD7E2F">
        <w:rPr>
          <w:bCs/>
          <w:lang w:eastAsia="en-US"/>
        </w:rPr>
        <w:t xml:space="preserve"> Het bestuur sluit een collectieve verzekering “gezondheidszorg-hospitalisatie” af voor de statutaire en contractuele personeelsleden vanaf de </w:t>
      </w:r>
      <w:r w:rsidR="003827B9" w:rsidRPr="00FD7E2F">
        <w:rPr>
          <w:bCs/>
          <w:lang w:eastAsia="en-US"/>
        </w:rPr>
        <w:t xml:space="preserve">eerste dag van de maand volgend op de </w:t>
      </w:r>
      <w:r w:rsidRPr="00FD7E2F">
        <w:rPr>
          <w:bCs/>
          <w:lang w:eastAsia="en-US"/>
        </w:rPr>
        <w:t xml:space="preserve">indiensttredingsdatum, ongeacht de prestatiebreuk. </w:t>
      </w:r>
    </w:p>
    <w:p w14:paraId="5CA9C787" w14:textId="365B275A" w:rsidR="0029019C" w:rsidRPr="00FD7E2F" w:rsidRDefault="0029019C" w:rsidP="00677A80">
      <w:pPr>
        <w:pStyle w:val="StandaardUitvullen"/>
        <w:ind w:left="0"/>
        <w:rPr>
          <w:bCs/>
          <w:lang w:eastAsia="en-US"/>
        </w:rPr>
      </w:pPr>
      <w:r w:rsidRPr="00FD7E2F">
        <w:rPr>
          <w:bCs/>
          <w:lang w:eastAsia="en-US"/>
        </w:rPr>
        <w:t>§2</w:t>
      </w:r>
      <w:r w:rsidR="00FD7E2F" w:rsidRPr="00FD7E2F">
        <w:rPr>
          <w:bCs/>
          <w:lang w:eastAsia="en-US"/>
        </w:rPr>
        <w:t>.</w:t>
      </w:r>
      <w:r w:rsidRPr="00FD7E2F">
        <w:rPr>
          <w:bCs/>
          <w:lang w:eastAsia="en-US"/>
        </w:rPr>
        <w:t xml:space="preserve"> Het bestuur sluit geen collectieve verzekering af voor:</w:t>
      </w:r>
    </w:p>
    <w:p w14:paraId="78586C3E" w14:textId="77777777" w:rsidR="0029019C" w:rsidRPr="00FD7E2F" w:rsidRDefault="0029019C" w:rsidP="0029019C">
      <w:pPr>
        <w:pStyle w:val="StandaardUitvullen"/>
        <w:rPr>
          <w:bCs/>
          <w:lang w:eastAsia="en-US"/>
        </w:rPr>
      </w:pPr>
      <w:r w:rsidRPr="00FD7E2F">
        <w:rPr>
          <w:bCs/>
          <w:lang w:eastAsia="en-US"/>
        </w:rPr>
        <w:t>1. Personeelsleden tewerkgesteld met een studenten- en monitorenovereenkomst</w:t>
      </w:r>
      <w:r w:rsidR="00AE21F6" w:rsidRPr="00FD7E2F">
        <w:rPr>
          <w:bCs/>
          <w:lang w:eastAsia="en-US"/>
        </w:rPr>
        <w:t>;</w:t>
      </w:r>
    </w:p>
    <w:p w14:paraId="733D7D6F" w14:textId="77777777" w:rsidR="0029019C" w:rsidRPr="00FD7E2F" w:rsidRDefault="0029019C" w:rsidP="0029019C">
      <w:pPr>
        <w:pStyle w:val="StandaardUitvullen"/>
        <w:rPr>
          <w:bCs/>
          <w:lang w:eastAsia="en-US"/>
        </w:rPr>
      </w:pPr>
      <w:r w:rsidRPr="00FD7E2F">
        <w:rPr>
          <w:bCs/>
          <w:lang w:eastAsia="en-US"/>
        </w:rPr>
        <w:t>2. Personeelsleden met een arbeidsovereenkomst van bepaalde duur van minder dan drie maanden of met een arbeidsovereenkomst voor een bepaalde opdracht van minder dan drie maanden</w:t>
      </w:r>
      <w:r w:rsidR="00AE21F6" w:rsidRPr="00FD7E2F">
        <w:rPr>
          <w:bCs/>
          <w:lang w:eastAsia="en-US"/>
        </w:rPr>
        <w:t>;</w:t>
      </w:r>
    </w:p>
    <w:p w14:paraId="1901EF5B" w14:textId="77777777" w:rsidR="0029019C" w:rsidRPr="00FD7E2F" w:rsidRDefault="0029019C" w:rsidP="0029019C">
      <w:pPr>
        <w:pStyle w:val="StandaardUitvullen"/>
        <w:rPr>
          <w:bCs/>
          <w:lang w:eastAsia="en-US"/>
        </w:rPr>
      </w:pPr>
      <w:r w:rsidRPr="00FD7E2F">
        <w:rPr>
          <w:bCs/>
          <w:lang w:eastAsia="en-US"/>
        </w:rPr>
        <w:t>3. Vrijwilligers</w:t>
      </w:r>
      <w:r w:rsidR="00042149" w:rsidRPr="00FD7E2F">
        <w:rPr>
          <w:bCs/>
          <w:lang w:eastAsia="en-US"/>
        </w:rPr>
        <w:t>.</w:t>
      </w:r>
    </w:p>
    <w:p w14:paraId="7A483C6A" w14:textId="77777777" w:rsidR="003827B9" w:rsidRPr="00FD7E2F" w:rsidRDefault="003827B9" w:rsidP="0029019C">
      <w:pPr>
        <w:pStyle w:val="StandaardUitvullen"/>
        <w:rPr>
          <w:bCs/>
          <w:lang w:eastAsia="en-US"/>
        </w:rPr>
      </w:pPr>
      <w:r w:rsidRPr="00FD7E2F">
        <w:rPr>
          <w:bCs/>
          <w:lang w:eastAsia="en-US"/>
        </w:rPr>
        <w:t>4. Art</w:t>
      </w:r>
      <w:r w:rsidR="00E055E4" w:rsidRPr="00FD7E2F">
        <w:rPr>
          <w:bCs/>
          <w:lang w:eastAsia="en-US"/>
        </w:rPr>
        <w:t>ikel</w:t>
      </w:r>
      <w:r w:rsidRPr="00FD7E2F">
        <w:rPr>
          <w:bCs/>
          <w:lang w:eastAsia="en-US"/>
        </w:rPr>
        <w:t xml:space="preserve"> 60</w:t>
      </w:r>
      <w:r w:rsidR="00E055E4" w:rsidRPr="00FD7E2F">
        <w:rPr>
          <w:bCs/>
          <w:lang w:eastAsia="en-US"/>
        </w:rPr>
        <w:t>’ers</w:t>
      </w:r>
    </w:p>
    <w:p w14:paraId="40429DDA" w14:textId="6B7D8850" w:rsidR="0029019C" w:rsidRPr="00FD7E2F" w:rsidRDefault="0029019C" w:rsidP="00677A80">
      <w:pPr>
        <w:pStyle w:val="StandaardUitvullen"/>
        <w:ind w:left="0"/>
        <w:rPr>
          <w:bCs/>
          <w:lang w:eastAsia="en-US"/>
        </w:rPr>
      </w:pPr>
      <w:r w:rsidRPr="00FD7E2F">
        <w:rPr>
          <w:bCs/>
          <w:lang w:eastAsia="en-US"/>
        </w:rPr>
        <w:t>§3</w:t>
      </w:r>
      <w:r w:rsidR="00FD7E2F" w:rsidRPr="00FD7E2F">
        <w:rPr>
          <w:bCs/>
          <w:lang w:eastAsia="en-US"/>
        </w:rPr>
        <w:t>.</w:t>
      </w:r>
      <w:r w:rsidRPr="00FD7E2F">
        <w:rPr>
          <w:bCs/>
          <w:lang w:eastAsia="en-US"/>
        </w:rPr>
        <w:t xml:space="preserve"> De personeelsleden vermeld in § 1 kunnen zich op vrijwillige basis aansluiten. De verzekeringspremie</w:t>
      </w:r>
      <w:r w:rsidR="009E3395" w:rsidRPr="00FD7E2F">
        <w:rPr>
          <w:bCs/>
          <w:lang w:eastAsia="en-US"/>
        </w:rPr>
        <w:t xml:space="preserve"> </w:t>
      </w:r>
      <w:r w:rsidRPr="00FD7E2F">
        <w:rPr>
          <w:bCs/>
          <w:lang w:eastAsia="en-US"/>
        </w:rPr>
        <w:t xml:space="preserve">voor de personeelsleden wordt volledig ten laste genomen door het bestuur. </w:t>
      </w:r>
    </w:p>
    <w:p w14:paraId="56AE8B09" w14:textId="77777777" w:rsidR="0029019C" w:rsidRPr="00FD7E2F" w:rsidRDefault="0029019C" w:rsidP="00677A80">
      <w:pPr>
        <w:pStyle w:val="StandaardUitvullen"/>
        <w:ind w:left="0"/>
        <w:rPr>
          <w:bCs/>
          <w:lang w:eastAsia="en-US"/>
        </w:rPr>
      </w:pPr>
      <w:r w:rsidRPr="00FD7E2F">
        <w:rPr>
          <w:bCs/>
          <w:lang w:eastAsia="en-US"/>
        </w:rPr>
        <w:t xml:space="preserve">De premie valt volledig ten laste van het personeelslid </w:t>
      </w:r>
      <w:r w:rsidR="00675FBE" w:rsidRPr="00FD7E2F">
        <w:rPr>
          <w:bCs/>
          <w:lang w:eastAsia="en-US"/>
        </w:rPr>
        <w:t xml:space="preserve">vanaf de eerste dag van de maand volgend op </w:t>
      </w:r>
      <w:r w:rsidRPr="00FD7E2F">
        <w:rPr>
          <w:bCs/>
          <w:lang w:eastAsia="en-US"/>
        </w:rPr>
        <w:t xml:space="preserve">een afwezigheid wegens ziekte, disponibiliteit, volledige loopbaanonderbreking en onbetaald verlof voor een aaneensluitende periode van langer dan </w:t>
      </w:r>
      <w:r w:rsidR="0047290C" w:rsidRPr="00FD7E2F">
        <w:rPr>
          <w:bCs/>
          <w:lang w:eastAsia="en-US"/>
        </w:rPr>
        <w:t>2</w:t>
      </w:r>
      <w:r w:rsidRPr="00FD7E2F">
        <w:rPr>
          <w:bCs/>
          <w:lang w:eastAsia="en-US"/>
        </w:rPr>
        <w:t xml:space="preserve"> jaar.</w:t>
      </w:r>
    </w:p>
    <w:p w14:paraId="0118C61E" w14:textId="31DF0867" w:rsidR="0047290C" w:rsidRPr="00FD7E2F" w:rsidRDefault="0029019C" w:rsidP="00677A80">
      <w:pPr>
        <w:pStyle w:val="StandaardUitvullen"/>
        <w:ind w:left="0"/>
        <w:rPr>
          <w:bCs/>
          <w:lang w:eastAsia="en-US"/>
        </w:rPr>
      </w:pPr>
      <w:r w:rsidRPr="00FD7E2F">
        <w:rPr>
          <w:bCs/>
          <w:lang w:eastAsia="en-US"/>
        </w:rPr>
        <w:t>§4</w:t>
      </w:r>
      <w:r w:rsidR="00FD7E2F" w:rsidRPr="00FD7E2F">
        <w:rPr>
          <w:bCs/>
          <w:lang w:eastAsia="en-US"/>
        </w:rPr>
        <w:t>.</w:t>
      </w:r>
      <w:r w:rsidRPr="00FD7E2F">
        <w:rPr>
          <w:bCs/>
          <w:lang w:eastAsia="en-US"/>
        </w:rPr>
        <w:t xml:space="preserve"> </w:t>
      </w:r>
      <w:r w:rsidR="0047290C" w:rsidRPr="00FD7E2F">
        <w:rPr>
          <w:bCs/>
          <w:lang w:eastAsia="en-US"/>
        </w:rPr>
        <w:t xml:space="preserve">De aansluiting van het personeelslid wordt </w:t>
      </w:r>
      <w:r w:rsidR="000B17AD" w:rsidRPr="00FD7E2F">
        <w:rPr>
          <w:bCs/>
          <w:lang w:eastAsia="en-US"/>
        </w:rPr>
        <w:t>stopgezet</w:t>
      </w:r>
      <w:r w:rsidR="0047290C" w:rsidRPr="00FD7E2F">
        <w:rPr>
          <w:bCs/>
          <w:lang w:eastAsia="en-US"/>
        </w:rPr>
        <w:t xml:space="preserve"> op de eerste dag van de maand volgend op de uitdiensttredingsdatum. Het personeelslid kan op eigen verzoek individueel aangesloten worden na zijn uitdienst</w:t>
      </w:r>
      <w:r w:rsidR="003F699A" w:rsidRPr="00FD7E2F">
        <w:rPr>
          <w:bCs/>
          <w:lang w:eastAsia="en-US"/>
        </w:rPr>
        <w:t>t</w:t>
      </w:r>
      <w:r w:rsidR="0047290C" w:rsidRPr="00FD7E2F">
        <w:rPr>
          <w:bCs/>
          <w:lang w:eastAsia="en-US"/>
        </w:rPr>
        <w:t>reding mits zelf de premie te dragen.</w:t>
      </w:r>
    </w:p>
    <w:p w14:paraId="4E103D51" w14:textId="6DC2FEF8" w:rsidR="00C82159" w:rsidRPr="00C82159" w:rsidRDefault="00C82159" w:rsidP="00677A80">
      <w:pPr>
        <w:pStyle w:val="StandaardUitvullen"/>
        <w:ind w:left="0"/>
        <w:rPr>
          <w:bCs/>
          <w:lang w:eastAsia="en-US"/>
        </w:rPr>
      </w:pPr>
      <w:r w:rsidRPr="00FD7E2F">
        <w:rPr>
          <w:bCs/>
          <w:lang w:eastAsia="en-US"/>
        </w:rPr>
        <w:t>§5</w:t>
      </w:r>
      <w:r w:rsidR="00FD7E2F" w:rsidRPr="00FD7E2F">
        <w:rPr>
          <w:bCs/>
          <w:lang w:eastAsia="en-US"/>
        </w:rPr>
        <w:t>.</w:t>
      </w:r>
      <w:r w:rsidRPr="00FD7E2F">
        <w:rPr>
          <w:bCs/>
          <w:lang w:eastAsia="en-US"/>
        </w:rPr>
        <w:t xml:space="preserve"> Medewerkers die met pensioen gaan, kunnen aangesloten blijven bij de hospitalisatieverzekering aan dezelfde</w:t>
      </w:r>
      <w:r w:rsidRPr="00C82159">
        <w:rPr>
          <w:bCs/>
          <w:lang w:eastAsia="en-US"/>
        </w:rPr>
        <w:t xml:space="preserve"> </w:t>
      </w:r>
      <w:r>
        <w:rPr>
          <w:bCs/>
          <w:lang w:eastAsia="en-US"/>
        </w:rPr>
        <w:t xml:space="preserve">voorwaarden en </w:t>
      </w:r>
      <w:r w:rsidRPr="00C82159">
        <w:rPr>
          <w:bCs/>
          <w:lang w:eastAsia="en-US"/>
        </w:rPr>
        <w:t>premie. Zij dienen na de uitdiensttreding zelf de premie te dragen.</w:t>
      </w:r>
    </w:p>
    <w:p w14:paraId="600B81AA" w14:textId="7E27D54F" w:rsidR="003A11FB" w:rsidRPr="00037A46" w:rsidRDefault="00323D8D" w:rsidP="0047290C">
      <w:pPr>
        <w:pStyle w:val="StandaardUitvullen"/>
        <w:ind w:left="0"/>
        <w:rPr>
          <w:b/>
        </w:rPr>
      </w:pPr>
      <w:r w:rsidRPr="00037A46">
        <w:rPr>
          <w:b/>
        </w:rPr>
        <w:t xml:space="preserve">Artikel </w:t>
      </w:r>
      <w:r w:rsidR="006763C7">
        <w:rPr>
          <w:b/>
        </w:rPr>
        <w:t>153</w:t>
      </w:r>
    </w:p>
    <w:p w14:paraId="347A47CA" w14:textId="77777777" w:rsidR="003A11FB" w:rsidRPr="00037A46" w:rsidRDefault="003A11FB" w:rsidP="00677A80">
      <w:pPr>
        <w:pStyle w:val="StandaardUitvullen"/>
        <w:ind w:left="0"/>
        <w:rPr>
          <w:lang w:eastAsia="en-US"/>
        </w:rPr>
      </w:pPr>
      <w:r w:rsidRPr="00037A46">
        <w:rPr>
          <w:lang w:eastAsia="en-US"/>
        </w:rPr>
        <w:lastRenderedPageBreak/>
        <w:t xml:space="preserve">De </w:t>
      </w:r>
      <w:r w:rsidR="0029019C" w:rsidRPr="00037A46">
        <w:rPr>
          <w:lang w:eastAsia="en-US"/>
        </w:rPr>
        <w:t>collectieve verzekering “gezondheidszorg-hospitalisatie”</w:t>
      </w:r>
      <w:r w:rsidR="0029019C" w:rsidRPr="00037A46">
        <w:rPr>
          <w:rFonts w:cs="Arial"/>
          <w:b/>
          <w:sz w:val="16"/>
          <w:szCs w:val="16"/>
        </w:rPr>
        <w:t xml:space="preserve"> </w:t>
      </w:r>
      <w:r w:rsidRPr="00037A46">
        <w:rPr>
          <w:lang w:eastAsia="en-US"/>
        </w:rPr>
        <w:t>wordt ook aangeboden aan de volgende categorieën:</w:t>
      </w:r>
    </w:p>
    <w:p w14:paraId="5220D744" w14:textId="77777777" w:rsidR="003A11FB" w:rsidRPr="00037A46" w:rsidRDefault="003A11FB" w:rsidP="009D4C40">
      <w:pPr>
        <w:pStyle w:val="StandaardUitvullen"/>
        <w:numPr>
          <w:ilvl w:val="0"/>
          <w:numId w:val="11"/>
        </w:numPr>
        <w:rPr>
          <w:lang w:eastAsia="en-US"/>
        </w:rPr>
      </w:pPr>
      <w:r w:rsidRPr="00037A46">
        <w:rPr>
          <w:lang w:eastAsia="en-US"/>
        </w:rPr>
        <w:t>de gepensioneerde personeelsleden;</w:t>
      </w:r>
    </w:p>
    <w:p w14:paraId="50EF1F19" w14:textId="77777777" w:rsidR="003A11FB" w:rsidRPr="00037A46" w:rsidRDefault="003A11FB" w:rsidP="009D4C40">
      <w:pPr>
        <w:pStyle w:val="StandaardUitvullen"/>
        <w:numPr>
          <w:ilvl w:val="0"/>
          <w:numId w:val="11"/>
        </w:numPr>
        <w:rPr>
          <w:lang w:eastAsia="en-US"/>
        </w:rPr>
      </w:pPr>
      <w:r w:rsidRPr="00037A46">
        <w:rPr>
          <w:lang w:eastAsia="en-US"/>
        </w:rPr>
        <w:t>de gezinsleden van de personeelsleden.</w:t>
      </w:r>
    </w:p>
    <w:p w14:paraId="1E5E136A" w14:textId="7A5402F6" w:rsidR="0047290C" w:rsidRPr="00037A46" w:rsidRDefault="003A11FB" w:rsidP="00927FE7">
      <w:pPr>
        <w:pStyle w:val="StandaardUitvullen"/>
        <w:rPr>
          <w:lang w:eastAsia="en-US"/>
        </w:rPr>
      </w:pPr>
      <w:r w:rsidRPr="00037A46">
        <w:rPr>
          <w:lang w:eastAsia="en-US"/>
        </w:rPr>
        <w:t>De premie voor deze categorieën wordt niet</w:t>
      </w:r>
      <w:r w:rsidRPr="00037A46">
        <w:rPr>
          <w:b/>
          <w:lang w:eastAsia="en-US"/>
        </w:rPr>
        <w:t xml:space="preserve"> </w:t>
      </w:r>
      <w:r w:rsidRPr="00037A46">
        <w:rPr>
          <w:lang w:eastAsia="en-US"/>
        </w:rPr>
        <w:t>ten laste genomen van het bestuur.</w:t>
      </w:r>
    </w:p>
    <w:p w14:paraId="1A1B9DE2" w14:textId="29CE6567" w:rsidR="003A11FB" w:rsidRPr="00037A46" w:rsidRDefault="00323D8D" w:rsidP="003A11FB">
      <w:pPr>
        <w:pStyle w:val="Kop5"/>
      </w:pPr>
      <w:r w:rsidRPr="00037A46">
        <w:t>Artikel</w:t>
      </w:r>
      <w:r w:rsidR="00C94443">
        <w:t xml:space="preserve"> </w:t>
      </w:r>
      <w:r w:rsidR="006763C7">
        <w:t>154</w:t>
      </w:r>
    </w:p>
    <w:p w14:paraId="308493F3" w14:textId="77777777" w:rsidR="0047290C" w:rsidRPr="00037A46" w:rsidRDefault="003A11FB" w:rsidP="00677A80">
      <w:pPr>
        <w:pStyle w:val="StandaardUitvullen"/>
        <w:ind w:left="0"/>
        <w:rPr>
          <w:lang w:eastAsia="en-US"/>
        </w:rPr>
      </w:pPr>
      <w:r w:rsidRPr="00037A46">
        <w:rPr>
          <w:lang w:eastAsia="en-US"/>
        </w:rPr>
        <w:t>Het personeelslid ontvangt tijdig de nodige informatie in verband met toepassingsvoorwaarden van de hospitalisatieverzekering.</w:t>
      </w:r>
    </w:p>
    <w:p w14:paraId="5A41296D" w14:textId="7D55B76D" w:rsidR="003A11FB" w:rsidRPr="00037A46" w:rsidRDefault="003A11FB" w:rsidP="003A11FB">
      <w:pPr>
        <w:pStyle w:val="Kop3"/>
      </w:pPr>
      <w:bookmarkStart w:id="228" w:name="_Toc110948219"/>
      <w:bookmarkStart w:id="229" w:name="_Toc215739028"/>
      <w:r w:rsidRPr="00037A46">
        <w:t xml:space="preserve">Afdeling </w:t>
      </w:r>
      <w:r w:rsidR="00481835" w:rsidRPr="00037A46">
        <w:t>6</w:t>
      </w:r>
      <w:r w:rsidRPr="00037A46">
        <w:t>. de begrafenisvergoeding</w:t>
      </w:r>
      <w:bookmarkEnd w:id="228"/>
      <w:bookmarkEnd w:id="229"/>
    </w:p>
    <w:p w14:paraId="10DF2526" w14:textId="37B7A6EC" w:rsidR="003A11FB" w:rsidRPr="00037A46" w:rsidRDefault="00323D8D" w:rsidP="003A11FB">
      <w:pPr>
        <w:pStyle w:val="Kop5"/>
      </w:pPr>
      <w:r w:rsidRPr="00037A46">
        <w:t xml:space="preserve">Artikel </w:t>
      </w:r>
      <w:r w:rsidR="008E0576">
        <w:t>155</w:t>
      </w:r>
    </w:p>
    <w:p w14:paraId="5BA0E185" w14:textId="77777777" w:rsidR="003A11FB" w:rsidRPr="00037A46" w:rsidRDefault="003A11FB" w:rsidP="00677A80">
      <w:pPr>
        <w:pStyle w:val="StandaardUitvullen"/>
        <w:ind w:left="0"/>
      </w:pPr>
      <w:r w:rsidRPr="00037A46">
        <w:t>Als een personeelslid overlijdt, wordt aan de persoon of personen die kosten voor de begrafenis hebben gedragen, een begrafenisvergoeding toegekend.</w:t>
      </w:r>
    </w:p>
    <w:p w14:paraId="45F8866E" w14:textId="32CB0CA7" w:rsidR="003A11FB" w:rsidRPr="00037A46" w:rsidRDefault="00323D8D" w:rsidP="003A11FB">
      <w:pPr>
        <w:pStyle w:val="Kop5"/>
      </w:pPr>
      <w:r w:rsidRPr="00037A46">
        <w:t xml:space="preserve">Artikel </w:t>
      </w:r>
      <w:r w:rsidR="008E0576">
        <w:t>156</w:t>
      </w:r>
    </w:p>
    <w:p w14:paraId="6A49FF01" w14:textId="77777777" w:rsidR="003A11FB" w:rsidRPr="00037A46" w:rsidRDefault="003A11FB" w:rsidP="00677A80">
      <w:pPr>
        <w:pStyle w:val="StandaardUitvullen"/>
        <w:ind w:left="0"/>
      </w:pPr>
      <w:r w:rsidRPr="00037A46">
        <w:t xml:space="preserve">Deze vergoeding stemt overeen met het geïndexeerde maandsalaris van het personeelslid, eventueel verhoogd met de haard- en standplaatstoelage of met om het even welke andere salaristoeslag. Het geïndexeerde maandsalaris wordt omgezet in een maandsalaris voor voltijdse prestaties als het overleden personeelslid deeltijds werkte. </w:t>
      </w:r>
    </w:p>
    <w:p w14:paraId="33C8A96C" w14:textId="77777777" w:rsidR="003A11FB" w:rsidRPr="00037A46" w:rsidRDefault="003A11FB" w:rsidP="00677A80">
      <w:pPr>
        <w:pStyle w:val="StandaardUitvullen"/>
        <w:ind w:left="0"/>
      </w:pPr>
      <w:r w:rsidRPr="00037A46">
        <w:t>De begrafenisvergoeding mag niet meer bedragen dan een twaalfde van het bedrag, vastgesteld met toepassing van artikel 39, eerste, derde en vierde lid, van de Arbeidsongevallenwet van 10 april 1971.</w:t>
      </w:r>
    </w:p>
    <w:p w14:paraId="341868D4" w14:textId="77777777" w:rsidR="003A11FB" w:rsidRPr="00037A46" w:rsidRDefault="003A11FB" w:rsidP="00677A80">
      <w:pPr>
        <w:pStyle w:val="StandaardUitvullen"/>
        <w:ind w:left="0"/>
      </w:pPr>
      <w:r w:rsidRPr="00037A46">
        <w:t>De vergoeding wordt in voorkomend geval verminderd met het bedrag van een vergoeding die krachtens andere wettelijke of reglementaire bepalingen wordt toegekend.</w:t>
      </w:r>
    </w:p>
    <w:p w14:paraId="277A69A1" w14:textId="77777777" w:rsidR="002F3363" w:rsidRPr="00037A46" w:rsidRDefault="002F3363" w:rsidP="002F3363">
      <w:pPr>
        <w:pStyle w:val="StandaardUitvullen"/>
        <w:ind w:left="0"/>
      </w:pPr>
    </w:p>
    <w:p w14:paraId="646B5ADE" w14:textId="4C94E550" w:rsidR="007F44EC" w:rsidRPr="00037A46" w:rsidRDefault="00643075" w:rsidP="00285685">
      <w:pPr>
        <w:pStyle w:val="Kop2"/>
      </w:pPr>
      <w:r w:rsidRPr="00037A46">
        <w:br w:type="page"/>
      </w:r>
    </w:p>
    <w:p w14:paraId="24527F0F" w14:textId="54B4F4FB" w:rsidR="00AB1BBE" w:rsidRPr="00037A46" w:rsidRDefault="00AB1BBE" w:rsidP="00B44CF7">
      <w:pPr>
        <w:pStyle w:val="Kop2"/>
      </w:pPr>
      <w:bookmarkStart w:id="230" w:name="_Toc215739029"/>
      <w:r w:rsidRPr="00037A46">
        <w:lastRenderedPageBreak/>
        <w:t>Hoofdstuk viii. aanvullend pensioen voor het contractuele personeelslid</w:t>
      </w:r>
      <w:bookmarkStart w:id="231" w:name="_Toc110948221"/>
      <w:bookmarkEnd w:id="230"/>
    </w:p>
    <w:p w14:paraId="198E2751" w14:textId="1161B7AC" w:rsidR="00BB2A58" w:rsidRPr="00037A46" w:rsidRDefault="00BB2A58" w:rsidP="00BB2A58">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w:t>
      </w:r>
      <w:r w:rsidR="008E0576">
        <w:rPr>
          <w:rFonts w:eastAsia="Calibri" w:cs="Arial"/>
          <w:b/>
          <w:bCs/>
          <w:kern w:val="2"/>
          <w:lang w:val="nl-BE" w:eastAsia="en-US"/>
          <w14:ligatures w14:val="standardContextual"/>
        </w:rPr>
        <w:t>157</w:t>
      </w:r>
    </w:p>
    <w:p w14:paraId="3F41ED19" w14:textId="5D187B4B" w:rsidR="007F44EC" w:rsidRPr="00037A46" w:rsidRDefault="007F44EC" w:rsidP="007F44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Het contractuele personeelslid heeft recht op een aanvullend pensioen waarvoor het bestuur een collectief pensioenfonds in eigen beheer (type tak 27) </w:t>
      </w:r>
      <w:r w:rsidR="000B17AD" w:rsidRPr="00037A46">
        <w:rPr>
          <w:rFonts w:eastAsia="Calibri" w:cs="Arial"/>
          <w:kern w:val="2"/>
          <w:lang w:val="nl-BE" w:eastAsia="en-US"/>
          <w14:ligatures w14:val="standardContextual"/>
        </w:rPr>
        <w:t>heeft opgericht</w:t>
      </w:r>
      <w:r w:rsidRPr="00037A46">
        <w:rPr>
          <w:rFonts w:eastAsia="Calibri" w:cs="Arial"/>
          <w:kern w:val="2"/>
          <w:lang w:val="nl-BE" w:eastAsia="en-US"/>
          <w14:ligatures w14:val="standardContextual"/>
        </w:rPr>
        <w:t xml:space="preserve"> voor de uitvoering van het pensioenplan type ‘vaste prestatie’. Het pensioenfonds verbindt er zich toe een kloofdichting tussen statutair en werknemerspensioen te bereiken van 60 %. </w:t>
      </w:r>
    </w:p>
    <w:p w14:paraId="0D89BEAE" w14:textId="0F3ECD0F" w:rsidR="007F44EC" w:rsidRPr="00037A46" w:rsidRDefault="007F44EC" w:rsidP="007F44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concrete modaliteiten over het collectie</w:t>
      </w:r>
      <w:r w:rsidR="000A018E">
        <w:rPr>
          <w:rFonts w:eastAsia="Calibri" w:cs="Arial"/>
          <w:kern w:val="2"/>
          <w:lang w:val="nl-BE" w:eastAsia="en-US"/>
          <w14:ligatures w14:val="standardContextual"/>
        </w:rPr>
        <w:t>f</w:t>
      </w:r>
      <w:r w:rsidRPr="00037A46">
        <w:rPr>
          <w:rFonts w:eastAsia="Calibri" w:cs="Arial"/>
          <w:kern w:val="2"/>
          <w:lang w:val="nl-BE" w:eastAsia="en-US"/>
          <w14:ligatures w14:val="standardContextual"/>
        </w:rPr>
        <w:t xml:space="preserve"> pensioen- en overlijdensplan ten voordele van de contractuele personeelsleden, worden uitgewerkt in </w:t>
      </w:r>
      <w:r w:rsidR="00F36553">
        <w:rPr>
          <w:rFonts w:eastAsia="Calibri" w:cs="Arial"/>
          <w:kern w:val="2"/>
          <w:lang w:val="nl-BE" w:eastAsia="en-US"/>
          <w14:ligatures w14:val="standardContextual"/>
        </w:rPr>
        <w:t>de policy.</w:t>
      </w:r>
    </w:p>
    <w:bookmarkEnd w:id="231"/>
    <w:p w14:paraId="555E72AC" w14:textId="77777777" w:rsidR="004B1ADD" w:rsidRPr="00037A46" w:rsidRDefault="004B1ADD" w:rsidP="003A11FB">
      <w:pPr>
        <w:pStyle w:val="StandaardUitvullen"/>
      </w:pPr>
    </w:p>
    <w:p w14:paraId="23622334" w14:textId="4C2EACC6" w:rsidR="003A11FB" w:rsidRPr="00037A46" w:rsidRDefault="003A11FB" w:rsidP="003A11FB">
      <w:pPr>
        <w:pStyle w:val="Kop1"/>
      </w:pPr>
      <w:bookmarkStart w:id="232" w:name="_Toc110948222"/>
      <w:bookmarkStart w:id="233" w:name="_Toc215739030"/>
      <w:r w:rsidRPr="00037A46">
        <w:lastRenderedPageBreak/>
        <w:t xml:space="preserve">TITEL </w:t>
      </w:r>
      <w:r w:rsidR="00EB0610">
        <w:t>7</w:t>
      </w:r>
      <w:r w:rsidRPr="00037A46">
        <w:t>. VERLOVEN EN AFWEZIGHEDEN</w:t>
      </w:r>
      <w:bookmarkEnd w:id="232"/>
      <w:bookmarkEnd w:id="233"/>
    </w:p>
    <w:p w14:paraId="06ED38E4" w14:textId="2FA6C1E8" w:rsidR="003A11FB" w:rsidRPr="00037A46" w:rsidRDefault="003A11FB" w:rsidP="00B44CF7">
      <w:pPr>
        <w:pStyle w:val="Kop2"/>
      </w:pPr>
      <w:bookmarkStart w:id="234" w:name="_Toc110948223"/>
      <w:bookmarkStart w:id="235" w:name="_Toc215739031"/>
      <w:r w:rsidRPr="00037A46">
        <w:t>Hoofdstuk i. algemene bepalingen</w:t>
      </w:r>
      <w:bookmarkEnd w:id="234"/>
      <w:bookmarkEnd w:id="235"/>
    </w:p>
    <w:p w14:paraId="55AC42BE" w14:textId="628DE5D9" w:rsidR="003A11FB" w:rsidRPr="00037A46" w:rsidRDefault="003A11FB" w:rsidP="00AB1BBE">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w:t>
      </w:r>
      <w:r w:rsidR="00C94443">
        <w:rPr>
          <w:rFonts w:eastAsia="Calibri" w:cs="Arial"/>
          <w:b/>
          <w:bCs/>
          <w:kern w:val="2"/>
          <w:lang w:val="nl-BE" w:eastAsia="en-US"/>
          <w14:ligatures w14:val="standardContextual"/>
        </w:rPr>
        <w:t>1</w:t>
      </w:r>
      <w:r w:rsidR="008E0576">
        <w:rPr>
          <w:rFonts w:eastAsia="Calibri" w:cs="Arial"/>
          <w:b/>
          <w:bCs/>
          <w:kern w:val="2"/>
          <w:lang w:val="nl-BE" w:eastAsia="en-US"/>
          <w14:ligatures w14:val="standardContextual"/>
        </w:rPr>
        <w:t>58</w:t>
      </w:r>
    </w:p>
    <w:p w14:paraId="4C894A8A" w14:textId="6CBC5DA3" w:rsidR="003A11FB" w:rsidRPr="00FD7E2F" w:rsidRDefault="003000D1" w:rsidP="00677A80">
      <w:pPr>
        <w:pStyle w:val="StandaardUitvullen"/>
        <w:ind w:left="0"/>
        <w:rPr>
          <w:bCs/>
          <w:iCs/>
        </w:rPr>
      </w:pPr>
      <w:r w:rsidRPr="00FD7E2F">
        <w:rPr>
          <w:bCs/>
          <w:iCs/>
        </w:rPr>
        <w:t xml:space="preserve">§1. </w:t>
      </w:r>
      <w:r w:rsidR="003A11FB" w:rsidRPr="00FD7E2F">
        <w:rPr>
          <w:bCs/>
          <w:iCs/>
        </w:rPr>
        <w:t>Het personeelslid bevindt zich geheel of gedeeltelijk in een van de volgende administratieve toestanden:</w:t>
      </w:r>
    </w:p>
    <w:p w14:paraId="49FD6FF7" w14:textId="77777777" w:rsidR="003A11FB" w:rsidRPr="00FD7E2F" w:rsidRDefault="003A11FB" w:rsidP="009D4C40">
      <w:pPr>
        <w:pStyle w:val="StandaardUitvullen"/>
        <w:numPr>
          <w:ilvl w:val="0"/>
          <w:numId w:val="12"/>
        </w:numPr>
        <w:rPr>
          <w:bCs/>
          <w:iCs/>
        </w:rPr>
      </w:pPr>
      <w:r w:rsidRPr="00FD7E2F">
        <w:rPr>
          <w:bCs/>
          <w:iCs/>
        </w:rPr>
        <w:t>dienstactiviteit;</w:t>
      </w:r>
    </w:p>
    <w:p w14:paraId="1ABD3CC9" w14:textId="77777777" w:rsidR="003A11FB" w:rsidRPr="00FD7E2F" w:rsidRDefault="003A11FB" w:rsidP="009D4C40">
      <w:pPr>
        <w:pStyle w:val="StandaardUitvullen"/>
        <w:numPr>
          <w:ilvl w:val="0"/>
          <w:numId w:val="12"/>
        </w:numPr>
        <w:rPr>
          <w:bCs/>
          <w:iCs/>
        </w:rPr>
      </w:pPr>
      <w:r w:rsidRPr="00FD7E2F">
        <w:rPr>
          <w:bCs/>
          <w:iCs/>
        </w:rPr>
        <w:t>non-activiteit;</w:t>
      </w:r>
    </w:p>
    <w:p w14:paraId="68D1ADA1" w14:textId="77777777" w:rsidR="003000D1" w:rsidRPr="00037A46" w:rsidRDefault="003000D1" w:rsidP="00677A80">
      <w:pPr>
        <w:pStyle w:val="StandaardUitvullen"/>
        <w:ind w:left="0"/>
      </w:pPr>
      <w:r w:rsidRPr="00FD7E2F">
        <w:rPr>
          <w:bCs/>
          <w:iCs/>
        </w:rPr>
        <w:t>§2.</w:t>
      </w:r>
      <w:r w:rsidRPr="00037A46">
        <w:t xml:space="preserve"> Het statutair personeelslid kan zich ook in een toestand van disponibiliteit bevinden.</w:t>
      </w:r>
    </w:p>
    <w:p w14:paraId="72FC3BA3" w14:textId="77777777" w:rsidR="00D573C0" w:rsidRDefault="00D573C0" w:rsidP="00D573C0">
      <w:pPr>
        <w:pStyle w:val="StandaardUitvullen"/>
        <w:ind w:left="0"/>
        <w:rPr>
          <w:strike/>
        </w:rPr>
      </w:pPr>
    </w:p>
    <w:p w14:paraId="1F3B4389" w14:textId="156881BE" w:rsidR="00D573C0" w:rsidRPr="00D573C0" w:rsidRDefault="00D573C0" w:rsidP="00D573C0">
      <w:pPr>
        <w:pStyle w:val="StandaardUitvullen"/>
        <w:ind w:left="0"/>
        <w:rPr>
          <w:b/>
          <w:bCs/>
        </w:rPr>
      </w:pPr>
      <w:r w:rsidRPr="00D573C0">
        <w:rPr>
          <w:b/>
          <w:bCs/>
        </w:rPr>
        <w:t xml:space="preserve">Artikel </w:t>
      </w:r>
      <w:r w:rsidR="008E0576">
        <w:rPr>
          <w:b/>
          <w:bCs/>
        </w:rPr>
        <w:t>159</w:t>
      </w:r>
    </w:p>
    <w:p w14:paraId="3F9AA175" w14:textId="77777777" w:rsidR="00D573C0" w:rsidRDefault="00D573C0" w:rsidP="00D573C0">
      <w:pPr>
        <w:pStyle w:val="StandaardUitvullen"/>
        <w:ind w:left="0"/>
      </w:pPr>
      <w:r>
        <w:t>§1. Personeelsleden zijn in dienstactiviteit bij verlof of afwezigheid als ze op dat ogenblik het recht op het salaris volledig of gedeeltelijk behouden, of ten gevolge van een arbeidsongeval, een ongeval op de weg naar en van het werk of een beroepsziekte.</w:t>
      </w:r>
    </w:p>
    <w:p w14:paraId="2A30D24F" w14:textId="77777777" w:rsidR="00D573C0" w:rsidRDefault="00D573C0" w:rsidP="00D573C0">
      <w:pPr>
        <w:pStyle w:val="StandaardUitvullen"/>
        <w:ind w:left="0"/>
      </w:pPr>
      <w:r>
        <w:t>§2. Naast het geval, vermeld in het eerste lid, zijn personeelsleden in dienstactiviteit tijdens een van de volgende afwezigheden:</w:t>
      </w:r>
    </w:p>
    <w:p w14:paraId="2E00DB25" w14:textId="67C72149" w:rsidR="00D573C0" w:rsidRDefault="00D573C0" w:rsidP="009D4C40">
      <w:pPr>
        <w:pStyle w:val="StandaardUitvullen"/>
        <w:numPr>
          <w:ilvl w:val="0"/>
          <w:numId w:val="89"/>
        </w:numPr>
      </w:pPr>
      <w:r>
        <w:t>een periode van loopbaanonderbreking voor ouderschapsverlof als vermeld in artikel 2 en 2/1 van het koninklijk besluit van 29 oktober 1997 tot invoering van een recht op ouderschapsverlof in het kader van de onderbreking van de beroepsloopbaan;</w:t>
      </w:r>
    </w:p>
    <w:p w14:paraId="71E3E7FD" w14:textId="5D54E687" w:rsidR="00D573C0" w:rsidRDefault="00D573C0" w:rsidP="009D4C40">
      <w:pPr>
        <w:pStyle w:val="StandaardUitvullen"/>
        <w:numPr>
          <w:ilvl w:val="0"/>
          <w:numId w:val="89"/>
        </w:numPr>
      </w:pPr>
      <w:r>
        <w:t>een periode van loopbaanonderbreking voor bijstand of verzorging van een zwaar ziek gezins- of familielid als vermeld in artikel 3 van het koninklijk besluit van 10 augustus 1998 tot invoering van een recht op loopbaanonderbreking voor bijstand of verzorging van een zwaar ziek gezins- of familielid;</w:t>
      </w:r>
    </w:p>
    <w:p w14:paraId="4F47D509" w14:textId="1D1CB04C" w:rsidR="00D573C0" w:rsidRDefault="00D573C0" w:rsidP="009D4C40">
      <w:pPr>
        <w:pStyle w:val="StandaardUitvullen"/>
        <w:numPr>
          <w:ilvl w:val="0"/>
          <w:numId w:val="89"/>
        </w:numPr>
      </w:pPr>
      <w:r>
        <w:t>een periode van loopbaanonderbreking voor het verlenen van palliatieve zorgen als vermeld in artikel 100bis en 102bis van de Herstelwet van 22 januari 1985 houdende sociale bepalingen;</w:t>
      </w:r>
    </w:p>
    <w:p w14:paraId="11C4AB7D" w14:textId="70A4129F" w:rsidR="00D573C0" w:rsidRDefault="00D573C0" w:rsidP="009D4C40">
      <w:pPr>
        <w:pStyle w:val="StandaardUitvullen"/>
        <w:numPr>
          <w:ilvl w:val="0"/>
          <w:numId w:val="89"/>
        </w:numPr>
      </w:pPr>
      <w:r>
        <w:t>een periode van looponderbreking voor mantelzorg als vermeld in artikel 100ter en 102ter van de Herstelwet van 22 januari 1985 houdende sociale bepalingen;</w:t>
      </w:r>
    </w:p>
    <w:p w14:paraId="40F39F7F" w14:textId="616B54BF" w:rsidR="00D573C0" w:rsidRDefault="00D573C0" w:rsidP="009D4C40">
      <w:pPr>
        <w:pStyle w:val="StandaardUitvullen"/>
        <w:numPr>
          <w:ilvl w:val="0"/>
          <w:numId w:val="89"/>
        </w:numPr>
      </w:pPr>
      <w:r>
        <w:t>een periode van zorgkrediet als vermeld in artikel 8 en 9 van het besluit van de Vlaamse Regering van 26 juli 2016 tot toekenning van onderbrekingsuitkeringen voor zorgkrediet;</w:t>
      </w:r>
    </w:p>
    <w:p w14:paraId="5D3A90BE" w14:textId="6D9F0E4F" w:rsidR="00D573C0" w:rsidRDefault="00D573C0" w:rsidP="009D4C40">
      <w:pPr>
        <w:pStyle w:val="StandaardUitvullen"/>
        <w:numPr>
          <w:ilvl w:val="0"/>
          <w:numId w:val="89"/>
        </w:numPr>
      </w:pPr>
      <w:r>
        <w:t>een periode van adoptieverlof als vermeld in artikel 30ter van de wet van 3 juli 1978 betreffende de arbeidsovereenkomsten en in artikel 59 van het kaderbesluit;</w:t>
      </w:r>
    </w:p>
    <w:p w14:paraId="2ACFBF69" w14:textId="09F4CE42" w:rsidR="00D573C0" w:rsidRDefault="00D573C0" w:rsidP="009D4C40">
      <w:pPr>
        <w:pStyle w:val="StandaardUitvullen"/>
        <w:numPr>
          <w:ilvl w:val="0"/>
          <w:numId w:val="89"/>
        </w:numPr>
      </w:pPr>
      <w:r>
        <w:t>een periode van pleegzorgverlof als vermeld in artikel 30quater van de wet van 3 juli 1978 betreffende de arbeidsovereenkomsten en in artikel 60 van het kaderbesluit;</w:t>
      </w:r>
    </w:p>
    <w:p w14:paraId="7EEEF8AE" w14:textId="0F9980A3" w:rsidR="00D573C0" w:rsidRDefault="00D573C0" w:rsidP="009D4C40">
      <w:pPr>
        <w:pStyle w:val="StandaardUitvullen"/>
        <w:numPr>
          <w:ilvl w:val="0"/>
          <w:numId w:val="89"/>
        </w:numPr>
      </w:pPr>
      <w:r>
        <w:t>een periode van pleegouderverlof als vermeld in artikel 30sexies van de wet van 3 juli 1978 betreffende de arbeidsovereenkomsten en in artikel 61 van het kaderbesluit;</w:t>
      </w:r>
    </w:p>
    <w:p w14:paraId="30C72DBD" w14:textId="0EE8ABB5" w:rsidR="00D573C0" w:rsidRDefault="00D573C0" w:rsidP="009D4C40">
      <w:pPr>
        <w:pStyle w:val="StandaardUitvullen"/>
        <w:numPr>
          <w:ilvl w:val="0"/>
          <w:numId w:val="89"/>
        </w:numPr>
      </w:pPr>
      <w:r>
        <w:t>een periode van omstandigheidsverlof naar aanleiding van een familiale gebeurtenis als vermeld in artikel 30, §2, van de wet van 3 juli 1978 betreffende de arbeidsovereenkomsten en in artikel 67, §3, eerste lid, van het kaderbesluit;</w:t>
      </w:r>
    </w:p>
    <w:p w14:paraId="64326F52" w14:textId="0F1004F7" w:rsidR="00D573C0" w:rsidRDefault="00D573C0" w:rsidP="009D4C40">
      <w:pPr>
        <w:pStyle w:val="StandaardUitvullen"/>
        <w:numPr>
          <w:ilvl w:val="0"/>
          <w:numId w:val="89"/>
        </w:numPr>
      </w:pPr>
      <w:r>
        <w:t>een periode met recht op een uitkering in het kader van de ziekte- en invaliditeitsverzekering die een ander uitkering is dan de uitkering vermeld in punt 11°;</w:t>
      </w:r>
    </w:p>
    <w:p w14:paraId="7DE57773" w14:textId="749B32C5" w:rsidR="00D573C0" w:rsidRDefault="00D573C0" w:rsidP="009D4C40">
      <w:pPr>
        <w:pStyle w:val="StandaardUitvullen"/>
        <w:numPr>
          <w:ilvl w:val="0"/>
          <w:numId w:val="89"/>
        </w:numPr>
      </w:pPr>
      <w:r>
        <w:lastRenderedPageBreak/>
        <w:t>een periode van ziekte of ongeval privéleven met recht op een uitkering in het kader van de verplichte ziekte- en invaliditeitsuitkering (beperkt tot een ononderbroken periode van 12 maanden);</w:t>
      </w:r>
    </w:p>
    <w:p w14:paraId="67246EBC" w14:textId="00F7B4DE" w:rsidR="00D573C0" w:rsidRDefault="00D573C0" w:rsidP="009D4C40">
      <w:pPr>
        <w:pStyle w:val="StandaardUitvullen"/>
        <w:numPr>
          <w:ilvl w:val="0"/>
          <w:numId w:val="89"/>
        </w:numPr>
      </w:pPr>
      <w:r>
        <w:t>een afwezigheid wegens militaire dienst die geen volledige kalendermaand beslaat;</w:t>
      </w:r>
    </w:p>
    <w:p w14:paraId="7BB91B27" w14:textId="39E26185" w:rsidR="00D573C0" w:rsidRDefault="00D573C0" w:rsidP="009D4C40">
      <w:pPr>
        <w:pStyle w:val="StandaardUitvullen"/>
        <w:numPr>
          <w:ilvl w:val="0"/>
          <w:numId w:val="89"/>
        </w:numPr>
      </w:pPr>
      <w:r>
        <w:t>het onbezoldigde verlof als recht als vermeld in artikel 66, §1, van het kaderbesluit;</w:t>
      </w:r>
    </w:p>
    <w:p w14:paraId="0753A6D9" w14:textId="3CC3FFFD" w:rsidR="00D573C0" w:rsidRDefault="00D573C0" w:rsidP="009D4C40">
      <w:pPr>
        <w:pStyle w:val="StandaardUitvullen"/>
        <w:numPr>
          <w:ilvl w:val="0"/>
          <w:numId w:val="89"/>
        </w:numPr>
      </w:pPr>
      <w:r>
        <w:t>het onbezoldigde verlof als gunstmaatregel als vermeld in artikel 66, §2, van het kaderbesluit;</w:t>
      </w:r>
    </w:p>
    <w:p w14:paraId="2F349A17" w14:textId="46405597" w:rsidR="00D573C0" w:rsidRDefault="00D573C0" w:rsidP="009D4C40">
      <w:pPr>
        <w:pStyle w:val="StandaardUitvullen"/>
        <w:numPr>
          <w:ilvl w:val="0"/>
          <w:numId w:val="89"/>
        </w:numPr>
      </w:pPr>
      <w:r>
        <w:t>een tijdelijke afwezigheid van statutaire personeelsleden die hun functie niet kunnen uitoefenen wegens overmacht als vermeld in artikel 68 van het kaderbesluit;</w:t>
      </w:r>
    </w:p>
    <w:p w14:paraId="1008343B" w14:textId="2D20630A" w:rsidR="00D573C0" w:rsidRDefault="00D573C0" w:rsidP="009D4C40">
      <w:pPr>
        <w:pStyle w:val="StandaardUitvullen"/>
        <w:numPr>
          <w:ilvl w:val="0"/>
          <w:numId w:val="89"/>
        </w:numPr>
      </w:pPr>
      <w:r>
        <w:t>een periode van tijdelijke werkloosheid met recht op een uitkering in het kader van de werkloosheidsverzekering;</w:t>
      </w:r>
    </w:p>
    <w:p w14:paraId="25C8870A" w14:textId="4E8440A9" w:rsidR="00D573C0" w:rsidRDefault="00D573C0" w:rsidP="009D4C40">
      <w:pPr>
        <w:pStyle w:val="StandaardUitvullen"/>
        <w:numPr>
          <w:ilvl w:val="0"/>
          <w:numId w:val="89"/>
        </w:numPr>
      </w:pPr>
      <w:r>
        <w:t>een periode van afwezigheid wegens dwingende redenen en wegens het zorgverlof als vermeld in artikel 66/1 van het kaderbesluit.</w:t>
      </w:r>
    </w:p>
    <w:p w14:paraId="7B7DD79B" w14:textId="77777777" w:rsidR="00D573C0" w:rsidRDefault="00D573C0" w:rsidP="00D573C0">
      <w:pPr>
        <w:pStyle w:val="StandaardUitvullen"/>
        <w:ind w:left="0"/>
      </w:pPr>
      <w:r>
        <w:t>Onder punt 15, wordt verstaan onder overmacht: een plotse en onvoorziene gebeurtenis die zich voordoet buiten de wil van het personeelslid en het bestuur, die tijdelijk van aard is en die de verdere uitvoering van de prestaties volledig onmogelijk maakt. Het personeelslid mag om uitleg verzocht worden over de aard en de omstandigheden van de overmacht. Het personeelslid mag de overmacht aantonen met alle gebruikelijke rechtsmiddelen, zoals documenten, attesten en eventueel getuigenverklaringen.</w:t>
      </w:r>
    </w:p>
    <w:p w14:paraId="25C54F72" w14:textId="77777777" w:rsidR="00D573C0" w:rsidRDefault="00D573C0" w:rsidP="00D573C0">
      <w:pPr>
        <w:pStyle w:val="StandaardUitvullen"/>
        <w:ind w:left="0"/>
      </w:pPr>
      <w:r>
        <w:t>De meerekenbaarheid van een periode van disponibiliteit wegens arbeidsongeschiktheid wordt tevens begrensd tot een ononderbroken periode van twaalf maanden.</w:t>
      </w:r>
    </w:p>
    <w:p w14:paraId="1D857EE4" w14:textId="77777777" w:rsidR="00D573C0" w:rsidRDefault="00D573C0" w:rsidP="00D573C0">
      <w:pPr>
        <w:pStyle w:val="StandaardUitvullen"/>
        <w:ind w:left="0"/>
      </w:pPr>
      <w:r>
        <w:t>§3. Personeelsleden zijn bij verlof of afwezigheid in non-activiteit als ze op dat ogenblik geen recht hebben op hun salaris, tenzij in de gevallen, vermeld in §2.</w:t>
      </w:r>
    </w:p>
    <w:p w14:paraId="2561A654" w14:textId="001EA56D" w:rsidR="00D573C0" w:rsidRPr="00D573C0" w:rsidRDefault="00D573C0" w:rsidP="00D573C0">
      <w:pPr>
        <w:pStyle w:val="StandaardUitvullen"/>
        <w:ind w:left="0"/>
        <w:rPr>
          <w:b/>
          <w:bCs/>
        </w:rPr>
      </w:pPr>
      <w:r w:rsidRPr="00D573C0">
        <w:rPr>
          <w:b/>
          <w:bCs/>
        </w:rPr>
        <w:t xml:space="preserve">Artikel </w:t>
      </w:r>
      <w:r w:rsidR="008E0576">
        <w:rPr>
          <w:b/>
          <w:bCs/>
        </w:rPr>
        <w:t>160</w:t>
      </w:r>
    </w:p>
    <w:p w14:paraId="2E36B284" w14:textId="77777777" w:rsidR="00D573C0" w:rsidRDefault="00D573C0" w:rsidP="00D573C0">
      <w:pPr>
        <w:pStyle w:val="StandaardUitvullen"/>
        <w:ind w:left="0"/>
      </w:pPr>
      <w:r>
        <w:t>Een personeelslid, dat zonder toestemming of zonder geldige reden afwezig is, bevindt zich in een toestand van non-activiteit.</w:t>
      </w:r>
    </w:p>
    <w:p w14:paraId="036B4F2B" w14:textId="77777777" w:rsidR="00D573C0" w:rsidRDefault="00D573C0" w:rsidP="00D573C0">
      <w:pPr>
        <w:pStyle w:val="StandaardUitvullen"/>
        <w:ind w:left="0"/>
      </w:pPr>
      <w:r>
        <w:t>Een personeelslid, dat afwezig is ten gevolge van de toepassing van een schorsing als tuchtstraf, of ten gevolge van een preventieve schorsing zoals bedoeld in artikel 198 tot en met 216 van het decreet lokaal bestuur, bevindt zich in een toestand van dienstactiviteit.</w:t>
      </w:r>
    </w:p>
    <w:p w14:paraId="46C8D699" w14:textId="520E723A" w:rsidR="00D573C0" w:rsidRPr="00D573C0" w:rsidRDefault="00D573C0" w:rsidP="00D573C0">
      <w:pPr>
        <w:pStyle w:val="StandaardUitvullen"/>
        <w:ind w:left="0"/>
        <w:rPr>
          <w:b/>
          <w:bCs/>
        </w:rPr>
      </w:pPr>
      <w:r w:rsidRPr="00D573C0">
        <w:rPr>
          <w:b/>
          <w:bCs/>
        </w:rPr>
        <w:t xml:space="preserve">Artikel </w:t>
      </w:r>
      <w:r w:rsidR="008E0576">
        <w:rPr>
          <w:b/>
          <w:bCs/>
        </w:rPr>
        <w:t>161</w:t>
      </w:r>
    </w:p>
    <w:p w14:paraId="0B265F11" w14:textId="50E8C5F0" w:rsidR="00D573C0" w:rsidRPr="00D573C0" w:rsidRDefault="00D573C0" w:rsidP="00D573C0">
      <w:pPr>
        <w:pStyle w:val="StandaardUitvullen"/>
        <w:ind w:left="0"/>
      </w:pPr>
      <w:r>
        <w:t xml:space="preserve">De periode van deelname aan een georganiseerde werkonderbreking wordt gelijkgesteld met </w:t>
      </w:r>
      <w:r w:rsidR="00C82159">
        <w:t>dienstactiviteit</w:t>
      </w:r>
      <w:r>
        <w:t>, behalve voor wat het recht op salaris betreft.</w:t>
      </w:r>
    </w:p>
    <w:p w14:paraId="414F257E" w14:textId="3CCC8B01" w:rsidR="00B503D9" w:rsidRPr="00E50E80" w:rsidRDefault="00323D8D" w:rsidP="00E50E80">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w:t>
      </w:r>
      <w:r w:rsidR="008E0576">
        <w:rPr>
          <w:rFonts w:eastAsia="Calibri" w:cs="Arial"/>
          <w:b/>
          <w:bCs/>
          <w:kern w:val="2"/>
          <w:lang w:val="nl-BE" w:eastAsia="en-US"/>
          <w14:ligatures w14:val="standardContextual"/>
        </w:rPr>
        <w:t>162</w:t>
      </w:r>
    </w:p>
    <w:p w14:paraId="145E3190" w14:textId="77777777" w:rsidR="003A11FB" w:rsidRPr="00037A46" w:rsidRDefault="00637322" w:rsidP="00C82159">
      <w:pPr>
        <w:pStyle w:val="StandaardUitvullen"/>
        <w:ind w:left="0"/>
      </w:pPr>
      <w:r w:rsidRPr="00037A46">
        <w:t xml:space="preserve">De </w:t>
      </w:r>
      <w:r w:rsidR="003474E1" w:rsidRPr="00037A46">
        <w:t>algemeen directeur</w:t>
      </w:r>
      <w:r w:rsidR="003A11FB" w:rsidRPr="00037A46">
        <w:t>, of het bij delegatie hiertoe aangeduide personeelslid beslist over de individuele verlofaanvraag, tenzij uitdrukkelijk anders bepaald in deze rechtspositieregeling.</w:t>
      </w:r>
    </w:p>
    <w:p w14:paraId="7CA00C2B" w14:textId="0A98984F" w:rsidR="003A11FB" w:rsidRPr="00037A46" w:rsidRDefault="00643075" w:rsidP="00B44CF7">
      <w:pPr>
        <w:pStyle w:val="Kop2"/>
      </w:pPr>
      <w:r w:rsidRPr="00037A46">
        <w:br w:type="page"/>
      </w:r>
      <w:bookmarkStart w:id="236" w:name="_Toc110948224"/>
      <w:bookmarkStart w:id="237" w:name="_Toc215739032"/>
      <w:r w:rsidR="003A11FB" w:rsidRPr="00037A46">
        <w:lastRenderedPageBreak/>
        <w:t>Hoofdstuk ii. de jaarlijkse vakantiedagen</w:t>
      </w:r>
      <w:bookmarkEnd w:id="236"/>
      <w:bookmarkEnd w:id="237"/>
    </w:p>
    <w:p w14:paraId="2512C23F" w14:textId="636EF6DA" w:rsidR="0040443B" w:rsidRPr="00037A46" w:rsidRDefault="0040443B" w:rsidP="0040443B">
      <w:pPr>
        <w:spacing w:before="0" w:after="160" w:line="259" w:lineRule="auto"/>
        <w:ind w:left="0"/>
        <w:jc w:val="left"/>
        <w:rPr>
          <w:rFonts w:eastAsiaTheme="minorHAnsi" w:cs="Arial"/>
          <w:b/>
          <w:bCs/>
          <w:lang w:val="nl-BE" w:eastAsia="en-US"/>
        </w:rPr>
      </w:pPr>
      <w:r w:rsidRPr="00037A46">
        <w:rPr>
          <w:rFonts w:eastAsiaTheme="minorHAnsi" w:cs="Arial"/>
          <w:b/>
          <w:bCs/>
          <w:lang w:val="nl-BE" w:eastAsia="en-US"/>
        </w:rPr>
        <w:t xml:space="preserve">Artikel </w:t>
      </w:r>
      <w:r w:rsidR="008E0576">
        <w:rPr>
          <w:rFonts w:eastAsiaTheme="minorHAnsi" w:cs="Arial"/>
          <w:b/>
          <w:bCs/>
          <w:lang w:val="nl-BE" w:eastAsia="en-US"/>
        </w:rPr>
        <w:t>163</w:t>
      </w:r>
    </w:p>
    <w:p w14:paraId="5BB2A9D3" w14:textId="03A04AF2" w:rsidR="0040443B" w:rsidRPr="003302BA" w:rsidRDefault="0040443B" w:rsidP="0040443B">
      <w:pPr>
        <w:spacing w:before="0" w:after="160" w:line="259" w:lineRule="auto"/>
        <w:ind w:left="0"/>
        <w:jc w:val="left"/>
        <w:rPr>
          <w:rFonts w:eastAsiaTheme="minorHAnsi" w:cs="Arial"/>
          <w:strike/>
          <w:lang w:val="nl-BE" w:eastAsia="en-US"/>
        </w:rPr>
      </w:pPr>
      <w:r w:rsidRPr="003302BA">
        <w:rPr>
          <w:rFonts w:eastAsiaTheme="minorHAnsi" w:cs="Arial"/>
          <w:lang w:val="nl-BE" w:eastAsia="en-US"/>
        </w:rPr>
        <w:t>§1</w:t>
      </w:r>
      <w:r w:rsidR="00687DA5">
        <w:rPr>
          <w:rFonts w:eastAsiaTheme="minorHAnsi" w:cs="Arial"/>
          <w:lang w:val="nl-BE" w:eastAsia="en-US"/>
        </w:rPr>
        <w:t>.</w:t>
      </w:r>
      <w:r w:rsidRPr="003302BA">
        <w:rPr>
          <w:rFonts w:eastAsiaTheme="minorHAnsi" w:cs="Arial"/>
          <w:lang w:val="nl-BE" w:eastAsia="en-US"/>
        </w:rPr>
        <w:t xml:space="preserve"> Het voltijds personeelslid, zoals </w:t>
      </w:r>
      <w:r w:rsidRPr="00A570E7">
        <w:rPr>
          <w:rFonts w:eastAsiaTheme="minorHAnsi" w:cs="Arial"/>
          <w:lang w:val="nl-BE" w:eastAsia="en-US"/>
        </w:rPr>
        <w:t xml:space="preserve">bedoeld in artikel </w:t>
      </w:r>
      <w:r w:rsidR="00C100A3" w:rsidRPr="00A570E7">
        <w:rPr>
          <w:rFonts w:eastAsiaTheme="minorHAnsi" w:cs="Arial"/>
          <w:lang w:val="nl-BE" w:eastAsia="en-US"/>
        </w:rPr>
        <w:t>2</w:t>
      </w:r>
      <w:r w:rsidR="00AC4108" w:rsidRPr="00A570E7">
        <w:rPr>
          <w:rFonts w:eastAsiaTheme="minorHAnsi" w:cs="Arial"/>
          <w:lang w:val="nl-BE" w:eastAsia="en-US"/>
        </w:rPr>
        <w:t xml:space="preserve">, </w:t>
      </w:r>
      <w:r w:rsidR="00AC4108" w:rsidRPr="00A570E7">
        <w:rPr>
          <w:rFonts w:eastAsia="Calibri" w:cs="Arial"/>
          <w:kern w:val="2"/>
          <w:lang w:val="nl-BE" w:eastAsia="en-US"/>
          <w14:ligatures w14:val="standardContextual"/>
        </w:rPr>
        <w:t>§1 en §2</w:t>
      </w:r>
      <w:r w:rsidRPr="003302BA">
        <w:rPr>
          <w:rFonts w:eastAsiaTheme="minorHAnsi" w:cs="Arial"/>
          <w:lang w:val="nl-BE" w:eastAsia="en-US"/>
        </w:rPr>
        <w:t xml:space="preserve"> </w:t>
      </w:r>
      <w:r w:rsidR="00A570E7">
        <w:rPr>
          <w:rFonts w:eastAsiaTheme="minorHAnsi" w:cs="Arial"/>
          <w:lang w:val="nl-BE" w:eastAsia="en-US"/>
        </w:rPr>
        <w:t xml:space="preserve">punt 1 </w:t>
      </w:r>
      <w:r w:rsidRPr="003302BA">
        <w:rPr>
          <w:rFonts w:eastAsiaTheme="minorHAnsi" w:cs="Arial"/>
          <w:lang w:val="nl-BE" w:eastAsia="en-US"/>
        </w:rPr>
        <w:t xml:space="preserve">met minder dan vijf jaar anciënniteit bij het eigen bestuur heeft recht op 30 werkdagen betaalde vakantie voor een volledig </w:t>
      </w:r>
      <w:r w:rsidR="00687DA5">
        <w:rPr>
          <w:rFonts w:eastAsiaTheme="minorHAnsi" w:cs="Arial"/>
          <w:lang w:val="nl-BE" w:eastAsia="en-US"/>
        </w:rPr>
        <w:t>kalenderjaar (verder vakantiejaar genoemd)</w:t>
      </w:r>
      <w:r w:rsidR="003302BA">
        <w:rPr>
          <w:rFonts w:eastAsiaTheme="minorHAnsi" w:cs="Arial"/>
          <w:lang w:val="nl-BE" w:eastAsia="en-US"/>
        </w:rPr>
        <w:t>.</w:t>
      </w:r>
      <w:r w:rsidRPr="003302BA">
        <w:rPr>
          <w:rFonts w:eastAsiaTheme="minorHAnsi" w:cs="Arial"/>
          <w:lang w:val="nl-BE" w:eastAsia="en-US"/>
        </w:rPr>
        <w:t xml:space="preserve"> </w:t>
      </w:r>
    </w:p>
    <w:p w14:paraId="7029F3AB" w14:textId="18989A79" w:rsidR="0040443B" w:rsidRPr="00037A46" w:rsidRDefault="0040443B" w:rsidP="0040443B">
      <w:pPr>
        <w:spacing w:before="0" w:after="160" w:line="259" w:lineRule="auto"/>
        <w:ind w:left="0"/>
        <w:jc w:val="left"/>
        <w:rPr>
          <w:rFonts w:eastAsiaTheme="minorHAnsi" w:cs="Arial"/>
          <w:lang w:val="nl-BE" w:eastAsia="en-US"/>
        </w:rPr>
      </w:pPr>
      <w:r w:rsidRPr="00037A46">
        <w:rPr>
          <w:rFonts w:eastAsiaTheme="minorHAnsi" w:cs="Arial"/>
          <w:lang w:val="nl-BE" w:eastAsia="en-US"/>
        </w:rPr>
        <w:t>Eén bijkomende werkdag betaalde vakantie wordt toegekend bij het bereiken van:</w:t>
      </w:r>
    </w:p>
    <w:p w14:paraId="1475D62B" w14:textId="77777777" w:rsidR="0040443B" w:rsidRPr="00037A46" w:rsidRDefault="0040443B" w:rsidP="0040443B">
      <w:pPr>
        <w:spacing w:before="0" w:after="160" w:line="259" w:lineRule="auto"/>
        <w:ind w:left="0"/>
        <w:jc w:val="left"/>
        <w:rPr>
          <w:rFonts w:eastAsiaTheme="minorHAnsi" w:cs="Arial"/>
          <w:lang w:val="nl-BE" w:eastAsia="en-US"/>
        </w:rPr>
      </w:pPr>
      <w:r w:rsidRPr="00037A46">
        <w:rPr>
          <w:rFonts w:eastAsiaTheme="minorHAnsi" w:cs="Arial"/>
          <w:lang w:val="nl-BE" w:eastAsia="en-US"/>
        </w:rPr>
        <w:t>-</w:t>
      </w:r>
      <w:r w:rsidRPr="00037A46">
        <w:rPr>
          <w:rFonts w:eastAsiaTheme="minorHAnsi" w:cs="Arial"/>
          <w:lang w:val="nl-BE" w:eastAsia="en-US"/>
        </w:rPr>
        <w:tab/>
        <w:t>vijf jaar anciënniteit bij het eigen bestuur;</w:t>
      </w:r>
    </w:p>
    <w:p w14:paraId="07A5EA98" w14:textId="77777777" w:rsidR="0040443B" w:rsidRPr="00037A46" w:rsidRDefault="0040443B" w:rsidP="0040443B">
      <w:pPr>
        <w:spacing w:before="0" w:after="160" w:line="259" w:lineRule="auto"/>
        <w:ind w:left="0"/>
        <w:jc w:val="left"/>
        <w:rPr>
          <w:rFonts w:eastAsiaTheme="minorHAnsi" w:cs="Arial"/>
          <w:lang w:val="nl-BE" w:eastAsia="en-US"/>
        </w:rPr>
      </w:pPr>
      <w:r w:rsidRPr="00037A46">
        <w:rPr>
          <w:rFonts w:eastAsiaTheme="minorHAnsi" w:cs="Arial"/>
          <w:lang w:val="nl-BE" w:eastAsia="en-US"/>
        </w:rPr>
        <w:t>-</w:t>
      </w:r>
      <w:r w:rsidRPr="00037A46">
        <w:rPr>
          <w:rFonts w:eastAsiaTheme="minorHAnsi" w:cs="Arial"/>
          <w:lang w:val="nl-BE" w:eastAsia="en-US"/>
        </w:rPr>
        <w:tab/>
        <w:t>tien jaar anciënniteit bij het eigen bestuur;</w:t>
      </w:r>
    </w:p>
    <w:p w14:paraId="03257AD3" w14:textId="77777777" w:rsidR="0040443B" w:rsidRPr="00037A46" w:rsidRDefault="0040443B" w:rsidP="0040443B">
      <w:pPr>
        <w:spacing w:before="0" w:after="160" w:line="259" w:lineRule="auto"/>
        <w:ind w:left="0"/>
        <w:jc w:val="left"/>
        <w:rPr>
          <w:rFonts w:eastAsiaTheme="minorHAnsi" w:cs="Arial"/>
          <w:lang w:val="nl-BE" w:eastAsia="en-US"/>
        </w:rPr>
      </w:pPr>
      <w:r w:rsidRPr="00037A46">
        <w:rPr>
          <w:rFonts w:eastAsiaTheme="minorHAnsi" w:cs="Arial"/>
          <w:lang w:val="nl-BE" w:eastAsia="en-US"/>
        </w:rPr>
        <w:t>-</w:t>
      </w:r>
      <w:r w:rsidRPr="00037A46">
        <w:rPr>
          <w:rFonts w:eastAsiaTheme="minorHAnsi" w:cs="Arial"/>
          <w:lang w:val="nl-BE" w:eastAsia="en-US"/>
        </w:rPr>
        <w:tab/>
        <w:t>vijftien jaar anciënniteit bij het eigen bestuur;</w:t>
      </w:r>
    </w:p>
    <w:p w14:paraId="4FE5AD92" w14:textId="77777777" w:rsidR="0040443B" w:rsidRPr="00037A46" w:rsidRDefault="0040443B" w:rsidP="0040443B">
      <w:pPr>
        <w:spacing w:before="0" w:after="160" w:line="259" w:lineRule="auto"/>
        <w:ind w:left="0"/>
        <w:jc w:val="left"/>
        <w:rPr>
          <w:rFonts w:eastAsiaTheme="minorHAnsi" w:cs="Arial"/>
          <w:lang w:val="nl-BE" w:eastAsia="en-US"/>
        </w:rPr>
      </w:pPr>
      <w:r w:rsidRPr="00037A46">
        <w:rPr>
          <w:rFonts w:eastAsiaTheme="minorHAnsi" w:cs="Arial"/>
          <w:lang w:val="nl-BE" w:eastAsia="en-US"/>
        </w:rPr>
        <w:t>-</w:t>
      </w:r>
      <w:r w:rsidRPr="00037A46">
        <w:rPr>
          <w:rFonts w:eastAsiaTheme="minorHAnsi" w:cs="Arial"/>
          <w:lang w:val="nl-BE" w:eastAsia="en-US"/>
        </w:rPr>
        <w:tab/>
        <w:t>twintig jaar anciënniteit bij het eigen bestuur;</w:t>
      </w:r>
    </w:p>
    <w:p w14:paraId="3940875E" w14:textId="77777777" w:rsidR="0040443B" w:rsidRPr="00037A46" w:rsidRDefault="0040443B" w:rsidP="0040443B">
      <w:pPr>
        <w:spacing w:before="0" w:after="160" w:line="259" w:lineRule="auto"/>
        <w:ind w:left="0"/>
        <w:jc w:val="left"/>
        <w:rPr>
          <w:rFonts w:eastAsiaTheme="minorHAnsi" w:cs="Arial"/>
          <w:lang w:val="nl-BE" w:eastAsia="en-US"/>
        </w:rPr>
      </w:pPr>
      <w:r w:rsidRPr="00037A46">
        <w:rPr>
          <w:rFonts w:eastAsiaTheme="minorHAnsi" w:cs="Arial"/>
          <w:lang w:val="nl-BE" w:eastAsia="en-US"/>
        </w:rPr>
        <w:t>-</w:t>
      </w:r>
      <w:r w:rsidRPr="00037A46">
        <w:rPr>
          <w:rFonts w:eastAsiaTheme="minorHAnsi" w:cs="Arial"/>
          <w:lang w:val="nl-BE" w:eastAsia="en-US"/>
        </w:rPr>
        <w:tab/>
        <w:t>vijfentwintig jaar anciënniteit bij het eigen bestuur.</w:t>
      </w:r>
    </w:p>
    <w:p w14:paraId="7B95FD02" w14:textId="3486D2F1" w:rsidR="0040443B" w:rsidRPr="00037A46" w:rsidRDefault="0040443B" w:rsidP="0040443B">
      <w:pPr>
        <w:spacing w:before="0" w:after="160" w:line="259" w:lineRule="auto"/>
        <w:ind w:left="0"/>
        <w:jc w:val="left"/>
        <w:rPr>
          <w:rFonts w:eastAsiaTheme="minorHAnsi" w:cs="Arial"/>
          <w:lang w:val="nl-BE" w:eastAsia="en-US"/>
        </w:rPr>
      </w:pPr>
      <w:r w:rsidRPr="00037A46">
        <w:rPr>
          <w:rFonts w:eastAsiaTheme="minorHAnsi" w:cs="Arial"/>
          <w:lang w:val="nl-BE" w:eastAsia="en-US"/>
        </w:rPr>
        <w:t xml:space="preserve">De bijkomende werkdag betaalde vakantie worden toegekend </w:t>
      </w:r>
      <w:r w:rsidR="004608C9">
        <w:rPr>
          <w:rFonts w:eastAsiaTheme="minorHAnsi" w:cs="Arial"/>
          <w:lang w:val="nl-BE" w:eastAsia="en-US"/>
        </w:rPr>
        <w:t xml:space="preserve">op 1 januari </w:t>
      </w:r>
      <w:r w:rsidRPr="00037A46">
        <w:rPr>
          <w:rFonts w:eastAsiaTheme="minorHAnsi" w:cs="Arial"/>
          <w:lang w:val="nl-BE" w:eastAsia="en-US"/>
        </w:rPr>
        <w:t>op basis van de anciënniteit die het personeelslid in de loop van het kalenderjaar binnen het eigen bestuur bereikt.</w:t>
      </w:r>
    </w:p>
    <w:p w14:paraId="2F24B7A0" w14:textId="03581E6C" w:rsidR="00DE5762" w:rsidRPr="00DE5762" w:rsidRDefault="00DE5762" w:rsidP="00DE5762">
      <w:pPr>
        <w:spacing w:before="0" w:after="160" w:line="259" w:lineRule="auto"/>
        <w:ind w:left="0"/>
        <w:jc w:val="left"/>
        <w:rPr>
          <w:rFonts w:eastAsiaTheme="minorHAnsi" w:cs="Arial"/>
          <w:lang w:val="nl-BE" w:eastAsia="en-US"/>
        </w:rPr>
      </w:pPr>
      <w:r w:rsidRPr="00DE5762">
        <w:rPr>
          <w:rFonts w:eastAsiaTheme="minorHAnsi" w:cs="Arial"/>
          <w:lang w:val="nl-BE" w:eastAsia="en-US"/>
        </w:rPr>
        <w:t>§</w:t>
      </w:r>
      <w:r w:rsidR="001270BC">
        <w:rPr>
          <w:rFonts w:eastAsiaTheme="minorHAnsi" w:cs="Arial"/>
          <w:lang w:val="nl-BE" w:eastAsia="en-US"/>
        </w:rPr>
        <w:t>2</w:t>
      </w:r>
      <w:r w:rsidRPr="00DE5762">
        <w:rPr>
          <w:rFonts w:eastAsiaTheme="minorHAnsi" w:cs="Arial"/>
          <w:lang w:val="nl-BE" w:eastAsia="en-US"/>
        </w:rPr>
        <w:t xml:space="preserve">. De vakantieregeling van de statutaire en contractuele personeelsleden wordt georganiseerd conform de vakantieregeling van de publieke sector. </w:t>
      </w:r>
    </w:p>
    <w:p w14:paraId="0AB6E191" w14:textId="77777777" w:rsidR="00DE5762" w:rsidRDefault="00DE5762" w:rsidP="00DE5762">
      <w:pPr>
        <w:spacing w:before="0" w:after="160" w:line="259" w:lineRule="auto"/>
        <w:ind w:left="0"/>
        <w:jc w:val="left"/>
        <w:rPr>
          <w:rFonts w:eastAsiaTheme="minorHAnsi" w:cs="Arial"/>
          <w:lang w:val="nl-BE" w:eastAsia="en-US"/>
        </w:rPr>
      </w:pPr>
      <w:r w:rsidRPr="00DE5762">
        <w:rPr>
          <w:rFonts w:eastAsiaTheme="minorHAnsi" w:cs="Arial"/>
          <w:lang w:val="nl-BE" w:eastAsia="en-US"/>
        </w:rPr>
        <w:t xml:space="preserve">Voor de statutaire en de contractuele werknemers wordt de jaarlijkse vakantie opgebouwd op basis van de prestaties van het lopende jaar. </w:t>
      </w:r>
    </w:p>
    <w:p w14:paraId="6E1391A4" w14:textId="4D376EEB" w:rsidR="0040443B" w:rsidRPr="00037A46" w:rsidRDefault="0040443B" w:rsidP="00DE5762">
      <w:pPr>
        <w:spacing w:before="0" w:after="160" w:line="259" w:lineRule="auto"/>
        <w:ind w:left="0"/>
        <w:jc w:val="left"/>
        <w:rPr>
          <w:rFonts w:eastAsiaTheme="minorHAnsi" w:cs="Arial"/>
          <w:lang w:val="nl-BE" w:eastAsia="en-US"/>
        </w:rPr>
      </w:pPr>
      <w:r w:rsidRPr="00037A46">
        <w:rPr>
          <w:rFonts w:eastAsiaTheme="minorHAnsi" w:cs="Arial"/>
          <w:lang w:val="nl-BE" w:eastAsia="en-US"/>
        </w:rPr>
        <w:t>§</w:t>
      </w:r>
      <w:r w:rsidR="001270BC">
        <w:rPr>
          <w:rFonts w:eastAsiaTheme="minorHAnsi" w:cs="Arial"/>
          <w:lang w:val="nl-BE" w:eastAsia="en-US"/>
        </w:rPr>
        <w:t>3</w:t>
      </w:r>
      <w:r w:rsidR="00DC6F14">
        <w:rPr>
          <w:rFonts w:eastAsiaTheme="minorHAnsi" w:cs="Arial"/>
          <w:lang w:val="nl-BE" w:eastAsia="en-US"/>
        </w:rPr>
        <w:t>.</w:t>
      </w:r>
      <w:r w:rsidRPr="00037A46">
        <w:rPr>
          <w:rFonts w:eastAsiaTheme="minorHAnsi" w:cs="Arial"/>
          <w:lang w:val="nl-BE" w:eastAsia="en-US"/>
        </w:rPr>
        <w:t xml:space="preserve"> De vakantiedagen kunnen in principe worden genomen naar keuze van het personeelslid. De vakantiedagen moeten minstens per halve werkdag opgenomen worden, overeenkomstig het werkregime van het personeelslid.</w:t>
      </w:r>
      <w:r w:rsidR="005F4879">
        <w:rPr>
          <w:rFonts w:eastAsiaTheme="minorHAnsi" w:cs="Arial"/>
          <w:lang w:val="nl-BE" w:eastAsia="en-US"/>
        </w:rPr>
        <w:t xml:space="preserve"> Enkel het eventuele restsaldo kan opgenomen worden in uren</w:t>
      </w:r>
      <w:r w:rsidR="00870422">
        <w:rPr>
          <w:rFonts w:eastAsiaTheme="minorHAnsi" w:cs="Arial"/>
          <w:lang w:val="nl-BE" w:eastAsia="en-US"/>
        </w:rPr>
        <w:t xml:space="preserve"> en minuten.</w:t>
      </w:r>
    </w:p>
    <w:p w14:paraId="1A9450D9" w14:textId="07D951D9" w:rsidR="006776C7" w:rsidRDefault="0040443B" w:rsidP="006776C7">
      <w:pPr>
        <w:spacing w:before="0" w:after="160" w:line="259" w:lineRule="auto"/>
        <w:ind w:left="0"/>
        <w:jc w:val="left"/>
        <w:rPr>
          <w:rFonts w:eastAsiaTheme="minorHAnsi" w:cs="Arial"/>
          <w:lang w:val="nl-BE" w:eastAsia="en-US"/>
        </w:rPr>
      </w:pPr>
      <w:r w:rsidRPr="00037A46">
        <w:rPr>
          <w:rFonts w:eastAsiaTheme="minorHAnsi" w:cs="Arial"/>
          <w:lang w:val="nl-BE" w:eastAsia="en-US"/>
        </w:rPr>
        <w:t>De vakantiedagen moeten vooraf worden aangevraagd. Als de aangevraagde dagen of periodes niet verzoenbaar zijn met de behoeften van de dienst, dan wordt dit zo vlug mogelijk meegedeeld aan het personeelslid.</w:t>
      </w:r>
      <w:r w:rsidR="006776C7">
        <w:rPr>
          <w:rFonts w:eastAsiaTheme="minorHAnsi" w:cs="Arial"/>
          <w:lang w:val="nl-BE" w:eastAsia="en-US"/>
        </w:rPr>
        <w:t xml:space="preserve"> </w:t>
      </w:r>
      <w:r w:rsidR="006776C7" w:rsidRPr="00037A46">
        <w:rPr>
          <w:rFonts w:eastAsiaTheme="minorHAnsi" w:cs="Arial"/>
          <w:lang w:val="nl-BE" w:eastAsia="en-US"/>
        </w:rPr>
        <w:t xml:space="preserve">In afwijking </w:t>
      </w:r>
      <w:r w:rsidR="006776C7">
        <w:rPr>
          <w:rFonts w:eastAsiaTheme="minorHAnsi" w:cs="Arial"/>
          <w:lang w:val="nl-BE" w:eastAsia="en-US"/>
        </w:rPr>
        <w:t>hierop</w:t>
      </w:r>
      <w:r w:rsidR="006776C7" w:rsidRPr="00037A46">
        <w:rPr>
          <w:rFonts w:eastAsiaTheme="minorHAnsi" w:cs="Arial"/>
          <w:lang w:val="nl-BE" w:eastAsia="en-US"/>
        </w:rPr>
        <w:t xml:space="preserve"> kan het personeelslid elk jaar maximum vier vakantiedagen opnemen zonder dat het dienstbelang kan worden ingeroepen om het verlof te weigeren.</w:t>
      </w:r>
    </w:p>
    <w:p w14:paraId="16804C12" w14:textId="6A9DA4D8" w:rsidR="00C332BC" w:rsidRPr="00037A46" w:rsidRDefault="00C332BC" w:rsidP="006776C7">
      <w:pPr>
        <w:spacing w:before="0" w:after="160" w:line="259" w:lineRule="auto"/>
        <w:ind w:left="0"/>
        <w:jc w:val="left"/>
        <w:rPr>
          <w:rFonts w:eastAsiaTheme="minorHAnsi" w:cs="Arial"/>
          <w:lang w:val="nl-BE" w:eastAsia="en-US"/>
        </w:rPr>
      </w:pPr>
      <w:r w:rsidRPr="00FD7E2F">
        <w:rPr>
          <w:rFonts w:eastAsiaTheme="minorHAnsi" w:cs="Arial"/>
          <w:lang w:val="nl-BE" w:eastAsia="en-US"/>
        </w:rPr>
        <w:t>Aangevraagde vakantiedagen kunnen geannuleerd worden mits goedkeuring van de leidinggevende.</w:t>
      </w:r>
    </w:p>
    <w:p w14:paraId="41FDC4A1" w14:textId="6D489810" w:rsidR="00ED69AB" w:rsidRPr="00ED69AB" w:rsidRDefault="00ED69AB" w:rsidP="00ED69AB">
      <w:pPr>
        <w:spacing w:before="0" w:after="160" w:line="259" w:lineRule="auto"/>
        <w:ind w:left="0"/>
        <w:jc w:val="left"/>
        <w:rPr>
          <w:rFonts w:eastAsiaTheme="minorHAnsi" w:cs="Arial"/>
          <w:b/>
          <w:bCs/>
          <w:lang w:val="nl-BE" w:eastAsia="en-US"/>
        </w:rPr>
      </w:pPr>
      <w:r w:rsidRPr="00ED69AB">
        <w:rPr>
          <w:rFonts w:eastAsiaTheme="minorHAnsi" w:cs="Arial"/>
          <w:b/>
          <w:bCs/>
          <w:lang w:val="nl-BE" w:eastAsia="en-US"/>
        </w:rPr>
        <w:t xml:space="preserve">Artikel </w:t>
      </w:r>
      <w:r w:rsidR="008E0576">
        <w:rPr>
          <w:rFonts w:eastAsiaTheme="minorHAnsi" w:cs="Arial"/>
          <w:b/>
          <w:bCs/>
          <w:lang w:val="nl-BE" w:eastAsia="en-US"/>
        </w:rPr>
        <w:t>164</w:t>
      </w:r>
    </w:p>
    <w:p w14:paraId="3F6D2436" w14:textId="77777777" w:rsidR="00ED69AB" w:rsidRPr="00ED69AB" w:rsidRDefault="00ED69AB" w:rsidP="00ED69AB">
      <w:pPr>
        <w:spacing w:before="0" w:after="160" w:line="259" w:lineRule="auto"/>
        <w:ind w:left="0"/>
        <w:jc w:val="left"/>
        <w:rPr>
          <w:rFonts w:eastAsiaTheme="minorHAnsi" w:cs="Arial"/>
          <w:lang w:val="nl-BE" w:eastAsia="en-US"/>
        </w:rPr>
      </w:pPr>
      <w:r w:rsidRPr="00ED69AB">
        <w:rPr>
          <w:rFonts w:eastAsiaTheme="minorHAnsi" w:cs="Arial"/>
          <w:lang w:val="nl-BE" w:eastAsia="en-US"/>
        </w:rPr>
        <w:t>Elke periode met effectieve prestaties (inclusief feestdagen en vakantiedagen) geeft recht op jaarlijkse vakantiedagen.</w:t>
      </w:r>
    </w:p>
    <w:p w14:paraId="59130FA5" w14:textId="77777777" w:rsidR="00ED69AB" w:rsidRPr="00ED69AB" w:rsidRDefault="00ED69AB" w:rsidP="00ED69AB">
      <w:pPr>
        <w:spacing w:before="0" w:after="160" w:line="259" w:lineRule="auto"/>
        <w:ind w:left="0"/>
        <w:jc w:val="left"/>
        <w:rPr>
          <w:rFonts w:eastAsiaTheme="minorHAnsi" w:cs="Arial"/>
          <w:lang w:val="nl-BE" w:eastAsia="en-US"/>
        </w:rPr>
      </w:pPr>
      <w:r w:rsidRPr="00ED69AB">
        <w:rPr>
          <w:rFonts w:eastAsiaTheme="minorHAnsi" w:cs="Arial"/>
          <w:lang w:val="nl-BE" w:eastAsia="en-US"/>
        </w:rPr>
        <w:t>De jaarlijkse vakantiedagen worden omgezet in vakantie-uren.</w:t>
      </w:r>
    </w:p>
    <w:p w14:paraId="417E77DE" w14:textId="0E008113" w:rsidR="00ED69AB" w:rsidRPr="00ED69AB" w:rsidRDefault="00ED69AB" w:rsidP="00ED69AB">
      <w:pPr>
        <w:spacing w:before="0" w:after="160" w:line="259" w:lineRule="auto"/>
        <w:ind w:left="0"/>
        <w:jc w:val="left"/>
        <w:rPr>
          <w:rFonts w:eastAsiaTheme="minorHAnsi" w:cs="Arial"/>
          <w:b/>
          <w:bCs/>
          <w:lang w:val="nl-BE" w:eastAsia="en-US"/>
        </w:rPr>
      </w:pPr>
      <w:r w:rsidRPr="00ED69AB">
        <w:rPr>
          <w:rFonts w:eastAsiaTheme="minorHAnsi" w:cs="Arial"/>
          <w:b/>
          <w:bCs/>
          <w:lang w:val="nl-BE" w:eastAsia="en-US"/>
        </w:rPr>
        <w:t>Artikel</w:t>
      </w:r>
      <w:r w:rsidR="00826A73">
        <w:rPr>
          <w:rFonts w:eastAsiaTheme="minorHAnsi" w:cs="Arial"/>
          <w:b/>
          <w:bCs/>
          <w:lang w:val="nl-BE" w:eastAsia="en-US"/>
        </w:rPr>
        <w:t xml:space="preserve"> </w:t>
      </w:r>
      <w:r w:rsidR="008E0576">
        <w:rPr>
          <w:rFonts w:eastAsiaTheme="minorHAnsi" w:cs="Arial"/>
          <w:b/>
          <w:bCs/>
          <w:lang w:val="nl-BE" w:eastAsia="en-US"/>
        </w:rPr>
        <w:t>165</w:t>
      </w:r>
    </w:p>
    <w:p w14:paraId="2BC95A77" w14:textId="77777777" w:rsidR="00ED69AB" w:rsidRPr="00ED69AB" w:rsidRDefault="00ED69AB" w:rsidP="00ED69AB">
      <w:pPr>
        <w:spacing w:before="0" w:after="160" w:line="259" w:lineRule="auto"/>
        <w:ind w:left="0"/>
        <w:jc w:val="left"/>
        <w:rPr>
          <w:rFonts w:eastAsiaTheme="minorHAnsi" w:cs="Arial"/>
          <w:lang w:val="nl-BE" w:eastAsia="en-US"/>
        </w:rPr>
      </w:pPr>
      <w:r w:rsidRPr="00ED69AB">
        <w:rPr>
          <w:rFonts w:eastAsiaTheme="minorHAnsi" w:cs="Arial"/>
          <w:lang w:val="nl-BE" w:eastAsia="en-US"/>
        </w:rPr>
        <w:t>Volgende perioden komen in aanmerking voor de toekenning van vakantiedagen (gelijkgestelde perioden):</w:t>
      </w:r>
    </w:p>
    <w:p w14:paraId="66A04066" w14:textId="70250DE4" w:rsidR="00ED69AB" w:rsidRPr="00ED69AB" w:rsidRDefault="00ED69AB" w:rsidP="009D4C40">
      <w:pPr>
        <w:pStyle w:val="Lijstalinea"/>
        <w:numPr>
          <w:ilvl w:val="0"/>
          <w:numId w:val="90"/>
        </w:numPr>
        <w:spacing w:before="0" w:after="160" w:line="259" w:lineRule="auto"/>
        <w:jc w:val="left"/>
        <w:rPr>
          <w:rFonts w:eastAsiaTheme="minorHAnsi" w:cs="Arial"/>
          <w:lang w:val="nl-BE" w:eastAsia="en-US"/>
        </w:rPr>
      </w:pPr>
      <w:r w:rsidRPr="00ED69AB">
        <w:rPr>
          <w:rFonts w:eastAsiaTheme="minorHAnsi" w:cs="Arial"/>
          <w:lang w:val="nl-BE" w:eastAsia="en-US"/>
        </w:rPr>
        <w:t>een periode van dienstactiviteit bij verlof of afwezigheid als ze op dat ogenblik het recht op salaris volledig of gedeeltelijk behouden;</w:t>
      </w:r>
    </w:p>
    <w:p w14:paraId="2CD37999" w14:textId="09304E05" w:rsidR="00ED69AB" w:rsidRPr="00ED69AB" w:rsidRDefault="00ED69AB" w:rsidP="009D4C40">
      <w:pPr>
        <w:pStyle w:val="Lijstalinea"/>
        <w:numPr>
          <w:ilvl w:val="0"/>
          <w:numId w:val="90"/>
        </w:numPr>
        <w:spacing w:before="0" w:after="160" w:line="259" w:lineRule="auto"/>
        <w:jc w:val="left"/>
        <w:rPr>
          <w:rFonts w:eastAsiaTheme="minorHAnsi" w:cs="Arial"/>
          <w:lang w:val="nl-BE" w:eastAsia="en-US"/>
        </w:rPr>
      </w:pPr>
      <w:r w:rsidRPr="00ED69AB">
        <w:rPr>
          <w:rFonts w:eastAsiaTheme="minorHAnsi" w:cs="Arial"/>
          <w:lang w:val="nl-BE" w:eastAsia="en-US"/>
        </w:rPr>
        <w:t>een periode van arbeidsongeval, ongeval van en naar het werk of een beroepsziekte;</w:t>
      </w:r>
    </w:p>
    <w:p w14:paraId="47ECB5AD" w14:textId="6B2315C7" w:rsidR="00ED69AB" w:rsidRPr="00ED69AB" w:rsidRDefault="00ED69AB" w:rsidP="009D4C40">
      <w:pPr>
        <w:pStyle w:val="Lijstalinea"/>
        <w:numPr>
          <w:ilvl w:val="0"/>
          <w:numId w:val="90"/>
        </w:numPr>
        <w:spacing w:before="0" w:after="160" w:line="259" w:lineRule="auto"/>
        <w:jc w:val="left"/>
        <w:rPr>
          <w:rFonts w:eastAsiaTheme="minorHAnsi" w:cs="Arial"/>
          <w:lang w:val="nl-BE" w:eastAsia="en-US"/>
        </w:rPr>
      </w:pPr>
      <w:r w:rsidRPr="00ED69AB">
        <w:rPr>
          <w:rFonts w:eastAsiaTheme="minorHAnsi" w:cs="Arial"/>
          <w:lang w:val="nl-BE" w:eastAsia="en-US"/>
        </w:rPr>
        <w:t>een periode van disponibiliteit (beperkt tot een ononderbroken periode van 12 maanden);</w:t>
      </w:r>
    </w:p>
    <w:p w14:paraId="5F02988B" w14:textId="3CCB88FC" w:rsidR="00ED69AB" w:rsidRPr="00ED69AB" w:rsidRDefault="00ED69AB" w:rsidP="009D4C40">
      <w:pPr>
        <w:pStyle w:val="Lijstalinea"/>
        <w:numPr>
          <w:ilvl w:val="0"/>
          <w:numId w:val="90"/>
        </w:numPr>
        <w:spacing w:before="0" w:after="160" w:line="259" w:lineRule="auto"/>
        <w:jc w:val="left"/>
        <w:rPr>
          <w:rFonts w:eastAsiaTheme="minorHAnsi" w:cs="Arial"/>
          <w:lang w:val="nl-BE" w:eastAsia="en-US"/>
        </w:rPr>
      </w:pPr>
      <w:r w:rsidRPr="00ED69AB">
        <w:rPr>
          <w:rFonts w:eastAsiaTheme="minorHAnsi" w:cs="Arial"/>
          <w:lang w:val="nl-BE" w:eastAsia="en-US"/>
        </w:rPr>
        <w:t>een periode van adoptieverlof;</w:t>
      </w:r>
    </w:p>
    <w:p w14:paraId="01A2FF84" w14:textId="5E0271D3" w:rsidR="00ED69AB" w:rsidRPr="00ED69AB" w:rsidRDefault="00ED69AB" w:rsidP="009D4C40">
      <w:pPr>
        <w:pStyle w:val="Lijstalinea"/>
        <w:numPr>
          <w:ilvl w:val="0"/>
          <w:numId w:val="90"/>
        </w:numPr>
        <w:spacing w:before="0" w:after="160" w:line="259" w:lineRule="auto"/>
        <w:jc w:val="left"/>
        <w:rPr>
          <w:rFonts w:eastAsiaTheme="minorHAnsi" w:cs="Arial"/>
          <w:lang w:val="nl-BE" w:eastAsia="en-US"/>
        </w:rPr>
      </w:pPr>
      <w:r w:rsidRPr="00ED69AB">
        <w:rPr>
          <w:rFonts w:eastAsiaTheme="minorHAnsi" w:cs="Arial"/>
          <w:lang w:val="nl-BE" w:eastAsia="en-US"/>
        </w:rPr>
        <w:t>een periode van pleegzorgverlof;</w:t>
      </w:r>
    </w:p>
    <w:p w14:paraId="65311775" w14:textId="7E348278" w:rsidR="00ED69AB" w:rsidRPr="00ED69AB" w:rsidRDefault="00ED69AB" w:rsidP="009D4C40">
      <w:pPr>
        <w:pStyle w:val="Lijstalinea"/>
        <w:numPr>
          <w:ilvl w:val="0"/>
          <w:numId w:val="90"/>
        </w:numPr>
        <w:spacing w:before="0" w:after="160" w:line="259" w:lineRule="auto"/>
        <w:jc w:val="left"/>
        <w:rPr>
          <w:rFonts w:eastAsiaTheme="minorHAnsi" w:cs="Arial"/>
          <w:lang w:val="nl-BE" w:eastAsia="en-US"/>
        </w:rPr>
      </w:pPr>
      <w:r w:rsidRPr="00ED69AB">
        <w:rPr>
          <w:rFonts w:eastAsiaTheme="minorHAnsi" w:cs="Arial"/>
          <w:lang w:val="nl-BE" w:eastAsia="en-US"/>
        </w:rPr>
        <w:lastRenderedPageBreak/>
        <w:t>een periode van pleegouderverlof;</w:t>
      </w:r>
    </w:p>
    <w:p w14:paraId="275DDFAA" w14:textId="568986E7" w:rsidR="00ED69AB" w:rsidRPr="00ED69AB" w:rsidRDefault="00ED69AB" w:rsidP="009D4C40">
      <w:pPr>
        <w:pStyle w:val="Lijstalinea"/>
        <w:numPr>
          <w:ilvl w:val="0"/>
          <w:numId w:val="90"/>
        </w:numPr>
        <w:spacing w:before="0" w:after="160" w:line="259" w:lineRule="auto"/>
        <w:jc w:val="left"/>
        <w:rPr>
          <w:rFonts w:eastAsiaTheme="minorHAnsi" w:cs="Arial"/>
          <w:lang w:val="nl-BE" w:eastAsia="en-US"/>
        </w:rPr>
      </w:pPr>
      <w:r w:rsidRPr="00ED69AB">
        <w:rPr>
          <w:rFonts w:eastAsiaTheme="minorHAnsi" w:cs="Arial"/>
          <w:lang w:val="nl-BE" w:eastAsia="en-US"/>
        </w:rPr>
        <w:t>een periode van omstandigheidsverlof naar aanleiding van een familiale gebeurtenis;</w:t>
      </w:r>
    </w:p>
    <w:p w14:paraId="575A3ADF" w14:textId="124F2538" w:rsidR="00ED69AB" w:rsidRPr="00ED69AB" w:rsidRDefault="00ED69AB" w:rsidP="009D4C40">
      <w:pPr>
        <w:pStyle w:val="Lijstalinea"/>
        <w:numPr>
          <w:ilvl w:val="0"/>
          <w:numId w:val="90"/>
        </w:numPr>
        <w:spacing w:before="0" w:after="160" w:line="259" w:lineRule="auto"/>
        <w:jc w:val="left"/>
        <w:rPr>
          <w:rFonts w:eastAsiaTheme="minorHAnsi" w:cs="Arial"/>
          <w:lang w:val="nl-BE" w:eastAsia="en-US"/>
        </w:rPr>
      </w:pPr>
      <w:r w:rsidRPr="00ED69AB">
        <w:rPr>
          <w:rFonts w:eastAsiaTheme="minorHAnsi" w:cs="Arial"/>
          <w:lang w:val="nl-BE" w:eastAsia="en-US"/>
        </w:rPr>
        <w:t>een periode met recht op een uitkering in het kader van de ziekte- en invaliditeitsverzekering die een ander uitkering is dan de uitkering vermeld in punt 9°;</w:t>
      </w:r>
    </w:p>
    <w:p w14:paraId="3B916D1B" w14:textId="7B219D29" w:rsidR="00ED69AB" w:rsidRPr="00ED69AB" w:rsidRDefault="00ED69AB" w:rsidP="009D4C40">
      <w:pPr>
        <w:pStyle w:val="Lijstalinea"/>
        <w:numPr>
          <w:ilvl w:val="0"/>
          <w:numId w:val="90"/>
        </w:numPr>
        <w:spacing w:before="0" w:after="160" w:line="259" w:lineRule="auto"/>
        <w:jc w:val="left"/>
        <w:rPr>
          <w:rFonts w:eastAsiaTheme="minorHAnsi" w:cs="Arial"/>
          <w:lang w:val="nl-BE" w:eastAsia="en-US"/>
        </w:rPr>
      </w:pPr>
      <w:r w:rsidRPr="00ED69AB">
        <w:rPr>
          <w:rFonts w:eastAsiaTheme="minorHAnsi" w:cs="Arial"/>
          <w:lang w:val="nl-BE" w:eastAsia="en-US"/>
        </w:rPr>
        <w:t>een periode van ziekte of ongeval privéleven met recht op een uitkering in het kader van de verplichte ziekte- en invaliditeitsuitkering (beperkt tot een ononderbroken periode van 12 maanden);</w:t>
      </w:r>
    </w:p>
    <w:p w14:paraId="55137475" w14:textId="5ACAD38B" w:rsidR="00ED69AB" w:rsidRPr="00ED69AB" w:rsidRDefault="00ED69AB" w:rsidP="009D4C40">
      <w:pPr>
        <w:pStyle w:val="Lijstalinea"/>
        <w:numPr>
          <w:ilvl w:val="0"/>
          <w:numId w:val="90"/>
        </w:numPr>
        <w:spacing w:before="0" w:after="160" w:line="259" w:lineRule="auto"/>
        <w:jc w:val="left"/>
        <w:rPr>
          <w:rFonts w:eastAsiaTheme="minorHAnsi" w:cs="Arial"/>
          <w:lang w:val="nl-BE" w:eastAsia="en-US"/>
        </w:rPr>
      </w:pPr>
      <w:r w:rsidRPr="00ED69AB">
        <w:rPr>
          <w:rFonts w:eastAsiaTheme="minorHAnsi" w:cs="Arial"/>
          <w:lang w:val="nl-BE" w:eastAsia="en-US"/>
        </w:rPr>
        <w:t>een afwezigheid wegens militaire dienst die geen volledige kalendermaand beslaat;</w:t>
      </w:r>
    </w:p>
    <w:p w14:paraId="66678990" w14:textId="2D4A8867" w:rsidR="00ED69AB" w:rsidRPr="00ED69AB" w:rsidRDefault="00ED69AB" w:rsidP="009D4C40">
      <w:pPr>
        <w:pStyle w:val="Lijstalinea"/>
        <w:numPr>
          <w:ilvl w:val="0"/>
          <w:numId w:val="90"/>
        </w:numPr>
        <w:spacing w:before="0" w:after="160" w:line="259" w:lineRule="auto"/>
        <w:jc w:val="left"/>
        <w:rPr>
          <w:rFonts w:eastAsiaTheme="minorHAnsi" w:cs="Arial"/>
          <w:lang w:val="nl-BE" w:eastAsia="en-US"/>
        </w:rPr>
      </w:pPr>
      <w:r w:rsidRPr="00ED69AB">
        <w:rPr>
          <w:rFonts w:eastAsiaTheme="minorHAnsi" w:cs="Arial"/>
          <w:lang w:val="nl-BE" w:eastAsia="en-US"/>
        </w:rPr>
        <w:t>een periode van afwezigheid wegens dwingende redenen en wegens het zorgverlof.</w:t>
      </w:r>
    </w:p>
    <w:p w14:paraId="3960B43C" w14:textId="0584A273" w:rsidR="00B64888" w:rsidRPr="00B64888" w:rsidRDefault="00B64888" w:rsidP="00ED69AB">
      <w:pPr>
        <w:spacing w:before="0" w:after="160" w:line="259" w:lineRule="auto"/>
        <w:ind w:left="0"/>
        <w:jc w:val="left"/>
        <w:rPr>
          <w:rFonts w:eastAsiaTheme="minorHAnsi" w:cs="Arial"/>
          <w:lang w:val="nl-BE" w:eastAsia="en-US"/>
        </w:rPr>
      </w:pPr>
      <w:r w:rsidRPr="00B64888">
        <w:rPr>
          <w:rFonts w:eastAsiaTheme="minorHAnsi" w:cs="Arial"/>
          <w:lang w:val="nl-BE" w:eastAsia="en-US"/>
        </w:rPr>
        <w:t>Als een personeelslid in de loop van eenzelfde jaar meerdere periodes van niet-gelijkgestelde afwezigheden zonder recht op salaris bekomt of één of meerdere wijzigingen van het aantal uren wekelijkse prestaties, dan wordt bij de berekening van het aantal vakantiedagen telkens rekening gehouden met de bedoelde afwezigheden of de deeltijdse prestaties alsof ze één geheel vormden.</w:t>
      </w:r>
    </w:p>
    <w:p w14:paraId="24C7C945" w14:textId="6DB3A92A" w:rsidR="00ED69AB" w:rsidRPr="00ED69AB" w:rsidRDefault="00ED69AB" w:rsidP="00ED69AB">
      <w:pPr>
        <w:spacing w:before="0" w:after="160" w:line="259" w:lineRule="auto"/>
        <w:ind w:left="0"/>
        <w:jc w:val="left"/>
        <w:rPr>
          <w:rFonts w:eastAsiaTheme="minorHAnsi" w:cs="Arial"/>
          <w:b/>
          <w:bCs/>
          <w:lang w:val="nl-BE" w:eastAsia="en-US"/>
        </w:rPr>
      </w:pPr>
      <w:r w:rsidRPr="00ED69AB">
        <w:rPr>
          <w:rFonts w:eastAsiaTheme="minorHAnsi" w:cs="Arial"/>
          <w:b/>
          <w:bCs/>
          <w:lang w:val="nl-BE" w:eastAsia="en-US"/>
        </w:rPr>
        <w:t xml:space="preserve">Artikel </w:t>
      </w:r>
      <w:r w:rsidR="008E0576">
        <w:rPr>
          <w:rFonts w:eastAsiaTheme="minorHAnsi" w:cs="Arial"/>
          <w:b/>
          <w:bCs/>
          <w:lang w:val="nl-BE" w:eastAsia="en-US"/>
        </w:rPr>
        <w:t>166</w:t>
      </w:r>
    </w:p>
    <w:p w14:paraId="1F81140A" w14:textId="77777777" w:rsidR="00ED69AB" w:rsidRPr="00ED69AB" w:rsidRDefault="00ED69AB" w:rsidP="00ED69AB">
      <w:pPr>
        <w:spacing w:before="0" w:after="160" w:line="259" w:lineRule="auto"/>
        <w:ind w:left="0"/>
        <w:jc w:val="left"/>
        <w:rPr>
          <w:rFonts w:eastAsiaTheme="minorHAnsi" w:cs="Arial"/>
          <w:lang w:val="nl-BE" w:eastAsia="en-US"/>
        </w:rPr>
      </w:pPr>
      <w:r w:rsidRPr="00ED69AB">
        <w:rPr>
          <w:rFonts w:eastAsiaTheme="minorHAnsi" w:cs="Arial"/>
          <w:lang w:val="nl-BE" w:eastAsia="en-US"/>
        </w:rPr>
        <w:t>Als een personeelslid in de loop van het jaar in dienst treedt of zijn functie definitief neerlegt, worden zijn vakantie-uren in evenredige mate verminderd. Het aantal vakantie-uren wordt tevens verminderd in verhouding tot de niet gelijkgestelde periodes van afwezigheid opgenomen in de loop van het vakantiejaar.</w:t>
      </w:r>
    </w:p>
    <w:p w14:paraId="35EA9169" w14:textId="77777777" w:rsidR="00ED69AB" w:rsidRPr="00ED69AB" w:rsidRDefault="00ED69AB" w:rsidP="00ED69AB">
      <w:pPr>
        <w:spacing w:before="0" w:after="160" w:line="259" w:lineRule="auto"/>
        <w:ind w:left="0"/>
        <w:jc w:val="left"/>
        <w:rPr>
          <w:rFonts w:eastAsiaTheme="minorHAnsi" w:cs="Arial"/>
          <w:lang w:val="nl-BE" w:eastAsia="en-US"/>
        </w:rPr>
      </w:pPr>
      <w:r w:rsidRPr="00ED69AB">
        <w:rPr>
          <w:rFonts w:eastAsiaTheme="minorHAnsi" w:cs="Arial"/>
          <w:lang w:val="nl-BE" w:eastAsia="en-US"/>
        </w:rPr>
        <w:t xml:space="preserve">De formule voor </w:t>
      </w:r>
      <w:proofErr w:type="spellStart"/>
      <w:r w:rsidRPr="00ED69AB">
        <w:rPr>
          <w:rFonts w:eastAsiaTheme="minorHAnsi" w:cs="Arial"/>
          <w:lang w:val="nl-BE" w:eastAsia="en-US"/>
        </w:rPr>
        <w:t>proratisering</w:t>
      </w:r>
      <w:proofErr w:type="spellEnd"/>
      <w:r w:rsidRPr="00ED69AB">
        <w:rPr>
          <w:rFonts w:eastAsiaTheme="minorHAnsi" w:cs="Arial"/>
          <w:lang w:val="nl-BE" w:eastAsia="en-US"/>
        </w:rPr>
        <w:t xml:space="preserve"> gebeurt als volgt:</w:t>
      </w:r>
    </w:p>
    <w:p w14:paraId="02D93174" w14:textId="3648CBA5" w:rsidR="00ED69AB" w:rsidRPr="00ED69AB" w:rsidRDefault="00ED69AB" w:rsidP="00ED69AB">
      <w:pPr>
        <w:spacing w:before="0" w:after="160" w:line="259" w:lineRule="auto"/>
        <w:ind w:left="708"/>
        <w:jc w:val="left"/>
        <w:rPr>
          <w:rFonts w:eastAsiaTheme="minorHAnsi" w:cs="Arial"/>
          <w:lang w:val="nl-BE" w:eastAsia="en-US"/>
        </w:rPr>
      </w:pPr>
      <w:r w:rsidRPr="00ED69AB">
        <w:rPr>
          <w:rFonts w:eastAsiaTheme="minorHAnsi" w:cs="Arial"/>
          <w:lang w:val="nl-BE" w:eastAsia="en-US"/>
        </w:rPr>
        <w:t xml:space="preserve">Aantal vakantie-uren x effectief en gelijkgestelde kalenderdagen (inclusief ingesloten weekends) in </w:t>
      </w:r>
      <w:r w:rsidR="000B17AD" w:rsidRPr="00ED69AB">
        <w:rPr>
          <w:rFonts w:eastAsiaTheme="minorHAnsi" w:cs="Arial"/>
          <w:lang w:val="nl-BE" w:eastAsia="en-US"/>
        </w:rPr>
        <w:t>vakantiejaar/</w:t>
      </w:r>
      <w:r w:rsidRPr="00ED69AB">
        <w:rPr>
          <w:rFonts w:eastAsiaTheme="minorHAnsi" w:cs="Arial"/>
          <w:lang w:val="nl-BE" w:eastAsia="en-US"/>
        </w:rPr>
        <w:t xml:space="preserve"> </w:t>
      </w:r>
      <w:r w:rsidR="00725744">
        <w:rPr>
          <w:rFonts w:eastAsiaTheme="minorHAnsi" w:cs="Arial"/>
          <w:lang w:val="nl-BE" w:eastAsia="en-US"/>
        </w:rPr>
        <w:t>aantal dagen per kalenderjaar</w:t>
      </w:r>
      <w:r w:rsidRPr="00ED69AB">
        <w:rPr>
          <w:rFonts w:eastAsiaTheme="minorHAnsi" w:cs="Arial"/>
          <w:lang w:val="nl-BE" w:eastAsia="en-US"/>
        </w:rPr>
        <w:t xml:space="preserve">. </w:t>
      </w:r>
    </w:p>
    <w:p w14:paraId="614AED7B" w14:textId="098F0703" w:rsidR="00ED69AB" w:rsidRPr="00ED69AB" w:rsidRDefault="00ED69AB" w:rsidP="00ED69AB">
      <w:pPr>
        <w:spacing w:before="0" w:after="160" w:line="259" w:lineRule="auto"/>
        <w:ind w:left="0"/>
        <w:jc w:val="left"/>
        <w:rPr>
          <w:rFonts w:eastAsiaTheme="minorHAnsi" w:cs="Arial"/>
          <w:lang w:val="nl-BE" w:eastAsia="en-US"/>
        </w:rPr>
      </w:pPr>
      <w:r w:rsidRPr="00ED69AB">
        <w:rPr>
          <w:rFonts w:eastAsiaTheme="minorHAnsi" w:cs="Arial"/>
          <w:lang w:val="nl-BE" w:eastAsia="en-US"/>
        </w:rPr>
        <w:t xml:space="preserve">Indien de medewerker een herrekening krijgt van zijn vakantie-uren in de loop van het vakantiejaar zal </w:t>
      </w:r>
      <w:r w:rsidR="00E6776C">
        <w:rPr>
          <w:rFonts w:eastAsiaTheme="minorHAnsi" w:cs="Arial"/>
          <w:lang w:val="nl-BE" w:eastAsia="en-US"/>
        </w:rPr>
        <w:t>het</w:t>
      </w:r>
      <w:r w:rsidRPr="00ED69AB">
        <w:rPr>
          <w:rFonts w:eastAsiaTheme="minorHAnsi" w:cs="Arial"/>
          <w:lang w:val="nl-BE" w:eastAsia="en-US"/>
        </w:rPr>
        <w:t xml:space="preserve"> </w:t>
      </w:r>
      <w:r w:rsidR="00E6776C">
        <w:rPr>
          <w:rFonts w:eastAsiaTheme="minorHAnsi" w:cs="Arial"/>
          <w:lang w:val="nl-BE" w:eastAsia="en-US"/>
        </w:rPr>
        <w:t xml:space="preserve">eventuele </w:t>
      </w:r>
      <w:r w:rsidRPr="00ED69AB">
        <w:rPr>
          <w:rFonts w:eastAsiaTheme="minorHAnsi" w:cs="Arial"/>
          <w:lang w:val="nl-BE" w:eastAsia="en-US"/>
        </w:rPr>
        <w:t xml:space="preserve">negatief saldo aan vakantie-uren </w:t>
      </w:r>
      <w:r w:rsidR="00DF3AAB">
        <w:rPr>
          <w:rFonts w:eastAsiaTheme="minorHAnsi" w:cs="Arial"/>
          <w:lang w:val="nl-BE" w:eastAsia="en-US"/>
        </w:rPr>
        <w:t>beschouwd worden als een onverschuldigde betaling.</w:t>
      </w:r>
    </w:p>
    <w:p w14:paraId="12856653" w14:textId="1DA718CB" w:rsidR="00ED69AB" w:rsidRPr="00ED69AB" w:rsidRDefault="00ED69AB" w:rsidP="00ED69AB">
      <w:pPr>
        <w:spacing w:before="0" w:after="160" w:line="259" w:lineRule="auto"/>
        <w:ind w:left="0"/>
        <w:jc w:val="left"/>
        <w:rPr>
          <w:rFonts w:eastAsiaTheme="minorHAnsi" w:cs="Arial"/>
          <w:b/>
          <w:bCs/>
          <w:lang w:val="nl-BE" w:eastAsia="en-US"/>
        </w:rPr>
      </w:pPr>
      <w:r w:rsidRPr="00ED69AB">
        <w:rPr>
          <w:rFonts w:eastAsiaTheme="minorHAnsi" w:cs="Arial"/>
          <w:b/>
          <w:bCs/>
          <w:lang w:val="nl-BE" w:eastAsia="en-US"/>
        </w:rPr>
        <w:t xml:space="preserve">Artikel </w:t>
      </w:r>
      <w:r w:rsidR="008E0576">
        <w:rPr>
          <w:rFonts w:eastAsiaTheme="minorHAnsi" w:cs="Arial"/>
          <w:b/>
          <w:bCs/>
          <w:lang w:val="nl-BE" w:eastAsia="en-US"/>
        </w:rPr>
        <w:t>167</w:t>
      </w:r>
    </w:p>
    <w:p w14:paraId="22B33214" w14:textId="77777777" w:rsidR="00ED69AB" w:rsidRPr="00ED69AB" w:rsidRDefault="00ED69AB" w:rsidP="00ED69AB">
      <w:pPr>
        <w:spacing w:before="0" w:after="160" w:line="259" w:lineRule="auto"/>
        <w:ind w:left="0"/>
        <w:jc w:val="left"/>
        <w:rPr>
          <w:rFonts w:eastAsiaTheme="minorHAnsi" w:cs="Arial"/>
          <w:lang w:val="nl-BE" w:eastAsia="en-US"/>
        </w:rPr>
      </w:pPr>
      <w:r w:rsidRPr="00ED69AB">
        <w:rPr>
          <w:rFonts w:eastAsiaTheme="minorHAnsi" w:cs="Arial"/>
          <w:lang w:val="nl-BE" w:eastAsia="en-US"/>
        </w:rPr>
        <w:t>De vakantiedagen (uren) worden opgebouwd en toegekend rekening houdend met de effectieve (en gelijkgestelde) prestatieregeling van het personeelslid.</w:t>
      </w:r>
    </w:p>
    <w:p w14:paraId="6226A287" w14:textId="77777777" w:rsidR="006C41EF" w:rsidRDefault="00ED69AB" w:rsidP="00ED69AB">
      <w:pPr>
        <w:spacing w:before="0" w:after="160" w:line="259" w:lineRule="auto"/>
        <w:ind w:left="0"/>
        <w:jc w:val="left"/>
        <w:rPr>
          <w:rFonts w:eastAsiaTheme="minorHAnsi" w:cs="Arial"/>
          <w:lang w:val="nl-BE" w:eastAsia="en-US"/>
        </w:rPr>
      </w:pPr>
      <w:r w:rsidRPr="00ED69AB">
        <w:rPr>
          <w:rFonts w:eastAsiaTheme="minorHAnsi" w:cs="Arial"/>
          <w:lang w:val="nl-BE" w:eastAsia="en-US"/>
        </w:rPr>
        <w:t>Bij een wijziging van prestatiebreuk van het personeelslid (her)berekent de personeelsdienst het saldo aan vakantierechten.</w:t>
      </w:r>
    </w:p>
    <w:p w14:paraId="559ED14C" w14:textId="77777777" w:rsidR="003B773A" w:rsidRPr="00ED69AB" w:rsidRDefault="003B773A" w:rsidP="003B773A">
      <w:pPr>
        <w:spacing w:before="0" w:after="160" w:line="259" w:lineRule="auto"/>
        <w:ind w:left="0"/>
        <w:jc w:val="left"/>
        <w:rPr>
          <w:rFonts w:eastAsiaTheme="minorHAnsi" w:cs="Arial"/>
          <w:lang w:val="nl-BE" w:eastAsia="en-US"/>
        </w:rPr>
      </w:pPr>
      <w:r w:rsidRPr="00ED69AB">
        <w:rPr>
          <w:rFonts w:eastAsiaTheme="minorHAnsi" w:cs="Arial"/>
          <w:lang w:val="nl-BE" w:eastAsia="en-US"/>
        </w:rPr>
        <w:t xml:space="preserve">Indien de medewerker een herrekening krijgt van zijn vakantie-uren in de loop van het vakantiejaar zal </w:t>
      </w:r>
      <w:r>
        <w:rPr>
          <w:rFonts w:eastAsiaTheme="minorHAnsi" w:cs="Arial"/>
          <w:lang w:val="nl-BE" w:eastAsia="en-US"/>
        </w:rPr>
        <w:t>het</w:t>
      </w:r>
      <w:r w:rsidRPr="00ED69AB">
        <w:rPr>
          <w:rFonts w:eastAsiaTheme="minorHAnsi" w:cs="Arial"/>
          <w:lang w:val="nl-BE" w:eastAsia="en-US"/>
        </w:rPr>
        <w:t xml:space="preserve"> </w:t>
      </w:r>
      <w:r>
        <w:rPr>
          <w:rFonts w:eastAsiaTheme="minorHAnsi" w:cs="Arial"/>
          <w:lang w:val="nl-BE" w:eastAsia="en-US"/>
        </w:rPr>
        <w:t xml:space="preserve">eventuele </w:t>
      </w:r>
      <w:r w:rsidRPr="00ED69AB">
        <w:rPr>
          <w:rFonts w:eastAsiaTheme="minorHAnsi" w:cs="Arial"/>
          <w:lang w:val="nl-BE" w:eastAsia="en-US"/>
        </w:rPr>
        <w:t xml:space="preserve">negatief saldo aan vakantie-uren </w:t>
      </w:r>
      <w:r>
        <w:rPr>
          <w:rFonts w:eastAsiaTheme="minorHAnsi" w:cs="Arial"/>
          <w:lang w:val="nl-BE" w:eastAsia="en-US"/>
        </w:rPr>
        <w:t>beschouwd worden als een onverschuldigde betaling.</w:t>
      </w:r>
    </w:p>
    <w:p w14:paraId="56FB7100" w14:textId="45F0D4EE" w:rsidR="00C349F3" w:rsidRPr="00C349F3" w:rsidRDefault="00C349F3" w:rsidP="00C349F3">
      <w:pPr>
        <w:spacing w:before="0" w:after="160" w:line="259" w:lineRule="auto"/>
        <w:ind w:left="0"/>
        <w:jc w:val="left"/>
        <w:rPr>
          <w:rFonts w:eastAsiaTheme="minorHAnsi" w:cs="Arial"/>
          <w:b/>
          <w:bCs/>
          <w:lang w:val="nl-BE" w:eastAsia="en-US"/>
        </w:rPr>
      </w:pPr>
      <w:r w:rsidRPr="00C349F3">
        <w:rPr>
          <w:rFonts w:eastAsiaTheme="minorHAnsi" w:cs="Arial"/>
          <w:b/>
          <w:bCs/>
          <w:lang w:val="nl-BE" w:eastAsia="en-US"/>
        </w:rPr>
        <w:t>Artikel</w:t>
      </w:r>
      <w:r w:rsidR="00C94443">
        <w:rPr>
          <w:rFonts w:eastAsiaTheme="minorHAnsi" w:cs="Arial"/>
          <w:b/>
          <w:bCs/>
          <w:lang w:val="nl-BE" w:eastAsia="en-US"/>
        </w:rPr>
        <w:t xml:space="preserve"> </w:t>
      </w:r>
      <w:r w:rsidR="008E0576">
        <w:rPr>
          <w:rFonts w:eastAsiaTheme="minorHAnsi" w:cs="Arial"/>
          <w:b/>
          <w:bCs/>
          <w:lang w:val="nl-BE" w:eastAsia="en-US"/>
        </w:rPr>
        <w:t>168</w:t>
      </w:r>
    </w:p>
    <w:p w14:paraId="072AE592" w14:textId="77777777" w:rsidR="00C349F3" w:rsidRPr="00C349F3" w:rsidRDefault="00C349F3" w:rsidP="00C349F3">
      <w:pPr>
        <w:spacing w:before="0" w:after="160" w:line="259" w:lineRule="auto"/>
        <w:ind w:left="0"/>
        <w:jc w:val="left"/>
        <w:rPr>
          <w:rFonts w:eastAsiaTheme="minorHAnsi" w:cs="Arial"/>
          <w:lang w:val="nl-BE" w:eastAsia="en-US"/>
        </w:rPr>
      </w:pPr>
      <w:r w:rsidRPr="00C349F3">
        <w:rPr>
          <w:rFonts w:eastAsiaTheme="minorHAnsi" w:cs="Arial"/>
          <w:lang w:val="nl-BE" w:eastAsia="en-US"/>
        </w:rPr>
        <w:t>Als personeelsleden arbeidsongeschikt worden voor de aanvang van aangevraagde en toegestane vakantiedagen, wordt de vakantie opgeschort.</w:t>
      </w:r>
    </w:p>
    <w:p w14:paraId="3E4432A3" w14:textId="77777777" w:rsidR="00C349F3" w:rsidRDefault="00C349F3" w:rsidP="00C349F3">
      <w:pPr>
        <w:spacing w:before="0" w:after="160" w:line="259" w:lineRule="auto"/>
        <w:ind w:left="0"/>
        <w:jc w:val="left"/>
        <w:rPr>
          <w:rFonts w:eastAsiaTheme="minorHAnsi" w:cs="Arial"/>
          <w:lang w:val="nl-BE" w:eastAsia="en-US"/>
        </w:rPr>
      </w:pPr>
      <w:r w:rsidRPr="00C349F3">
        <w:rPr>
          <w:rFonts w:eastAsiaTheme="minorHAnsi" w:cs="Arial"/>
          <w:lang w:val="nl-BE" w:eastAsia="en-US"/>
        </w:rPr>
        <w:t>Als personeelsleden arbeidsongeschikt worden tijdens een periode van jaarlijkse vakantie, wordt het vakantieverlof omgezet in verlof wegens arbeidsongeschiktheid. Het personeelslid dient bij ziekte tijdens een vakantieperiode de werkgever hiervan onmiddellijk in kennis te stellen volgens dezelfde modaliteiten zoals bepaald in het arbeidsreglement (verwittigen bij ziekte).</w:t>
      </w:r>
    </w:p>
    <w:p w14:paraId="7A9863C6" w14:textId="77777777" w:rsidR="002679BC" w:rsidRDefault="002679BC" w:rsidP="00C349F3">
      <w:pPr>
        <w:spacing w:before="0" w:after="160" w:line="259" w:lineRule="auto"/>
        <w:ind w:left="0"/>
        <w:jc w:val="left"/>
        <w:rPr>
          <w:rFonts w:eastAsiaTheme="minorHAnsi" w:cs="Arial"/>
          <w:lang w:val="nl-BE" w:eastAsia="en-US"/>
        </w:rPr>
      </w:pPr>
    </w:p>
    <w:p w14:paraId="6DDFEC38" w14:textId="77777777" w:rsidR="002679BC" w:rsidRDefault="002679BC" w:rsidP="00C349F3">
      <w:pPr>
        <w:spacing w:before="0" w:after="160" w:line="259" w:lineRule="auto"/>
        <w:ind w:left="0"/>
        <w:jc w:val="left"/>
        <w:rPr>
          <w:rFonts w:eastAsiaTheme="minorHAnsi" w:cs="Arial"/>
          <w:lang w:val="nl-BE" w:eastAsia="en-US"/>
        </w:rPr>
      </w:pPr>
    </w:p>
    <w:p w14:paraId="5492B4D5" w14:textId="7D9A0DEE" w:rsidR="006C41EF" w:rsidRPr="00C349F3" w:rsidRDefault="006C41EF" w:rsidP="00C349F3">
      <w:pPr>
        <w:spacing w:before="0" w:after="160" w:line="259" w:lineRule="auto"/>
        <w:ind w:left="0"/>
        <w:jc w:val="left"/>
        <w:rPr>
          <w:rFonts w:eastAsiaTheme="minorHAnsi" w:cs="Arial"/>
          <w:b/>
          <w:bCs/>
          <w:lang w:val="nl-BE" w:eastAsia="en-US"/>
        </w:rPr>
      </w:pPr>
      <w:r w:rsidRPr="00826A73">
        <w:rPr>
          <w:rFonts w:eastAsiaTheme="minorHAnsi" w:cs="Arial"/>
          <w:b/>
          <w:bCs/>
          <w:lang w:val="nl-BE" w:eastAsia="en-US"/>
        </w:rPr>
        <w:lastRenderedPageBreak/>
        <w:t xml:space="preserve">Artikel </w:t>
      </w:r>
      <w:r w:rsidR="008E0576">
        <w:rPr>
          <w:rFonts w:eastAsiaTheme="minorHAnsi" w:cs="Arial"/>
          <w:b/>
          <w:bCs/>
          <w:lang w:val="nl-BE" w:eastAsia="en-US"/>
        </w:rPr>
        <w:t>169</w:t>
      </w:r>
    </w:p>
    <w:p w14:paraId="151F231B" w14:textId="11E377E3" w:rsidR="0040443B" w:rsidRPr="00FD7E2F" w:rsidRDefault="0040443B" w:rsidP="00ED69AB">
      <w:pPr>
        <w:spacing w:before="0" w:after="160" w:line="259" w:lineRule="auto"/>
        <w:ind w:left="0"/>
        <w:jc w:val="left"/>
        <w:rPr>
          <w:rFonts w:eastAsiaTheme="minorHAnsi" w:cs="Arial"/>
          <w:strike/>
          <w:lang w:val="nl-BE" w:eastAsia="en-US"/>
        </w:rPr>
      </w:pPr>
      <w:r w:rsidRPr="00037A46">
        <w:rPr>
          <w:rFonts w:eastAsiaTheme="minorHAnsi" w:cs="Arial"/>
          <w:lang w:val="nl-BE" w:eastAsia="en-US"/>
        </w:rPr>
        <w:t xml:space="preserve">Het personeelslid kan max </w:t>
      </w:r>
      <w:r w:rsidR="0063626C" w:rsidRPr="00FD7E2F">
        <w:rPr>
          <w:rFonts w:eastAsiaTheme="minorHAnsi" w:cs="Arial"/>
          <w:lang w:val="nl-BE" w:eastAsia="en-US"/>
        </w:rPr>
        <w:t>38 uren (</w:t>
      </w:r>
      <w:r w:rsidRPr="00FD7E2F">
        <w:rPr>
          <w:rFonts w:eastAsiaTheme="minorHAnsi" w:cs="Arial"/>
          <w:lang w:val="nl-BE" w:eastAsia="en-US"/>
        </w:rPr>
        <w:t>5 dagen</w:t>
      </w:r>
      <w:r w:rsidR="0063626C" w:rsidRPr="00FD7E2F">
        <w:rPr>
          <w:rFonts w:eastAsiaTheme="minorHAnsi" w:cs="Arial"/>
          <w:lang w:val="nl-BE" w:eastAsia="en-US"/>
        </w:rPr>
        <w:t>)</w:t>
      </w:r>
      <w:r w:rsidRPr="00FD7E2F">
        <w:rPr>
          <w:rFonts w:eastAsiaTheme="minorHAnsi" w:cs="Arial"/>
          <w:lang w:val="nl-BE" w:eastAsia="en-US"/>
        </w:rPr>
        <w:t xml:space="preserve"> a rato van de prestaties overdragen </w:t>
      </w:r>
      <w:r w:rsidR="00E076CE" w:rsidRPr="00FD7E2F">
        <w:rPr>
          <w:rFonts w:eastAsiaTheme="minorHAnsi" w:cs="Arial"/>
          <w:lang w:val="nl-BE" w:eastAsia="en-US"/>
        </w:rPr>
        <w:t>na afloop van de kerstvakantie</w:t>
      </w:r>
      <w:r w:rsidR="00875F48" w:rsidRPr="00FD7E2F">
        <w:rPr>
          <w:rFonts w:eastAsiaTheme="minorHAnsi" w:cs="Arial"/>
          <w:lang w:val="nl-BE" w:eastAsia="en-US"/>
        </w:rPr>
        <w:t xml:space="preserve"> naar het volgende jaar</w:t>
      </w:r>
      <w:r w:rsidRPr="00FD7E2F">
        <w:rPr>
          <w:rFonts w:eastAsiaTheme="minorHAnsi" w:cs="Arial"/>
          <w:lang w:val="nl-BE" w:eastAsia="en-US"/>
        </w:rPr>
        <w:t>. De overgedragen vakantiedagen moeten opgenomen worden voor 31 maart</w:t>
      </w:r>
      <w:r w:rsidR="00D20023" w:rsidRPr="00FD7E2F">
        <w:rPr>
          <w:rFonts w:eastAsiaTheme="minorHAnsi" w:cs="Arial"/>
          <w:lang w:val="nl-BE" w:eastAsia="en-US"/>
        </w:rPr>
        <w:t>.</w:t>
      </w:r>
      <w:r w:rsidRPr="00FD7E2F">
        <w:rPr>
          <w:rFonts w:eastAsiaTheme="minorHAnsi" w:cs="Arial"/>
          <w:lang w:val="nl-BE" w:eastAsia="en-US"/>
        </w:rPr>
        <w:t xml:space="preserve"> </w:t>
      </w:r>
    </w:p>
    <w:p w14:paraId="489DB008" w14:textId="4693AAD1" w:rsidR="0040443B" w:rsidRPr="00FD7E2F" w:rsidRDefault="00151775" w:rsidP="0040443B">
      <w:pPr>
        <w:spacing w:before="0" w:after="160" w:line="259" w:lineRule="auto"/>
        <w:ind w:left="0"/>
        <w:jc w:val="left"/>
        <w:rPr>
          <w:rFonts w:eastAsiaTheme="minorHAnsi" w:cs="Arial"/>
          <w:strike/>
          <w:lang w:val="nl-BE" w:eastAsia="en-US"/>
        </w:rPr>
      </w:pPr>
      <w:r w:rsidRPr="00FD7E2F">
        <w:rPr>
          <w:rFonts w:eastAsiaTheme="minorHAnsi" w:cs="Arial"/>
          <w:lang w:val="nl-BE" w:eastAsia="en-US"/>
        </w:rPr>
        <w:t>H</w:t>
      </w:r>
      <w:r w:rsidR="0040443B" w:rsidRPr="00FD7E2F">
        <w:rPr>
          <w:rFonts w:eastAsiaTheme="minorHAnsi" w:cs="Arial"/>
          <w:lang w:val="nl-BE" w:eastAsia="en-US"/>
        </w:rPr>
        <w:t>et overdragen van meer dan 5 verlofdagen en</w:t>
      </w:r>
      <w:r w:rsidR="007468C4" w:rsidRPr="00FD7E2F">
        <w:rPr>
          <w:rFonts w:eastAsiaTheme="minorHAnsi" w:cs="Arial"/>
          <w:lang w:val="nl-BE" w:eastAsia="en-US"/>
        </w:rPr>
        <w:t>/of</w:t>
      </w:r>
      <w:r w:rsidR="0040443B" w:rsidRPr="00FD7E2F">
        <w:rPr>
          <w:rFonts w:eastAsiaTheme="minorHAnsi" w:cs="Arial"/>
          <w:lang w:val="nl-BE" w:eastAsia="en-US"/>
        </w:rPr>
        <w:t xml:space="preserve"> het opnemen van vakantieverlof van vorig dienstjaar na 31 maart </w:t>
      </w:r>
      <w:r w:rsidR="007468C4" w:rsidRPr="00FD7E2F">
        <w:rPr>
          <w:rFonts w:eastAsiaTheme="minorHAnsi" w:cs="Arial"/>
          <w:lang w:val="nl-BE" w:eastAsia="en-US"/>
        </w:rPr>
        <w:t xml:space="preserve">kan </w:t>
      </w:r>
      <w:r w:rsidR="0040443B" w:rsidRPr="00FD7E2F">
        <w:rPr>
          <w:rFonts w:eastAsiaTheme="minorHAnsi" w:cs="Arial"/>
          <w:lang w:val="nl-BE" w:eastAsia="en-US"/>
        </w:rPr>
        <w:t xml:space="preserve">slechts zeer uitzonderlijk toegelaten </w:t>
      </w:r>
      <w:r w:rsidR="007468C4" w:rsidRPr="00FD7E2F">
        <w:rPr>
          <w:rFonts w:eastAsiaTheme="minorHAnsi" w:cs="Arial"/>
          <w:lang w:val="nl-BE" w:eastAsia="en-US"/>
        </w:rPr>
        <w:t xml:space="preserve">worden </w:t>
      </w:r>
      <w:r w:rsidR="0040443B" w:rsidRPr="00FD7E2F">
        <w:rPr>
          <w:rFonts w:eastAsiaTheme="minorHAnsi" w:cs="Arial"/>
          <w:lang w:val="nl-BE" w:eastAsia="en-US"/>
        </w:rPr>
        <w:t>door de algemeen directeur.</w:t>
      </w:r>
    </w:p>
    <w:p w14:paraId="6476F939" w14:textId="1F360320" w:rsidR="0040443B" w:rsidRPr="005049EB" w:rsidRDefault="005049EB" w:rsidP="0040443B">
      <w:pPr>
        <w:spacing w:before="0" w:after="160" w:line="259" w:lineRule="auto"/>
        <w:ind w:left="0"/>
        <w:jc w:val="left"/>
        <w:rPr>
          <w:rFonts w:eastAsiaTheme="minorHAnsi" w:cs="Arial"/>
          <w:b/>
          <w:bCs/>
          <w:lang w:val="nl-BE" w:eastAsia="en-US"/>
        </w:rPr>
      </w:pPr>
      <w:r w:rsidRPr="00FD7E2F">
        <w:rPr>
          <w:rFonts w:eastAsiaTheme="minorHAnsi" w:cs="Arial"/>
          <w:b/>
          <w:bCs/>
          <w:lang w:val="nl-BE" w:eastAsia="en-US"/>
        </w:rPr>
        <w:t xml:space="preserve">Artikel </w:t>
      </w:r>
      <w:r w:rsidR="008E0576" w:rsidRPr="00FD7E2F">
        <w:rPr>
          <w:rFonts w:eastAsiaTheme="minorHAnsi" w:cs="Arial"/>
          <w:b/>
          <w:bCs/>
          <w:lang w:val="nl-BE" w:eastAsia="en-US"/>
        </w:rPr>
        <w:t>170</w:t>
      </w:r>
    </w:p>
    <w:p w14:paraId="4343E323" w14:textId="7C9DAAA0" w:rsidR="0040443B" w:rsidRPr="00037A46" w:rsidRDefault="0040443B" w:rsidP="0040443B">
      <w:pPr>
        <w:spacing w:before="0" w:after="160" w:line="259" w:lineRule="auto"/>
        <w:ind w:left="0"/>
        <w:jc w:val="left"/>
        <w:rPr>
          <w:rFonts w:eastAsiaTheme="minorHAnsi" w:cs="Arial"/>
          <w:lang w:val="nl-BE" w:eastAsia="en-US"/>
        </w:rPr>
      </w:pPr>
      <w:r w:rsidRPr="00037A46">
        <w:rPr>
          <w:rFonts w:eastAsiaTheme="minorHAnsi" w:cs="Arial"/>
          <w:lang w:val="nl-BE" w:eastAsia="en-US"/>
        </w:rPr>
        <w:t xml:space="preserve">Indien het personeelslid in een progressieve werkhervatting (deeltijds werken / deeltijds ziek) wordt tewerkgesteld worden de verlofrechten </w:t>
      </w:r>
      <w:r w:rsidR="005054A2">
        <w:rPr>
          <w:rFonts w:eastAsiaTheme="minorHAnsi" w:cs="Arial"/>
          <w:lang w:val="nl-BE" w:eastAsia="en-US"/>
        </w:rPr>
        <w:t xml:space="preserve">herrekend, </w:t>
      </w:r>
      <w:r w:rsidR="002C1915">
        <w:rPr>
          <w:rFonts w:eastAsiaTheme="minorHAnsi" w:cs="Arial"/>
          <w:lang w:val="nl-BE" w:eastAsia="en-US"/>
        </w:rPr>
        <w:t>aangerekend</w:t>
      </w:r>
      <w:r w:rsidRPr="00037A46">
        <w:rPr>
          <w:rFonts w:eastAsiaTheme="minorHAnsi" w:cs="Arial"/>
          <w:lang w:val="nl-BE" w:eastAsia="en-US"/>
        </w:rPr>
        <w:t xml:space="preserve"> en opgenomen rekening houdend met de effectieve prestatieregeling. Het aantal nog op te nemen vakantie-uren wordt uitgedrukt in verhouding tot de effectieve prestatiebreuk van het personeelslid in de periode waarin deze de vakantie-uren op neemt. Het personeelslid kan tijdens een progressieve werkhervatting hetzelfde aantal weken vakantie opnemen in het vakantiejaar dan een voltijdse collega. De vakantie-uren die het personeelslid ingevolge deze pro-rata berekening niet heeft kunnen opnemen worden uitbetaald in de vorm van een compensatietoelage die als volgt wordt berekend:</w:t>
      </w:r>
    </w:p>
    <w:p w14:paraId="1E6D90FB" w14:textId="77777777" w:rsidR="0040443B" w:rsidRPr="00037A46" w:rsidRDefault="0040443B" w:rsidP="0040443B">
      <w:pPr>
        <w:spacing w:before="0" w:after="160" w:line="259" w:lineRule="auto"/>
        <w:ind w:left="0"/>
        <w:jc w:val="left"/>
        <w:rPr>
          <w:rFonts w:eastAsiaTheme="minorHAnsi" w:cs="Arial"/>
          <w:lang w:val="nl-BE" w:eastAsia="en-US"/>
        </w:rPr>
      </w:pPr>
      <w:r w:rsidRPr="00037A46">
        <w:rPr>
          <w:rFonts w:eastAsiaTheme="minorHAnsi" w:cs="Arial"/>
          <w:lang w:val="nl-BE" w:eastAsia="en-US"/>
        </w:rPr>
        <w:t>((Maandloon + HASTA) * 12) /1976 * aantal niet opgenomen uren</w:t>
      </w:r>
    </w:p>
    <w:p w14:paraId="6C5FA9CC" w14:textId="77777777" w:rsidR="0040443B" w:rsidRDefault="0040443B" w:rsidP="0040443B">
      <w:pPr>
        <w:spacing w:before="0" w:after="160" w:line="259" w:lineRule="auto"/>
        <w:ind w:left="0"/>
        <w:jc w:val="left"/>
        <w:rPr>
          <w:rFonts w:eastAsiaTheme="minorHAnsi" w:cs="Arial"/>
          <w:lang w:val="nl-BE" w:eastAsia="en-US"/>
        </w:rPr>
      </w:pPr>
      <w:r w:rsidRPr="00037A46">
        <w:rPr>
          <w:rFonts w:eastAsiaTheme="minorHAnsi" w:cs="Arial"/>
          <w:lang w:val="nl-BE" w:eastAsia="en-US"/>
        </w:rPr>
        <w:t>Wanneer het personeelslid terug prestaties zal verrichten in zijn oorspronkelijk aangestelde prestatiebreuk zal het saldo aan verlofrechten terug worden herrekend naar het volledige opgebouwde recht verminderd met de reeds opgenomen (en eventueel uitbetaalde) vakantie-uren.</w:t>
      </w:r>
    </w:p>
    <w:p w14:paraId="37563655" w14:textId="6972D707" w:rsidR="003D7447" w:rsidRPr="008027D4" w:rsidRDefault="003D7447" w:rsidP="003D7447">
      <w:pPr>
        <w:spacing w:before="0" w:after="160" w:line="259" w:lineRule="auto"/>
        <w:ind w:left="0"/>
        <w:jc w:val="left"/>
        <w:rPr>
          <w:rFonts w:eastAsiaTheme="minorHAnsi" w:cs="Arial"/>
          <w:b/>
          <w:bCs/>
          <w:lang w:val="nl-BE" w:eastAsia="en-US"/>
        </w:rPr>
      </w:pPr>
      <w:r w:rsidRPr="008027D4">
        <w:rPr>
          <w:rFonts w:eastAsiaTheme="minorHAnsi" w:cs="Arial"/>
          <w:b/>
          <w:bCs/>
          <w:lang w:val="nl-BE" w:eastAsia="en-US"/>
        </w:rPr>
        <w:t xml:space="preserve">Artikel </w:t>
      </w:r>
      <w:r w:rsidR="008E0576">
        <w:rPr>
          <w:rFonts w:eastAsiaTheme="minorHAnsi" w:cs="Arial"/>
          <w:b/>
          <w:bCs/>
          <w:lang w:val="nl-BE" w:eastAsia="en-US"/>
        </w:rPr>
        <w:t>171</w:t>
      </w:r>
    </w:p>
    <w:p w14:paraId="016F35D9" w14:textId="78BB17DB" w:rsidR="003D7447" w:rsidRPr="003D7447" w:rsidRDefault="003D7447" w:rsidP="003D7447">
      <w:pPr>
        <w:spacing w:before="0" w:after="160" w:line="259" w:lineRule="auto"/>
        <w:ind w:left="0"/>
        <w:jc w:val="left"/>
        <w:rPr>
          <w:rFonts w:eastAsiaTheme="minorHAnsi" w:cs="Arial"/>
          <w:lang w:val="nl-BE" w:eastAsia="en-US"/>
        </w:rPr>
      </w:pPr>
      <w:r w:rsidRPr="003D7447">
        <w:rPr>
          <w:rFonts w:eastAsiaTheme="minorHAnsi" w:cs="Arial"/>
          <w:lang w:val="nl-BE" w:eastAsia="en-US"/>
        </w:rPr>
        <w:t xml:space="preserve">In het geval dat het personeelslid zijn dagen vakantie niet heeft kunnen opnemen </w:t>
      </w:r>
      <w:r w:rsidR="00AF6F41">
        <w:rPr>
          <w:rFonts w:eastAsiaTheme="minorHAnsi" w:cs="Arial"/>
          <w:lang w:val="nl-BE" w:eastAsia="en-US"/>
        </w:rPr>
        <w:t>bij</w:t>
      </w:r>
      <w:r w:rsidRPr="003D7447">
        <w:rPr>
          <w:rFonts w:eastAsiaTheme="minorHAnsi" w:cs="Arial"/>
          <w:lang w:val="nl-BE" w:eastAsia="en-US"/>
        </w:rPr>
        <w:t xml:space="preserve"> uitdiensttreding of overlijden worden deze vakantiedagen uitbetaald.</w:t>
      </w:r>
    </w:p>
    <w:p w14:paraId="22716694" w14:textId="2D9AA51D" w:rsidR="003D7447" w:rsidRPr="003D7447" w:rsidRDefault="003D7447" w:rsidP="003D7447">
      <w:pPr>
        <w:spacing w:before="0" w:after="160" w:line="259" w:lineRule="auto"/>
        <w:ind w:left="0"/>
        <w:jc w:val="left"/>
        <w:rPr>
          <w:rFonts w:eastAsiaTheme="minorHAnsi" w:cs="Arial"/>
          <w:lang w:val="nl-BE" w:eastAsia="en-US"/>
        </w:rPr>
      </w:pPr>
      <w:r w:rsidRPr="003D7447">
        <w:rPr>
          <w:rFonts w:eastAsiaTheme="minorHAnsi" w:cs="Arial"/>
          <w:lang w:val="nl-BE" w:eastAsia="en-US"/>
        </w:rPr>
        <w:t xml:space="preserve">In het geval dat het personeelslid zijn dagen vakantie niet heeft kunnen opnemen ingevolge ziekte, (omgezette) moederschapsrust, profylactisch verlof, arbeidsongeval, beroepsziekte, adoptieverlof, (langdurig) pleegouderverlof zal het personeelslid het recht hebben om deze vakantiedagen te nemen tot </w:t>
      </w:r>
      <w:r w:rsidR="00532998">
        <w:rPr>
          <w:rFonts w:eastAsiaTheme="minorHAnsi" w:cs="Arial"/>
          <w:lang w:val="nl-BE" w:eastAsia="en-US"/>
        </w:rPr>
        <w:t>24</w:t>
      </w:r>
      <w:r w:rsidRPr="003D7447">
        <w:rPr>
          <w:rFonts w:eastAsiaTheme="minorHAnsi" w:cs="Arial"/>
          <w:lang w:val="nl-BE" w:eastAsia="en-US"/>
        </w:rPr>
        <w:t xml:space="preserve"> maanden die volgen op het einde van het vakantiejaar waarop deze nog op te nemen vakantiedagen betrekking hebben (dus tot 31 december van het vakantiejaar plus </w:t>
      </w:r>
      <w:r w:rsidR="00532998">
        <w:rPr>
          <w:rFonts w:eastAsiaTheme="minorHAnsi" w:cs="Arial"/>
          <w:lang w:val="nl-BE" w:eastAsia="en-US"/>
        </w:rPr>
        <w:t>24</w:t>
      </w:r>
      <w:r w:rsidRPr="003D7447">
        <w:rPr>
          <w:rFonts w:eastAsiaTheme="minorHAnsi" w:cs="Arial"/>
          <w:lang w:val="nl-BE" w:eastAsia="en-US"/>
        </w:rPr>
        <w:t xml:space="preserve"> </w:t>
      </w:r>
      <w:r w:rsidR="00F848D9">
        <w:rPr>
          <w:rFonts w:eastAsiaTheme="minorHAnsi" w:cs="Arial"/>
          <w:lang w:val="nl-BE" w:eastAsia="en-US"/>
        </w:rPr>
        <w:t>maanden</w:t>
      </w:r>
      <w:r w:rsidRPr="003D7447">
        <w:rPr>
          <w:rFonts w:eastAsiaTheme="minorHAnsi" w:cs="Arial"/>
          <w:lang w:val="nl-BE" w:eastAsia="en-US"/>
        </w:rPr>
        <w:t>).</w:t>
      </w:r>
    </w:p>
    <w:p w14:paraId="5EDF4CCE" w14:textId="1EB3A9EB" w:rsidR="003D7447" w:rsidRPr="00037A46" w:rsidRDefault="003D7447" w:rsidP="003D7447">
      <w:pPr>
        <w:spacing w:before="0" w:after="160" w:line="259" w:lineRule="auto"/>
        <w:ind w:left="0"/>
        <w:jc w:val="left"/>
        <w:rPr>
          <w:rFonts w:eastAsiaTheme="minorHAnsi" w:cs="Arial"/>
          <w:lang w:val="nl-BE" w:eastAsia="en-US"/>
        </w:rPr>
      </w:pPr>
      <w:r w:rsidRPr="003D7447">
        <w:rPr>
          <w:rFonts w:eastAsiaTheme="minorHAnsi" w:cs="Arial"/>
          <w:lang w:val="nl-BE" w:eastAsia="en-US"/>
        </w:rPr>
        <w:t xml:space="preserve">Indien </w:t>
      </w:r>
      <w:r w:rsidRPr="00FD7E2F">
        <w:rPr>
          <w:rFonts w:eastAsiaTheme="minorHAnsi" w:cs="Arial"/>
          <w:lang w:val="nl-BE" w:eastAsia="en-US"/>
        </w:rPr>
        <w:t xml:space="preserve">het personeelslid tijdens het vakantiejaar wegens één van bovenvermelde afwezigheden voor minstens </w:t>
      </w:r>
      <w:r w:rsidR="0074336C" w:rsidRPr="00FD7E2F">
        <w:rPr>
          <w:rFonts w:eastAsiaTheme="minorHAnsi" w:cs="Arial"/>
          <w:lang w:val="nl-BE" w:eastAsia="en-US"/>
        </w:rPr>
        <w:t>4</w:t>
      </w:r>
      <w:r w:rsidRPr="00FD7E2F">
        <w:rPr>
          <w:rFonts w:eastAsiaTheme="minorHAnsi" w:cs="Arial"/>
          <w:lang w:val="nl-BE" w:eastAsia="en-US"/>
        </w:rPr>
        <w:t xml:space="preserve"> maanden afwezig was tijdens de 2de helft van het vakantiejaar</w:t>
      </w:r>
      <w:r w:rsidR="00C1138B" w:rsidRPr="00FD7E2F">
        <w:rPr>
          <w:rFonts w:eastAsiaTheme="minorHAnsi" w:cs="Arial"/>
          <w:lang w:val="nl-BE" w:eastAsia="en-US"/>
        </w:rPr>
        <w:t xml:space="preserve"> of 2 maanden afwezig is geweest tijdens het laatste kwartaal</w:t>
      </w:r>
      <w:r w:rsidRPr="00FD7E2F">
        <w:rPr>
          <w:rFonts w:eastAsiaTheme="minorHAnsi" w:cs="Arial"/>
          <w:lang w:val="nl-BE" w:eastAsia="en-US"/>
        </w:rPr>
        <w:t xml:space="preserve"> en hierdoor het verlof niet vóór 31 december kon worden opgenomen, worden (bovenop de 5 vakantiedagen </w:t>
      </w:r>
      <w:proofErr w:type="spellStart"/>
      <w:r w:rsidRPr="00FD7E2F">
        <w:rPr>
          <w:rFonts w:eastAsiaTheme="minorHAnsi" w:cs="Arial"/>
          <w:lang w:val="nl-BE" w:eastAsia="en-US"/>
        </w:rPr>
        <w:t>cfr</w:t>
      </w:r>
      <w:proofErr w:type="spellEnd"/>
      <w:r w:rsidRPr="00FD7E2F">
        <w:rPr>
          <w:rFonts w:eastAsiaTheme="minorHAnsi" w:cs="Arial"/>
          <w:lang w:val="nl-BE" w:eastAsia="en-US"/>
        </w:rPr>
        <w:t xml:space="preserve">. artikel </w:t>
      </w:r>
      <w:r w:rsidR="009C642B" w:rsidRPr="00FD7E2F">
        <w:rPr>
          <w:rFonts w:eastAsiaTheme="minorHAnsi" w:cs="Arial"/>
          <w:lang w:val="nl-BE" w:eastAsia="en-US"/>
        </w:rPr>
        <w:t>169</w:t>
      </w:r>
      <w:r w:rsidRPr="00FD7E2F">
        <w:rPr>
          <w:rFonts w:eastAsiaTheme="minorHAnsi" w:cs="Arial"/>
          <w:lang w:val="nl-BE" w:eastAsia="en-US"/>
        </w:rPr>
        <w:t>) er maximaal 20 vakantiedagen overgedragen volgens de modaliteiten zoals bepaald</w:t>
      </w:r>
      <w:r w:rsidRPr="003D7447">
        <w:rPr>
          <w:rFonts w:eastAsiaTheme="minorHAnsi" w:cs="Arial"/>
          <w:lang w:val="nl-BE" w:eastAsia="en-US"/>
        </w:rPr>
        <w:t xml:space="preserve"> in het voorgaande lid.</w:t>
      </w:r>
    </w:p>
    <w:p w14:paraId="6D1FC11A" w14:textId="558B2E85" w:rsidR="003A11FB" w:rsidRPr="00037A46" w:rsidRDefault="003A11FB" w:rsidP="00B44CF7">
      <w:pPr>
        <w:pStyle w:val="Kop2"/>
      </w:pPr>
      <w:bookmarkStart w:id="238" w:name="_Toc110948225"/>
      <w:bookmarkStart w:id="239" w:name="_Toc215739033"/>
      <w:r w:rsidRPr="00037A46">
        <w:t>Hoofdstuk iii. de feestdagen</w:t>
      </w:r>
      <w:bookmarkEnd w:id="238"/>
      <w:bookmarkEnd w:id="239"/>
    </w:p>
    <w:p w14:paraId="73200260" w14:textId="3DB41FDD" w:rsidR="00FA6A78" w:rsidRPr="00FA6A78" w:rsidRDefault="00FA6A78" w:rsidP="00FA6A78">
      <w:pPr>
        <w:ind w:left="0"/>
        <w:rPr>
          <w:b/>
        </w:rPr>
      </w:pPr>
      <w:r w:rsidRPr="00FA6A78">
        <w:rPr>
          <w:b/>
        </w:rPr>
        <w:t xml:space="preserve">Artikel </w:t>
      </w:r>
      <w:r w:rsidR="008E0576">
        <w:rPr>
          <w:b/>
        </w:rPr>
        <w:t>172</w:t>
      </w:r>
    </w:p>
    <w:p w14:paraId="2E082120" w14:textId="43EEAC80" w:rsidR="00FA6A78" w:rsidRPr="00FA6A78" w:rsidRDefault="00FA6A78" w:rsidP="00FA6A78">
      <w:pPr>
        <w:ind w:left="0"/>
        <w:rPr>
          <w:bCs/>
        </w:rPr>
      </w:pPr>
      <w:r w:rsidRPr="00FA6A78">
        <w:rPr>
          <w:bCs/>
        </w:rPr>
        <w:t>§1. Personeelsleden</w:t>
      </w:r>
      <w:r w:rsidR="00F96689">
        <w:rPr>
          <w:bCs/>
        </w:rPr>
        <w:t xml:space="preserve">, zoals bedoeld in artikel 2 </w:t>
      </w:r>
      <w:r w:rsidR="00F96689" w:rsidRPr="00DE5762">
        <w:rPr>
          <w:rFonts w:eastAsiaTheme="minorHAnsi" w:cs="Arial"/>
          <w:lang w:val="nl-BE" w:eastAsia="en-US"/>
        </w:rPr>
        <w:t>§</w:t>
      </w:r>
      <w:r w:rsidR="000B17AD">
        <w:rPr>
          <w:rFonts w:eastAsiaTheme="minorHAnsi" w:cs="Arial"/>
          <w:lang w:val="nl-BE" w:eastAsia="en-US"/>
        </w:rPr>
        <w:t>1,</w:t>
      </w:r>
      <w:r w:rsidR="000B17AD">
        <w:rPr>
          <w:bCs/>
        </w:rPr>
        <w:t xml:space="preserve"> </w:t>
      </w:r>
      <w:r w:rsidR="000B17AD" w:rsidRPr="00FA6A78">
        <w:rPr>
          <w:bCs/>
        </w:rPr>
        <w:t>hebben</w:t>
      </w:r>
      <w:r w:rsidRPr="00FA6A78">
        <w:rPr>
          <w:bCs/>
        </w:rPr>
        <w:t xml:space="preserve"> recht op bezoldigde afwezigheid op al de volgende feestdagen:</w:t>
      </w:r>
    </w:p>
    <w:p w14:paraId="08EB9308" w14:textId="3702AA7B" w:rsidR="00FA6A78" w:rsidRPr="00FA6A78" w:rsidRDefault="00FA6A78" w:rsidP="009D4C40">
      <w:pPr>
        <w:pStyle w:val="Lijstalinea"/>
        <w:numPr>
          <w:ilvl w:val="0"/>
          <w:numId w:val="91"/>
        </w:numPr>
        <w:rPr>
          <w:bCs/>
        </w:rPr>
      </w:pPr>
      <w:r w:rsidRPr="00FA6A78">
        <w:rPr>
          <w:bCs/>
        </w:rPr>
        <w:t>1 januari;</w:t>
      </w:r>
    </w:p>
    <w:p w14:paraId="50745B8B" w14:textId="0DBCE44F" w:rsidR="00FA6A78" w:rsidRPr="00FA6A78" w:rsidRDefault="00FA6A78" w:rsidP="009D4C40">
      <w:pPr>
        <w:pStyle w:val="Lijstalinea"/>
        <w:numPr>
          <w:ilvl w:val="0"/>
          <w:numId w:val="91"/>
        </w:numPr>
        <w:rPr>
          <w:bCs/>
        </w:rPr>
      </w:pPr>
      <w:r w:rsidRPr="00FA6A78">
        <w:rPr>
          <w:bCs/>
        </w:rPr>
        <w:t>Paasmaandag;</w:t>
      </w:r>
    </w:p>
    <w:p w14:paraId="1AE8C1D5" w14:textId="28B8CEFD" w:rsidR="00FA6A78" w:rsidRPr="00FA6A78" w:rsidRDefault="00FA6A78" w:rsidP="009D4C40">
      <w:pPr>
        <w:pStyle w:val="Lijstalinea"/>
        <w:numPr>
          <w:ilvl w:val="0"/>
          <w:numId w:val="91"/>
        </w:numPr>
        <w:rPr>
          <w:bCs/>
        </w:rPr>
      </w:pPr>
      <w:r w:rsidRPr="00FA6A78">
        <w:rPr>
          <w:bCs/>
        </w:rPr>
        <w:t>1 mei;</w:t>
      </w:r>
    </w:p>
    <w:p w14:paraId="6E60D627" w14:textId="07DA5D50" w:rsidR="00FA6A78" w:rsidRPr="00FA6A78" w:rsidRDefault="00FA6A78" w:rsidP="009D4C40">
      <w:pPr>
        <w:pStyle w:val="Lijstalinea"/>
        <w:numPr>
          <w:ilvl w:val="0"/>
          <w:numId w:val="91"/>
        </w:numPr>
        <w:rPr>
          <w:bCs/>
        </w:rPr>
      </w:pPr>
      <w:r w:rsidRPr="00FA6A78">
        <w:rPr>
          <w:bCs/>
        </w:rPr>
        <w:t>Hemelvaartsdag;</w:t>
      </w:r>
    </w:p>
    <w:p w14:paraId="140484D7" w14:textId="20A7BA0C" w:rsidR="00FA6A78" w:rsidRPr="00FA6A78" w:rsidRDefault="00FA6A78" w:rsidP="009D4C40">
      <w:pPr>
        <w:pStyle w:val="Lijstalinea"/>
        <w:numPr>
          <w:ilvl w:val="0"/>
          <w:numId w:val="91"/>
        </w:numPr>
        <w:rPr>
          <w:bCs/>
        </w:rPr>
      </w:pPr>
      <w:r w:rsidRPr="00FA6A78">
        <w:rPr>
          <w:bCs/>
        </w:rPr>
        <w:t>Pinkstermaandag;</w:t>
      </w:r>
    </w:p>
    <w:p w14:paraId="0C68EA86" w14:textId="031F6CBD" w:rsidR="00FA6A78" w:rsidRPr="00FA6A78" w:rsidRDefault="00FA6A78" w:rsidP="009D4C40">
      <w:pPr>
        <w:pStyle w:val="Lijstalinea"/>
        <w:numPr>
          <w:ilvl w:val="0"/>
          <w:numId w:val="91"/>
        </w:numPr>
        <w:rPr>
          <w:bCs/>
        </w:rPr>
      </w:pPr>
      <w:r w:rsidRPr="00FA6A78">
        <w:rPr>
          <w:bCs/>
        </w:rPr>
        <w:t>11 juli;</w:t>
      </w:r>
    </w:p>
    <w:p w14:paraId="2FF9D5EC" w14:textId="290216C3" w:rsidR="00FA6A78" w:rsidRPr="00FA6A78" w:rsidRDefault="00FA6A78" w:rsidP="009D4C40">
      <w:pPr>
        <w:pStyle w:val="Lijstalinea"/>
        <w:numPr>
          <w:ilvl w:val="0"/>
          <w:numId w:val="91"/>
        </w:numPr>
        <w:rPr>
          <w:bCs/>
        </w:rPr>
      </w:pPr>
      <w:r w:rsidRPr="00FA6A78">
        <w:rPr>
          <w:bCs/>
        </w:rPr>
        <w:lastRenderedPageBreak/>
        <w:t>21 juli;</w:t>
      </w:r>
    </w:p>
    <w:p w14:paraId="1E907DE7" w14:textId="16C26AD5" w:rsidR="00FA6A78" w:rsidRPr="00FA6A78" w:rsidRDefault="00FA6A78" w:rsidP="009D4C40">
      <w:pPr>
        <w:pStyle w:val="Lijstalinea"/>
        <w:numPr>
          <w:ilvl w:val="0"/>
          <w:numId w:val="91"/>
        </w:numPr>
        <w:rPr>
          <w:bCs/>
        </w:rPr>
      </w:pPr>
      <w:r w:rsidRPr="00FA6A78">
        <w:rPr>
          <w:bCs/>
        </w:rPr>
        <w:t>15 augustus;</w:t>
      </w:r>
    </w:p>
    <w:p w14:paraId="283ABF1E" w14:textId="3B0D84C3" w:rsidR="00FA6A78" w:rsidRDefault="00FA6A78" w:rsidP="009D4C40">
      <w:pPr>
        <w:pStyle w:val="Lijstalinea"/>
        <w:numPr>
          <w:ilvl w:val="0"/>
          <w:numId w:val="91"/>
        </w:numPr>
        <w:rPr>
          <w:bCs/>
        </w:rPr>
      </w:pPr>
      <w:r w:rsidRPr="00FA6A78">
        <w:rPr>
          <w:bCs/>
        </w:rPr>
        <w:t>1 november;</w:t>
      </w:r>
    </w:p>
    <w:p w14:paraId="6C5DAB43" w14:textId="361602DC" w:rsidR="00C82159" w:rsidRPr="00FA6A78" w:rsidRDefault="00C82159" w:rsidP="009D4C40">
      <w:pPr>
        <w:pStyle w:val="Lijstalinea"/>
        <w:numPr>
          <w:ilvl w:val="0"/>
          <w:numId w:val="91"/>
        </w:numPr>
        <w:rPr>
          <w:bCs/>
        </w:rPr>
      </w:pPr>
      <w:r>
        <w:rPr>
          <w:bCs/>
        </w:rPr>
        <w:t>2 november (bijkomende feestdag);</w:t>
      </w:r>
    </w:p>
    <w:p w14:paraId="70C29E37" w14:textId="24E53DB5" w:rsidR="00FA6A78" w:rsidRPr="00FA6A78" w:rsidRDefault="00FA6A78" w:rsidP="009D4C40">
      <w:pPr>
        <w:pStyle w:val="Lijstalinea"/>
        <w:numPr>
          <w:ilvl w:val="0"/>
          <w:numId w:val="91"/>
        </w:numPr>
        <w:rPr>
          <w:bCs/>
        </w:rPr>
      </w:pPr>
      <w:r w:rsidRPr="00FA6A78">
        <w:rPr>
          <w:bCs/>
        </w:rPr>
        <w:t>11 november;</w:t>
      </w:r>
    </w:p>
    <w:p w14:paraId="753C8649" w14:textId="4917EE19" w:rsidR="00FA6A78" w:rsidRDefault="00FA6A78" w:rsidP="009D4C40">
      <w:pPr>
        <w:pStyle w:val="Lijstalinea"/>
        <w:numPr>
          <w:ilvl w:val="0"/>
          <w:numId w:val="91"/>
        </w:numPr>
        <w:rPr>
          <w:bCs/>
        </w:rPr>
      </w:pPr>
      <w:r w:rsidRPr="00FA6A78">
        <w:rPr>
          <w:bCs/>
        </w:rPr>
        <w:t>25 december</w:t>
      </w:r>
      <w:r w:rsidR="00C82159">
        <w:rPr>
          <w:bCs/>
        </w:rPr>
        <w:t>;</w:t>
      </w:r>
    </w:p>
    <w:p w14:paraId="3CD3CA1B" w14:textId="64715EBB" w:rsidR="00C82159" w:rsidRDefault="00C82159" w:rsidP="009D4C40">
      <w:pPr>
        <w:pStyle w:val="Lijstalinea"/>
        <w:numPr>
          <w:ilvl w:val="0"/>
          <w:numId w:val="91"/>
        </w:numPr>
        <w:rPr>
          <w:bCs/>
        </w:rPr>
      </w:pPr>
      <w:r>
        <w:rPr>
          <w:bCs/>
        </w:rPr>
        <w:t>26 december (bijkomende feestdag);</w:t>
      </w:r>
    </w:p>
    <w:p w14:paraId="3DED72ED" w14:textId="6E9A4D4D" w:rsidR="00C82159" w:rsidRPr="00FA6A78" w:rsidRDefault="00C82159" w:rsidP="009D4C40">
      <w:pPr>
        <w:pStyle w:val="Lijstalinea"/>
        <w:numPr>
          <w:ilvl w:val="0"/>
          <w:numId w:val="91"/>
        </w:numPr>
        <w:rPr>
          <w:bCs/>
        </w:rPr>
      </w:pPr>
      <w:r>
        <w:rPr>
          <w:bCs/>
        </w:rPr>
        <w:t>31 december (bijkomende feestdag)</w:t>
      </w:r>
    </w:p>
    <w:p w14:paraId="31FA1E7A" w14:textId="643F846B" w:rsidR="00FA6A78" w:rsidRPr="00FA6A78" w:rsidRDefault="00FA6A78" w:rsidP="00FA6A78">
      <w:pPr>
        <w:ind w:left="0"/>
        <w:rPr>
          <w:bCs/>
        </w:rPr>
      </w:pPr>
      <w:r w:rsidRPr="00FA6A78">
        <w:rPr>
          <w:bCs/>
        </w:rPr>
        <w:t xml:space="preserve">§2. Als een feestdag samenvalt met een normale </w:t>
      </w:r>
      <w:proofErr w:type="spellStart"/>
      <w:r w:rsidRPr="00FA6A78">
        <w:rPr>
          <w:bCs/>
        </w:rPr>
        <w:t>inactiviteitsdag</w:t>
      </w:r>
      <w:proofErr w:type="spellEnd"/>
      <w:r w:rsidRPr="00FA6A78">
        <w:rPr>
          <w:bCs/>
        </w:rPr>
        <w:t xml:space="preserve"> van een voltijds personeelslid wordt deze dag vervangen door een andere dag en mag deze worden opgenomen zoals de jaarlijkse vakantiedagen</w:t>
      </w:r>
      <w:r w:rsidR="008148D4">
        <w:rPr>
          <w:bCs/>
        </w:rPr>
        <w:t xml:space="preserve"> a rato</w:t>
      </w:r>
      <w:r w:rsidR="009A4BF3">
        <w:rPr>
          <w:bCs/>
        </w:rPr>
        <w:t xml:space="preserve"> van de geldende prestatiebreuk.</w:t>
      </w:r>
    </w:p>
    <w:p w14:paraId="21EE810D" w14:textId="07B59493" w:rsidR="00FA6A78" w:rsidRPr="004852F1" w:rsidRDefault="00FA6A78" w:rsidP="00FA6A78">
      <w:pPr>
        <w:ind w:left="0"/>
        <w:rPr>
          <w:b/>
        </w:rPr>
      </w:pPr>
      <w:r w:rsidRPr="004852F1">
        <w:rPr>
          <w:b/>
        </w:rPr>
        <w:t xml:space="preserve">Artikel </w:t>
      </w:r>
      <w:r w:rsidR="008E0576">
        <w:rPr>
          <w:b/>
        </w:rPr>
        <w:t>173</w:t>
      </w:r>
    </w:p>
    <w:p w14:paraId="55D99A93" w14:textId="77777777" w:rsidR="00FA6A78" w:rsidRPr="00FA6A78" w:rsidRDefault="00FA6A78" w:rsidP="00FA6A78">
      <w:pPr>
        <w:ind w:left="0"/>
        <w:rPr>
          <w:bCs/>
        </w:rPr>
      </w:pPr>
      <w:r w:rsidRPr="00FA6A78">
        <w:rPr>
          <w:bCs/>
        </w:rPr>
        <w:t>§1. Wanneer een feestdag samenvalt met een dag waarop het personeelslid normaal arbeid verricht, wordt voor de feestdag het aantal uren in aanmerking genomen dat krachtens de arbeidsregeling op die dag van toepassing is.</w:t>
      </w:r>
    </w:p>
    <w:p w14:paraId="180BE4DA" w14:textId="116125A3" w:rsidR="00FA6A78" w:rsidRPr="00FA6A78" w:rsidRDefault="00FA6A78" w:rsidP="00FA6A78">
      <w:pPr>
        <w:ind w:left="0"/>
        <w:rPr>
          <w:bCs/>
        </w:rPr>
      </w:pPr>
      <w:r w:rsidRPr="00FA6A78">
        <w:rPr>
          <w:bCs/>
        </w:rPr>
        <w:t xml:space="preserve">§2. Wanneer bij een deeltijds tewerkgesteld personeelslid </w:t>
      </w:r>
      <w:r w:rsidRPr="00623BA1">
        <w:rPr>
          <w:bCs/>
        </w:rPr>
        <w:t>een</w:t>
      </w:r>
      <w:r w:rsidRPr="00FA6A78">
        <w:rPr>
          <w:bCs/>
        </w:rPr>
        <w:t xml:space="preserve"> feestdag samenvalt met een dag waarop het personeelslid normaal geen arbeid verricht, heeft het personeelslid geen recht op compensatie.</w:t>
      </w:r>
    </w:p>
    <w:p w14:paraId="1B5744CE" w14:textId="77777777" w:rsidR="00FA6A78" w:rsidRPr="00FA6A78" w:rsidRDefault="00FA6A78" w:rsidP="00FA6A78">
      <w:pPr>
        <w:ind w:left="0"/>
        <w:rPr>
          <w:bCs/>
        </w:rPr>
      </w:pPr>
      <w:r w:rsidRPr="00FA6A78">
        <w:rPr>
          <w:bCs/>
        </w:rPr>
        <w:t>§3. Wanneer bij een deeltijds tewerkgesteld personeelslid met een variabel uurrooster een feestdag samenvalt met een dag waarop voor het personeelslid volgens het uurrooster geen prestaties werden ingepland, heeft het personeelslid recht op compensatierust ter waarde van het gemiddeld aantal uren per dag volgens de prestatiebreuk uitgedrukt in een 5-dagenweek (Q/5).</w:t>
      </w:r>
    </w:p>
    <w:p w14:paraId="7DF762DB" w14:textId="69CB2DCA" w:rsidR="00FA6A78" w:rsidRPr="004852F1" w:rsidRDefault="00FA6A78" w:rsidP="00FA6A78">
      <w:pPr>
        <w:ind w:left="0"/>
        <w:rPr>
          <w:b/>
        </w:rPr>
      </w:pPr>
      <w:r w:rsidRPr="004852F1">
        <w:rPr>
          <w:b/>
        </w:rPr>
        <w:t xml:space="preserve">Artikel </w:t>
      </w:r>
      <w:r w:rsidR="008E0576">
        <w:rPr>
          <w:b/>
        </w:rPr>
        <w:t>174</w:t>
      </w:r>
    </w:p>
    <w:p w14:paraId="07001BD4" w14:textId="5ADA9872" w:rsidR="00FA6A78" w:rsidRDefault="00FA6A78" w:rsidP="00FA6A78">
      <w:pPr>
        <w:ind w:left="0"/>
        <w:rPr>
          <w:bCs/>
        </w:rPr>
      </w:pPr>
      <w:r w:rsidRPr="00FA6A78">
        <w:rPr>
          <w:bCs/>
        </w:rPr>
        <w:t>Wanneer een personeelslid arbeid moet verrichten op een feestdag heeft deze recht op effectief betaalde inhaalrust.</w:t>
      </w:r>
    </w:p>
    <w:p w14:paraId="3195D3C6" w14:textId="7BF757F0" w:rsidR="00FA6A78" w:rsidRPr="002B5B4B" w:rsidRDefault="00FA6A78" w:rsidP="00FA6A78">
      <w:pPr>
        <w:ind w:left="0"/>
        <w:rPr>
          <w:b/>
        </w:rPr>
      </w:pPr>
      <w:r w:rsidRPr="002B5B4B">
        <w:rPr>
          <w:b/>
        </w:rPr>
        <w:t xml:space="preserve">Artikel </w:t>
      </w:r>
      <w:r w:rsidR="008E0576">
        <w:rPr>
          <w:b/>
        </w:rPr>
        <w:t>175</w:t>
      </w:r>
    </w:p>
    <w:p w14:paraId="5BEA1996" w14:textId="6728C4E9" w:rsidR="00FA6A78" w:rsidRPr="00FA6A78" w:rsidRDefault="00FA6A78" w:rsidP="00FA6A78">
      <w:pPr>
        <w:ind w:left="0"/>
        <w:rPr>
          <w:bCs/>
        </w:rPr>
      </w:pPr>
      <w:r w:rsidRPr="00FA6A78">
        <w:rPr>
          <w:bCs/>
        </w:rPr>
        <w:t>§1. Personeelsleden</w:t>
      </w:r>
      <w:r w:rsidR="00DB7801">
        <w:rPr>
          <w:bCs/>
        </w:rPr>
        <w:t xml:space="preserve">, zoals bedoeld in artikel 2 </w:t>
      </w:r>
      <w:r w:rsidR="00DB7801" w:rsidRPr="00DE5762">
        <w:rPr>
          <w:rFonts w:eastAsiaTheme="minorHAnsi" w:cs="Arial"/>
          <w:lang w:val="nl-BE" w:eastAsia="en-US"/>
        </w:rPr>
        <w:t>§</w:t>
      </w:r>
      <w:r w:rsidR="00DB7801">
        <w:rPr>
          <w:rFonts w:eastAsiaTheme="minorHAnsi" w:cs="Arial"/>
          <w:lang w:val="nl-BE" w:eastAsia="en-US"/>
        </w:rPr>
        <w:t>2,</w:t>
      </w:r>
      <w:r w:rsidRPr="00FA6A78">
        <w:rPr>
          <w:bCs/>
        </w:rPr>
        <w:t xml:space="preserve"> hebben recht op bezoldigde afwezigheid op al de volgende feestdagen:</w:t>
      </w:r>
    </w:p>
    <w:p w14:paraId="3EE47459" w14:textId="5E841093" w:rsidR="00FA6A78" w:rsidRPr="002B5B4B" w:rsidRDefault="00FA6A78" w:rsidP="009D4C40">
      <w:pPr>
        <w:pStyle w:val="Lijstalinea"/>
        <w:numPr>
          <w:ilvl w:val="0"/>
          <w:numId w:val="92"/>
        </w:numPr>
        <w:rPr>
          <w:bCs/>
        </w:rPr>
      </w:pPr>
      <w:r w:rsidRPr="002B5B4B">
        <w:rPr>
          <w:bCs/>
        </w:rPr>
        <w:t>1 januari;</w:t>
      </w:r>
    </w:p>
    <w:p w14:paraId="5D50408A" w14:textId="4B357BAF" w:rsidR="00FA6A78" w:rsidRPr="002B5B4B" w:rsidRDefault="00FA6A78" w:rsidP="009D4C40">
      <w:pPr>
        <w:pStyle w:val="Lijstalinea"/>
        <w:numPr>
          <w:ilvl w:val="0"/>
          <w:numId w:val="92"/>
        </w:numPr>
        <w:rPr>
          <w:bCs/>
        </w:rPr>
      </w:pPr>
      <w:r w:rsidRPr="002B5B4B">
        <w:rPr>
          <w:bCs/>
        </w:rPr>
        <w:t>Paasmaandag;</w:t>
      </w:r>
    </w:p>
    <w:p w14:paraId="6AC8CF8A" w14:textId="011D485C" w:rsidR="00FA6A78" w:rsidRPr="002B5B4B" w:rsidRDefault="00FA6A78" w:rsidP="009D4C40">
      <w:pPr>
        <w:pStyle w:val="Lijstalinea"/>
        <w:numPr>
          <w:ilvl w:val="0"/>
          <w:numId w:val="92"/>
        </w:numPr>
        <w:rPr>
          <w:bCs/>
        </w:rPr>
      </w:pPr>
      <w:r w:rsidRPr="002B5B4B">
        <w:rPr>
          <w:bCs/>
        </w:rPr>
        <w:t>1 mei;</w:t>
      </w:r>
    </w:p>
    <w:p w14:paraId="34CEC011" w14:textId="5F9CB83B" w:rsidR="00FA6A78" w:rsidRPr="002B5B4B" w:rsidRDefault="00FA6A78" w:rsidP="009D4C40">
      <w:pPr>
        <w:pStyle w:val="Lijstalinea"/>
        <w:numPr>
          <w:ilvl w:val="0"/>
          <w:numId w:val="92"/>
        </w:numPr>
        <w:rPr>
          <w:bCs/>
        </w:rPr>
      </w:pPr>
      <w:r w:rsidRPr="002B5B4B">
        <w:rPr>
          <w:bCs/>
        </w:rPr>
        <w:t>Hemelvaartsdag;</w:t>
      </w:r>
    </w:p>
    <w:p w14:paraId="7AAB2B68" w14:textId="0B9FB2DC" w:rsidR="00FA6A78" w:rsidRPr="002B5B4B" w:rsidRDefault="00FA6A78" w:rsidP="009D4C40">
      <w:pPr>
        <w:pStyle w:val="Lijstalinea"/>
        <w:numPr>
          <w:ilvl w:val="0"/>
          <w:numId w:val="92"/>
        </w:numPr>
        <w:rPr>
          <w:bCs/>
        </w:rPr>
      </w:pPr>
      <w:r w:rsidRPr="002B5B4B">
        <w:rPr>
          <w:bCs/>
        </w:rPr>
        <w:t>Pinkstermaandag;</w:t>
      </w:r>
    </w:p>
    <w:p w14:paraId="13AD2FD1" w14:textId="390A1229" w:rsidR="00FA6A78" w:rsidRPr="002B5B4B" w:rsidRDefault="00FA6A78" w:rsidP="009D4C40">
      <w:pPr>
        <w:pStyle w:val="Lijstalinea"/>
        <w:numPr>
          <w:ilvl w:val="0"/>
          <w:numId w:val="92"/>
        </w:numPr>
        <w:rPr>
          <w:bCs/>
        </w:rPr>
      </w:pPr>
      <w:r w:rsidRPr="002B5B4B">
        <w:rPr>
          <w:bCs/>
        </w:rPr>
        <w:t>11 juli;</w:t>
      </w:r>
    </w:p>
    <w:p w14:paraId="7610224A" w14:textId="4D721B11" w:rsidR="00FA6A78" w:rsidRPr="002B5B4B" w:rsidRDefault="00FA6A78" w:rsidP="009D4C40">
      <w:pPr>
        <w:pStyle w:val="Lijstalinea"/>
        <w:numPr>
          <w:ilvl w:val="0"/>
          <w:numId w:val="92"/>
        </w:numPr>
        <w:rPr>
          <w:bCs/>
        </w:rPr>
      </w:pPr>
      <w:r w:rsidRPr="002B5B4B">
        <w:rPr>
          <w:bCs/>
        </w:rPr>
        <w:t>21 juli;</w:t>
      </w:r>
    </w:p>
    <w:p w14:paraId="64006804" w14:textId="5F7FA8E3" w:rsidR="00FA6A78" w:rsidRPr="002B5B4B" w:rsidRDefault="00FA6A78" w:rsidP="009D4C40">
      <w:pPr>
        <w:pStyle w:val="Lijstalinea"/>
        <w:numPr>
          <w:ilvl w:val="0"/>
          <w:numId w:val="92"/>
        </w:numPr>
        <w:rPr>
          <w:bCs/>
        </w:rPr>
      </w:pPr>
      <w:r w:rsidRPr="002B5B4B">
        <w:rPr>
          <w:bCs/>
        </w:rPr>
        <w:t>15 augustus;</w:t>
      </w:r>
    </w:p>
    <w:p w14:paraId="7EA35A75" w14:textId="410B6E8D" w:rsidR="00FA6A78" w:rsidRDefault="00FA6A78" w:rsidP="009D4C40">
      <w:pPr>
        <w:pStyle w:val="Lijstalinea"/>
        <w:numPr>
          <w:ilvl w:val="0"/>
          <w:numId w:val="92"/>
        </w:numPr>
        <w:rPr>
          <w:bCs/>
        </w:rPr>
      </w:pPr>
      <w:r w:rsidRPr="002B5B4B">
        <w:rPr>
          <w:bCs/>
        </w:rPr>
        <w:t>1 november;</w:t>
      </w:r>
    </w:p>
    <w:p w14:paraId="42E93DE6" w14:textId="5EE7A91A" w:rsidR="005E01B8" w:rsidRPr="00DB7801" w:rsidRDefault="005E01B8" w:rsidP="009D4C40">
      <w:pPr>
        <w:pStyle w:val="Lijstalinea"/>
        <w:numPr>
          <w:ilvl w:val="0"/>
          <w:numId w:val="92"/>
        </w:numPr>
        <w:rPr>
          <w:bCs/>
        </w:rPr>
      </w:pPr>
      <w:r w:rsidRPr="00DB7801">
        <w:rPr>
          <w:bCs/>
        </w:rPr>
        <w:t>2 november (bijkomende feestdag)</w:t>
      </w:r>
      <w:r w:rsidR="003B29E2">
        <w:rPr>
          <w:bCs/>
        </w:rPr>
        <w:t>;</w:t>
      </w:r>
    </w:p>
    <w:p w14:paraId="5BD2481E" w14:textId="43C18AC9" w:rsidR="00FA6A78" w:rsidRPr="00DB7801" w:rsidRDefault="00FA6A78" w:rsidP="009D4C40">
      <w:pPr>
        <w:pStyle w:val="Lijstalinea"/>
        <w:numPr>
          <w:ilvl w:val="0"/>
          <w:numId w:val="92"/>
        </w:numPr>
        <w:rPr>
          <w:bCs/>
        </w:rPr>
      </w:pPr>
      <w:r w:rsidRPr="00DB7801">
        <w:rPr>
          <w:bCs/>
        </w:rPr>
        <w:t>11 november;</w:t>
      </w:r>
    </w:p>
    <w:p w14:paraId="2D258C6E" w14:textId="08A9EE0A" w:rsidR="00FA6A78" w:rsidRPr="00DB7801" w:rsidRDefault="00FA6A78" w:rsidP="009D4C40">
      <w:pPr>
        <w:pStyle w:val="Lijstalinea"/>
        <w:numPr>
          <w:ilvl w:val="0"/>
          <w:numId w:val="92"/>
        </w:numPr>
        <w:rPr>
          <w:bCs/>
        </w:rPr>
      </w:pPr>
      <w:r w:rsidRPr="00DB7801">
        <w:rPr>
          <w:bCs/>
        </w:rPr>
        <w:t>25 december</w:t>
      </w:r>
      <w:r w:rsidR="003B29E2">
        <w:rPr>
          <w:bCs/>
        </w:rPr>
        <w:t>;</w:t>
      </w:r>
    </w:p>
    <w:p w14:paraId="36B327CC" w14:textId="7A1DA8F5" w:rsidR="005E01B8" w:rsidRPr="00DB7801" w:rsidRDefault="005E01B8" w:rsidP="009D4C40">
      <w:pPr>
        <w:pStyle w:val="Lijstalinea"/>
        <w:numPr>
          <w:ilvl w:val="0"/>
          <w:numId w:val="92"/>
        </w:numPr>
        <w:rPr>
          <w:bCs/>
        </w:rPr>
      </w:pPr>
      <w:r w:rsidRPr="00DB7801">
        <w:rPr>
          <w:bCs/>
        </w:rPr>
        <w:t>26 december (bijkomende feestdag)</w:t>
      </w:r>
      <w:r w:rsidR="003B29E2">
        <w:rPr>
          <w:bCs/>
        </w:rPr>
        <w:t>;</w:t>
      </w:r>
    </w:p>
    <w:p w14:paraId="194D93CC" w14:textId="36C95E1A" w:rsidR="005E01B8" w:rsidRPr="00DB7801" w:rsidRDefault="005E01B8" w:rsidP="009D4C40">
      <w:pPr>
        <w:pStyle w:val="Lijstalinea"/>
        <w:numPr>
          <w:ilvl w:val="0"/>
          <w:numId w:val="92"/>
        </w:numPr>
        <w:rPr>
          <w:bCs/>
        </w:rPr>
      </w:pPr>
      <w:r w:rsidRPr="00DB7801">
        <w:rPr>
          <w:bCs/>
        </w:rPr>
        <w:t>31 december (bijkomende feestdag)</w:t>
      </w:r>
    </w:p>
    <w:p w14:paraId="14891029" w14:textId="1E708C43" w:rsidR="00FA6A78" w:rsidRPr="00DB7801" w:rsidRDefault="00FA6A78" w:rsidP="00FA6A78">
      <w:pPr>
        <w:ind w:left="0"/>
        <w:rPr>
          <w:bCs/>
        </w:rPr>
      </w:pPr>
      <w:r w:rsidRPr="00FA6A78">
        <w:rPr>
          <w:bCs/>
        </w:rPr>
        <w:t xml:space="preserve">§2. Voor de feestdagen vermeld in §1 (uitgezonderd 11 </w:t>
      </w:r>
      <w:r w:rsidRPr="00DB7801">
        <w:rPr>
          <w:bCs/>
        </w:rPr>
        <w:t>juli</w:t>
      </w:r>
      <w:r w:rsidR="005E01B8" w:rsidRPr="00DB7801">
        <w:rPr>
          <w:bCs/>
        </w:rPr>
        <w:t>, 2 november, 26 december en 31 december</w:t>
      </w:r>
      <w:r w:rsidRPr="00DB7801">
        <w:rPr>
          <w:bCs/>
        </w:rPr>
        <w:t>) zijn de bepalingen van de wet van 4 januari 1974 integraal van toepassing.</w:t>
      </w:r>
    </w:p>
    <w:p w14:paraId="693DB136" w14:textId="0D16440C" w:rsidR="00FA6A78" w:rsidRPr="00FA6A78" w:rsidRDefault="00FA6A78" w:rsidP="00FA6A78">
      <w:pPr>
        <w:ind w:left="0"/>
        <w:rPr>
          <w:bCs/>
        </w:rPr>
      </w:pPr>
      <w:r w:rsidRPr="00DB7801">
        <w:rPr>
          <w:bCs/>
        </w:rPr>
        <w:t>§3. Voor de feestdag van 11 juli</w:t>
      </w:r>
      <w:r w:rsidR="003B29E2">
        <w:rPr>
          <w:bCs/>
        </w:rPr>
        <w:t>,</w:t>
      </w:r>
      <w:r w:rsidR="005E01B8" w:rsidRPr="00DB7801">
        <w:rPr>
          <w:bCs/>
        </w:rPr>
        <w:t xml:space="preserve"> 2 november, 26 december en 31 december</w:t>
      </w:r>
      <w:r w:rsidRPr="00DB7801">
        <w:rPr>
          <w:bCs/>
        </w:rPr>
        <w:t xml:space="preserve"> zijn onderstaande bepalingen van toepassing:</w:t>
      </w:r>
    </w:p>
    <w:p w14:paraId="7EC446EB" w14:textId="4DD0A741" w:rsidR="00FA6A78" w:rsidRPr="00E83709" w:rsidRDefault="00FA6A78" w:rsidP="009D4C40">
      <w:pPr>
        <w:pStyle w:val="Lijstalinea"/>
        <w:numPr>
          <w:ilvl w:val="0"/>
          <w:numId w:val="93"/>
        </w:numPr>
        <w:rPr>
          <w:bCs/>
        </w:rPr>
      </w:pPr>
      <w:r w:rsidRPr="00E83709">
        <w:rPr>
          <w:bCs/>
        </w:rPr>
        <w:t xml:space="preserve">Als de feestdag samenvalt met een normale </w:t>
      </w:r>
      <w:proofErr w:type="spellStart"/>
      <w:r w:rsidRPr="00E83709">
        <w:rPr>
          <w:bCs/>
        </w:rPr>
        <w:t>inactiviteitsdag</w:t>
      </w:r>
      <w:proofErr w:type="spellEnd"/>
      <w:r w:rsidRPr="00E83709">
        <w:rPr>
          <w:bCs/>
        </w:rPr>
        <w:t xml:space="preserve"> van een voltijds personeelslid wordt deze dag vervangen door een andere dag en mag deze worden opgenomen zoals de jaarlijkse vakantiedagen.</w:t>
      </w:r>
    </w:p>
    <w:p w14:paraId="4AE1B190" w14:textId="7218757E" w:rsidR="00FA6A78" w:rsidRPr="00E83709" w:rsidRDefault="00FA6A78" w:rsidP="009D4C40">
      <w:pPr>
        <w:pStyle w:val="Lijstalinea"/>
        <w:numPr>
          <w:ilvl w:val="0"/>
          <w:numId w:val="93"/>
        </w:numPr>
        <w:rPr>
          <w:bCs/>
        </w:rPr>
      </w:pPr>
      <w:r w:rsidRPr="00E83709">
        <w:rPr>
          <w:bCs/>
        </w:rPr>
        <w:lastRenderedPageBreak/>
        <w:t>Wanneer de feestdag samenvalt met een dag waarop het personeelslid normaal arbeid verricht, wordt voor de feestdag het aantal uren in aanmerking genomen dat krachtens de arbeidsregeling op die dag van toepassing is.</w:t>
      </w:r>
    </w:p>
    <w:p w14:paraId="4F65B575" w14:textId="126A4B94" w:rsidR="00FA6A78" w:rsidRPr="00E83709" w:rsidRDefault="00FA6A78" w:rsidP="009D4C40">
      <w:pPr>
        <w:pStyle w:val="Lijstalinea"/>
        <w:numPr>
          <w:ilvl w:val="0"/>
          <w:numId w:val="93"/>
        </w:numPr>
        <w:rPr>
          <w:bCs/>
        </w:rPr>
      </w:pPr>
      <w:r w:rsidRPr="00E83709">
        <w:rPr>
          <w:bCs/>
        </w:rPr>
        <w:t>Wanneer bij een deeltijds tewerkgesteld personeelslid met een vast uurrooster deze feestdag samenvalt met een dag waarop het personeelslid normaal geen arbeid verricht, heeft het personeelslid geen recht op compensatie.</w:t>
      </w:r>
    </w:p>
    <w:p w14:paraId="0BEF22AC" w14:textId="435F081B" w:rsidR="00FA6A78" w:rsidRPr="00E83709" w:rsidRDefault="00FA6A78" w:rsidP="009D4C40">
      <w:pPr>
        <w:pStyle w:val="Lijstalinea"/>
        <w:numPr>
          <w:ilvl w:val="0"/>
          <w:numId w:val="93"/>
        </w:numPr>
        <w:rPr>
          <w:bCs/>
        </w:rPr>
      </w:pPr>
      <w:r w:rsidRPr="00E83709">
        <w:rPr>
          <w:bCs/>
        </w:rPr>
        <w:t>Wanneer bij een deeltijds tewerkgesteld personeelslid met een variabel uurrooster deze feestdag samenvalt met een dag waarop voor het personeelslid volgens het uurrooster geen prestaties werden ingepland, heeft het personeelslid recht op compensatierust ter waarde van het gemiddeld aantal uren per dag volgens de prestatiebreuk uitgedrukt in een 5-dagenweek (Q/5).</w:t>
      </w:r>
    </w:p>
    <w:p w14:paraId="7011D9CD" w14:textId="24017B18" w:rsidR="00FA6A78" w:rsidRPr="00E83709" w:rsidRDefault="00FA6A78" w:rsidP="009D4C40">
      <w:pPr>
        <w:pStyle w:val="Lijstalinea"/>
        <w:numPr>
          <w:ilvl w:val="0"/>
          <w:numId w:val="93"/>
        </w:numPr>
        <w:rPr>
          <w:bCs/>
        </w:rPr>
      </w:pPr>
      <w:r w:rsidRPr="00E83709">
        <w:rPr>
          <w:bCs/>
        </w:rPr>
        <w:t>Wanneer een personeelslid arbeid moet verrichten op deze feestdag heeft deze recht op effectief betaalde inhaalrust</w:t>
      </w:r>
      <w:r w:rsidR="003A7152">
        <w:rPr>
          <w:bCs/>
        </w:rPr>
        <w:t>.</w:t>
      </w:r>
    </w:p>
    <w:p w14:paraId="0327B74F" w14:textId="1AC50EDB" w:rsidR="003A11FB" w:rsidRPr="00F36553" w:rsidRDefault="003A11FB" w:rsidP="00F36553">
      <w:pPr>
        <w:ind w:left="0"/>
        <w:rPr>
          <w:bCs/>
        </w:rPr>
      </w:pPr>
    </w:p>
    <w:p w14:paraId="32867540" w14:textId="0772BCF0" w:rsidR="00A30779" w:rsidRPr="00F36553" w:rsidRDefault="007904B3" w:rsidP="00F36553">
      <w:pPr>
        <w:ind w:left="0"/>
        <w:rPr>
          <w:strike/>
        </w:rPr>
      </w:pPr>
      <w:r w:rsidRPr="00BA4A02">
        <w:rPr>
          <w:strike/>
        </w:rPr>
        <w:br w:type="page"/>
      </w:r>
    </w:p>
    <w:p w14:paraId="69B0C86B" w14:textId="74B3E9C3" w:rsidR="00A30779" w:rsidRDefault="00A30779" w:rsidP="00B44CF7">
      <w:pPr>
        <w:pStyle w:val="Kop2"/>
      </w:pPr>
      <w:bookmarkStart w:id="240" w:name="_Toc215739034"/>
      <w:r>
        <w:lastRenderedPageBreak/>
        <w:t xml:space="preserve">Hoofdstuk </w:t>
      </w:r>
      <w:r w:rsidR="007E74A2">
        <w:t>iv</w:t>
      </w:r>
      <w:r>
        <w:t xml:space="preserve">: </w:t>
      </w:r>
      <w:r w:rsidR="005C7390">
        <w:t>z</w:t>
      </w:r>
      <w:r>
        <w:t>wangerschap en bevallingsverlof</w:t>
      </w:r>
      <w:bookmarkEnd w:id="240"/>
    </w:p>
    <w:p w14:paraId="786A59F9" w14:textId="346E0ECB" w:rsidR="00A30779" w:rsidRPr="00A30779" w:rsidRDefault="00A30779" w:rsidP="00A30779">
      <w:pPr>
        <w:pStyle w:val="StandaardUitvullen"/>
        <w:ind w:left="0"/>
        <w:rPr>
          <w:b/>
          <w:bCs/>
        </w:rPr>
      </w:pPr>
      <w:r w:rsidRPr="00A30779">
        <w:rPr>
          <w:b/>
          <w:bCs/>
        </w:rPr>
        <w:t xml:space="preserve">Artikel </w:t>
      </w:r>
      <w:r w:rsidR="008E0576">
        <w:rPr>
          <w:b/>
          <w:bCs/>
        </w:rPr>
        <w:t>176</w:t>
      </w:r>
    </w:p>
    <w:p w14:paraId="230A94E1" w14:textId="77777777" w:rsidR="00A30779" w:rsidRDefault="00A30779" w:rsidP="00A30779">
      <w:pPr>
        <w:pStyle w:val="StandaardUitvullen"/>
        <w:ind w:left="0"/>
      </w:pPr>
      <w:r>
        <w:t>Het zwangerschaps- en bevallingsverlof wordt aan personeelsleden toegekend conform hoofdstuk IV van de Arbeidswet van 16 maart 1971.</w:t>
      </w:r>
    </w:p>
    <w:p w14:paraId="67FE331C" w14:textId="77777777" w:rsidR="00A30779" w:rsidRDefault="00A30779" w:rsidP="00A30779">
      <w:pPr>
        <w:pStyle w:val="StandaardUitvullen"/>
        <w:ind w:left="0"/>
      </w:pPr>
      <w:r>
        <w:t>Statutaire personeelsleden behouden hun salaris tijdens het zwangerschaps- en bevallingsverlof, op voorwaarde dat ze alle beroepswerkzaamheid staken.</w:t>
      </w:r>
    </w:p>
    <w:p w14:paraId="1DFB9BEE" w14:textId="002326F9" w:rsidR="00A30779" w:rsidRPr="00A30779" w:rsidRDefault="00A30779" w:rsidP="00A30779">
      <w:pPr>
        <w:pStyle w:val="StandaardUitvullen"/>
        <w:ind w:left="0"/>
        <w:rPr>
          <w:b/>
          <w:bCs/>
        </w:rPr>
      </w:pPr>
      <w:r w:rsidRPr="00A30779">
        <w:rPr>
          <w:b/>
          <w:bCs/>
        </w:rPr>
        <w:t xml:space="preserve">Artikel </w:t>
      </w:r>
      <w:r w:rsidR="008E0576">
        <w:rPr>
          <w:b/>
          <w:bCs/>
        </w:rPr>
        <w:t>177</w:t>
      </w:r>
    </w:p>
    <w:p w14:paraId="5899BC5F" w14:textId="77777777" w:rsidR="00A30779" w:rsidRDefault="00A30779" w:rsidP="00A30779">
      <w:pPr>
        <w:pStyle w:val="StandaardUitvullen"/>
        <w:ind w:left="0"/>
      </w:pPr>
      <w:r>
        <w:t>Bij een verlenging van de postnatale rustperiode conform artikel 39, vijfde lid, van de Arbeidswet van 16 maart 1971 behouden statutaire personeelsleden tijdens de duur van die verlenging hun salaris.</w:t>
      </w:r>
    </w:p>
    <w:p w14:paraId="1CDC6A38" w14:textId="2C68F945" w:rsidR="00A30779" w:rsidRPr="00A30779" w:rsidRDefault="00A30779" w:rsidP="00A30779">
      <w:pPr>
        <w:pStyle w:val="StandaardUitvullen"/>
        <w:ind w:left="0"/>
        <w:rPr>
          <w:b/>
          <w:bCs/>
        </w:rPr>
      </w:pPr>
      <w:r w:rsidRPr="00A30779">
        <w:rPr>
          <w:b/>
          <w:bCs/>
        </w:rPr>
        <w:t xml:space="preserve">Artikel </w:t>
      </w:r>
      <w:r w:rsidR="008E0576">
        <w:rPr>
          <w:b/>
          <w:bCs/>
        </w:rPr>
        <w:t>178</w:t>
      </w:r>
    </w:p>
    <w:p w14:paraId="4EE3BACA" w14:textId="56ED9596" w:rsidR="00A30779" w:rsidRPr="00FD7E2F" w:rsidRDefault="00A30779" w:rsidP="00A30779">
      <w:pPr>
        <w:pStyle w:val="StandaardUitvullen"/>
        <w:ind w:left="0"/>
      </w:pPr>
      <w:r>
        <w:t xml:space="preserve">§1. Als de moeder overlijdt, heeft </w:t>
      </w:r>
      <w:r w:rsidRPr="00FD7E2F">
        <w:t xml:space="preserve">het personeelslid dat vader of meemoeder van het kind is, recht op vaderschaps- of </w:t>
      </w:r>
      <w:proofErr w:type="spellStart"/>
      <w:r w:rsidRPr="00FD7E2F">
        <w:t>meemoederschapsverlof</w:t>
      </w:r>
      <w:proofErr w:type="spellEnd"/>
      <w:r w:rsidRPr="00FD7E2F">
        <w:t xml:space="preserve"> dat niet langer mag duren dan het deel van het zwangerschaps- en bevallingsverlof dat de moeder nog niet had opgenomen bij haar overlijden.</w:t>
      </w:r>
    </w:p>
    <w:p w14:paraId="1181A610" w14:textId="73907E3F" w:rsidR="00A30779" w:rsidRDefault="00A30779" w:rsidP="00A30779">
      <w:pPr>
        <w:pStyle w:val="StandaardUitvullen"/>
        <w:ind w:left="0"/>
      </w:pPr>
      <w:r w:rsidRPr="00FD7E2F">
        <w:t>§2. Bij opname van de moeder in een ziekenhuis heeft het personeelslid</w:t>
      </w:r>
      <w:r>
        <w:t xml:space="preserve"> dat vader of meemoeder van het kind is, recht op vaderschaps- of </w:t>
      </w:r>
      <w:proofErr w:type="spellStart"/>
      <w:r>
        <w:t>meemoederschapsverlof</w:t>
      </w:r>
      <w:proofErr w:type="spellEnd"/>
      <w:r>
        <w:t xml:space="preserve"> dat op zijn vroegst begint vanaf de achtste dag na de geboorte van het kind, op voorwaarde dat de moeder meer dan zeven dagen opgenomen is in het ziekenhuis en dat de pasgeborene het ziekenhuis verlaten heeft.</w:t>
      </w:r>
    </w:p>
    <w:p w14:paraId="35CC5CA6" w14:textId="77777777" w:rsidR="00A30779" w:rsidRDefault="00A30779" w:rsidP="00A30779">
      <w:pPr>
        <w:pStyle w:val="StandaardUitvullen"/>
        <w:ind w:left="0"/>
      </w:pPr>
      <w:r>
        <w:t xml:space="preserve">Het vaderschaps- en </w:t>
      </w:r>
      <w:proofErr w:type="spellStart"/>
      <w:r>
        <w:t>meemoederschapsverlof</w:t>
      </w:r>
      <w:proofErr w:type="spellEnd"/>
      <w:r>
        <w:t>, eindigt als de moeder het ziekenhuis verlaat en uiterlijk als de periode verstreken is die overeenstemt met het deel van het zwangerschaps- en bevallingsverlof dat de moeder op het ogenblik van haar opname in het ziekenhuis nog niet had opgenomen.</w:t>
      </w:r>
    </w:p>
    <w:p w14:paraId="7C0B25EA" w14:textId="77777777" w:rsidR="00A30779" w:rsidRDefault="00A30779" w:rsidP="00A30779">
      <w:pPr>
        <w:pStyle w:val="StandaardUitvullen"/>
        <w:ind w:left="0"/>
      </w:pPr>
      <w:r>
        <w:t xml:space="preserve">§3. Tijdens het vaderschaps- of </w:t>
      </w:r>
      <w:proofErr w:type="spellStart"/>
      <w:r>
        <w:t>meemoederschapsverlof</w:t>
      </w:r>
      <w:proofErr w:type="spellEnd"/>
      <w:r>
        <w:t xml:space="preserve"> behouden </w:t>
      </w:r>
      <w:r w:rsidRPr="00A90D45">
        <w:t>statutaire</w:t>
      </w:r>
      <w:r>
        <w:t xml:space="preserve"> personeelsleden hun salaris.</w:t>
      </w:r>
    </w:p>
    <w:p w14:paraId="32EC3117" w14:textId="77777777" w:rsidR="00A66D04" w:rsidRPr="00A66D04" w:rsidRDefault="00A66D04" w:rsidP="00A66D04">
      <w:pPr>
        <w:ind w:left="0"/>
        <w:rPr>
          <w:smallCaps/>
        </w:rPr>
      </w:pPr>
      <w:r w:rsidRPr="00ED55CE">
        <w:rPr>
          <w:smallCaps/>
        </w:rPr>
        <w:t>Borstvoedingspauzes/ verlof</w:t>
      </w:r>
    </w:p>
    <w:p w14:paraId="2A241A78" w14:textId="2931C08E" w:rsidR="00A66D04" w:rsidRPr="00A66D04" w:rsidRDefault="00A66D04" w:rsidP="00A66D04">
      <w:pPr>
        <w:spacing w:before="0" w:after="160" w:line="259" w:lineRule="auto"/>
        <w:ind w:left="0"/>
        <w:jc w:val="left"/>
        <w:rPr>
          <w:rFonts w:ascii="Calibri" w:eastAsia="Calibri" w:hAnsi="Calibri"/>
          <w:b/>
          <w:bCs/>
          <w:kern w:val="2"/>
          <w:sz w:val="22"/>
          <w:szCs w:val="22"/>
          <w:lang w:val="nl-BE" w:eastAsia="en-US"/>
          <w14:ligatures w14:val="standardContextual"/>
        </w:rPr>
      </w:pPr>
      <w:r w:rsidRPr="00A66D04">
        <w:rPr>
          <w:rFonts w:ascii="Calibri" w:eastAsia="Calibri" w:hAnsi="Calibri"/>
          <w:b/>
          <w:bCs/>
          <w:kern w:val="2"/>
          <w:sz w:val="22"/>
          <w:szCs w:val="22"/>
          <w:lang w:val="nl-BE" w:eastAsia="en-US"/>
          <w14:ligatures w14:val="standardContextual"/>
        </w:rPr>
        <w:t xml:space="preserve">Artikel </w:t>
      </w:r>
      <w:r w:rsidR="008E0576">
        <w:rPr>
          <w:rFonts w:ascii="Calibri" w:eastAsia="Calibri" w:hAnsi="Calibri"/>
          <w:b/>
          <w:bCs/>
          <w:kern w:val="2"/>
          <w:sz w:val="22"/>
          <w:szCs w:val="22"/>
          <w:lang w:val="nl-BE" w:eastAsia="en-US"/>
          <w14:ligatures w14:val="standardContextual"/>
        </w:rPr>
        <w:t>179</w:t>
      </w:r>
    </w:p>
    <w:p w14:paraId="44C5F335" w14:textId="0AAD65F5" w:rsidR="00A66D04" w:rsidRPr="00A66D04" w:rsidRDefault="00A66D04" w:rsidP="00A66D04">
      <w:pPr>
        <w:ind w:left="0"/>
        <w:rPr>
          <w:bCs/>
        </w:rPr>
      </w:pPr>
      <w:r>
        <w:rPr>
          <w:bCs/>
        </w:rPr>
        <w:t>Wanneer de m</w:t>
      </w:r>
      <w:r w:rsidRPr="00A66D04">
        <w:rPr>
          <w:bCs/>
        </w:rPr>
        <w:t>edewerker</w:t>
      </w:r>
      <w:r>
        <w:rPr>
          <w:bCs/>
        </w:rPr>
        <w:t xml:space="preserve"> na de bevalling opnieuw het werk hervat, heeft deze</w:t>
      </w:r>
      <w:r w:rsidRPr="00A66D04">
        <w:rPr>
          <w:bCs/>
        </w:rPr>
        <w:t xml:space="preserve"> recht op borstvoedingspauzes/verlof</w:t>
      </w:r>
      <w:r>
        <w:rPr>
          <w:bCs/>
        </w:rPr>
        <w:t>, indien voldaan wordt aan volgende voorwaarden</w:t>
      </w:r>
      <w:r w:rsidRPr="00A66D04">
        <w:rPr>
          <w:bCs/>
        </w:rPr>
        <w:t>.</w:t>
      </w:r>
    </w:p>
    <w:p w14:paraId="461842A3" w14:textId="530175C9" w:rsidR="00A66D04" w:rsidRPr="00BD780E" w:rsidRDefault="00A66D04" w:rsidP="00A66D04">
      <w:pPr>
        <w:ind w:left="0"/>
        <w:rPr>
          <w:bCs/>
        </w:rPr>
      </w:pPr>
      <w:r w:rsidRPr="00BD780E">
        <w:rPr>
          <w:bCs/>
        </w:rPr>
        <w:t>§1</w:t>
      </w:r>
      <w:r w:rsidR="00BD780E" w:rsidRPr="00BD780E">
        <w:rPr>
          <w:bCs/>
        </w:rPr>
        <w:t>.</w:t>
      </w:r>
      <w:r w:rsidRPr="00BD780E">
        <w:rPr>
          <w:bCs/>
        </w:rPr>
        <w:t xml:space="preserve"> De artikelen 39 tot 45 van de arbeidswet van 16 maart 1971 inzake de moederschapsbescherming en de wet van 3 april 1995 tot aanpassing van een aantal bepalingen betreffende de moederschapsbescherming en mogelijke wijzigingen hierop zijn van toepassing.</w:t>
      </w:r>
    </w:p>
    <w:p w14:paraId="2BC14746" w14:textId="66842E8E" w:rsidR="00A66D04" w:rsidRPr="00BD780E" w:rsidRDefault="00A66D04" w:rsidP="00A66D04">
      <w:pPr>
        <w:ind w:left="0"/>
        <w:rPr>
          <w:bCs/>
        </w:rPr>
      </w:pPr>
      <w:r w:rsidRPr="00BD780E">
        <w:rPr>
          <w:bCs/>
        </w:rPr>
        <w:t>§2</w:t>
      </w:r>
      <w:r w:rsidR="00BD780E" w:rsidRPr="00BD780E">
        <w:rPr>
          <w:bCs/>
        </w:rPr>
        <w:t>.</w:t>
      </w:r>
      <w:r w:rsidRPr="00BD780E">
        <w:rPr>
          <w:bCs/>
        </w:rPr>
        <w:t xml:space="preserve"> Zwangere werkneemsters of werkneemsters die borstvoeding geven mogen geen overwerk en nachtwerk verrichten.</w:t>
      </w:r>
    </w:p>
    <w:p w14:paraId="30D81D06" w14:textId="77777777" w:rsidR="00A66D04" w:rsidRPr="00BD780E" w:rsidRDefault="00A66D04" w:rsidP="00A66D04">
      <w:pPr>
        <w:pStyle w:val="StandaardUitvullen"/>
        <w:ind w:left="0"/>
        <w:rPr>
          <w:bCs/>
        </w:rPr>
      </w:pPr>
      <w:r w:rsidRPr="00BD780E">
        <w:rPr>
          <w:bCs/>
        </w:rPr>
        <w:t>Geen overwerk: d.w.z. dat ze niet langer dan 39 uur per week of 9 uur per dag mogen worden tewerkgesteld.</w:t>
      </w:r>
    </w:p>
    <w:p w14:paraId="6DDE4BCA" w14:textId="77777777" w:rsidR="00A66D04" w:rsidRPr="00BD780E" w:rsidRDefault="00A66D04" w:rsidP="00A66D04">
      <w:pPr>
        <w:pStyle w:val="StandaardUitvullen"/>
        <w:ind w:left="0"/>
        <w:rPr>
          <w:bCs/>
        </w:rPr>
      </w:pPr>
      <w:r w:rsidRPr="00BD780E">
        <w:rPr>
          <w:bCs/>
        </w:rPr>
        <w:t>Geen nachtwerk d.w.z.: de werkgever kan een zwangere werkneemster of een werkneemster die borstvoeding geeft niet verplichten nachtarbeid te verrichten, tussen 20 uur 's avonds en 6 uur 's morgens.</w:t>
      </w:r>
    </w:p>
    <w:p w14:paraId="040E71B5" w14:textId="710415C7" w:rsidR="00A66D04" w:rsidRPr="00BD780E" w:rsidRDefault="00A66D04" w:rsidP="00A66D04">
      <w:pPr>
        <w:pStyle w:val="StandaardUitvullen"/>
        <w:ind w:left="0"/>
        <w:rPr>
          <w:bCs/>
        </w:rPr>
      </w:pPr>
      <w:r w:rsidRPr="00BD780E">
        <w:rPr>
          <w:bCs/>
        </w:rPr>
        <w:t>§3</w:t>
      </w:r>
      <w:r w:rsidR="00BD780E" w:rsidRPr="00BD780E">
        <w:rPr>
          <w:bCs/>
        </w:rPr>
        <w:t>.</w:t>
      </w:r>
      <w:r w:rsidRPr="00BD780E">
        <w:rPr>
          <w:bCs/>
        </w:rPr>
        <w:t xml:space="preserve"> Bedoelde werkneemsters worden ook beschermd tegen de schadelijke gevolgen die kunnen voortvloeien uit de risico's waaraan ze kunnen worden blootgesteld tijdens de arbeid.</w:t>
      </w:r>
    </w:p>
    <w:p w14:paraId="392CE0D4" w14:textId="77777777" w:rsidR="00A66D04" w:rsidRPr="00BD780E" w:rsidRDefault="00A66D04" w:rsidP="00A66D04">
      <w:pPr>
        <w:pStyle w:val="StandaardUitvullen"/>
        <w:ind w:left="0"/>
        <w:rPr>
          <w:bCs/>
        </w:rPr>
      </w:pPr>
      <w:r w:rsidRPr="00BD780E">
        <w:rPr>
          <w:bCs/>
        </w:rPr>
        <w:t>De arbeidsgeneesheer moet de risico's vaststellen, het personeelslid onderzoeken en maatregelen voorstellen om de risico's uit te schakelen, of hij kan het personeelslid met ziekteverlof of moederschapsverlof zenden. De werkgever moet alle nodige maatregelen treffen om de gezondheid en de veiligheid van de zwangere werkneemsters en de werkneemsters die borstvoeding geven, te waarborgen.</w:t>
      </w:r>
    </w:p>
    <w:p w14:paraId="09BA0813" w14:textId="77777777" w:rsidR="00A66D04" w:rsidRPr="00BD780E" w:rsidRDefault="00A66D04" w:rsidP="00A66D04">
      <w:pPr>
        <w:pStyle w:val="StandaardUitvullen"/>
        <w:ind w:left="0"/>
        <w:rPr>
          <w:bCs/>
        </w:rPr>
      </w:pPr>
      <w:r w:rsidRPr="00BD780E">
        <w:rPr>
          <w:bCs/>
        </w:rPr>
        <w:t xml:space="preserve">Indien geen passende arbeid kan worden gevonden dan moet "verlof" worden toegestaan. </w:t>
      </w:r>
    </w:p>
    <w:p w14:paraId="40D47953" w14:textId="3FC91E4C" w:rsidR="00A66D04" w:rsidRPr="00BD780E" w:rsidRDefault="00A66D04" w:rsidP="00A66D04">
      <w:pPr>
        <w:pStyle w:val="StandaardUitvullen"/>
        <w:ind w:left="0"/>
        <w:rPr>
          <w:bCs/>
        </w:rPr>
      </w:pPr>
      <w:r w:rsidRPr="00BD780E">
        <w:rPr>
          <w:bCs/>
        </w:rPr>
        <w:lastRenderedPageBreak/>
        <w:t>§4</w:t>
      </w:r>
      <w:r w:rsidR="00BD780E" w:rsidRPr="00BD780E">
        <w:rPr>
          <w:bCs/>
        </w:rPr>
        <w:t>.</w:t>
      </w:r>
      <w:r w:rsidRPr="00BD780E">
        <w:rPr>
          <w:bCs/>
        </w:rPr>
        <w:t xml:space="preserve"> In het kader van het risico op infectieziekten bedraagt het borstvoedingsverlof minstens 14 kalenderdagen en is beperkt tot 5 maanden aansluitend op de bevallingsdatum, op voorwaarde dat het personeelslid verwijderd werd vóór het einde van de derde zwangerschapsmaand. </w:t>
      </w:r>
    </w:p>
    <w:p w14:paraId="323F3660" w14:textId="77777777" w:rsidR="00A66D04" w:rsidRPr="00BD780E" w:rsidRDefault="00A66D04" w:rsidP="00A66D04">
      <w:pPr>
        <w:pStyle w:val="StandaardUitvullen"/>
        <w:ind w:left="0"/>
        <w:rPr>
          <w:bCs/>
        </w:rPr>
      </w:pPr>
      <w:r w:rsidRPr="00BD780E">
        <w:rPr>
          <w:bCs/>
        </w:rPr>
        <w:t>Het personeelslid dat verwijderd wordt voor het risico van heffen en tillen van lasten, heeft recht op maximum 2 weken borstvoedingsverlof aansluitend op de 9 weken zwangerschapsverlof.</w:t>
      </w:r>
    </w:p>
    <w:p w14:paraId="3E15D6D1" w14:textId="7E286306" w:rsidR="00A66D04" w:rsidRPr="00A66D04" w:rsidRDefault="00A66D04" w:rsidP="00A66D04">
      <w:pPr>
        <w:pStyle w:val="StandaardUitvullen"/>
        <w:ind w:left="0"/>
      </w:pPr>
      <w:r w:rsidRPr="00BD780E">
        <w:rPr>
          <w:bCs/>
        </w:rPr>
        <w:t>§5</w:t>
      </w:r>
      <w:r w:rsidR="00BD780E" w:rsidRPr="00BD780E">
        <w:rPr>
          <w:bCs/>
        </w:rPr>
        <w:t>.</w:t>
      </w:r>
      <w:r w:rsidRPr="00BD780E">
        <w:rPr>
          <w:bCs/>
        </w:rPr>
        <w:t xml:space="preserve"> Tijdens de werkverwijdering in het kader van de moederschapsbescherming blijft het personeelslid in dienstactiviteit</w:t>
      </w:r>
      <w:r w:rsidRPr="00A66D04">
        <w:t xml:space="preserve">. Het personeelslid heeft voor deze periode geen recht op maaltijdcheques. </w:t>
      </w:r>
    </w:p>
    <w:p w14:paraId="66DEF6E0" w14:textId="77777777" w:rsidR="00A66D04" w:rsidRPr="00A66D04" w:rsidRDefault="00A66D04" w:rsidP="00A66D04">
      <w:pPr>
        <w:pStyle w:val="StandaardUitvullen"/>
        <w:ind w:left="0"/>
      </w:pPr>
      <w:r w:rsidRPr="00A66D04">
        <w:t xml:space="preserve">De werkverwijdering telt mee voor de berekening van vakantiegeld en </w:t>
      </w:r>
      <w:proofErr w:type="spellStart"/>
      <w:r w:rsidRPr="00A66D04">
        <w:t>eindejaarstoelage</w:t>
      </w:r>
      <w:proofErr w:type="spellEnd"/>
      <w:r w:rsidRPr="00A66D04">
        <w:t>.</w:t>
      </w:r>
    </w:p>
    <w:p w14:paraId="12B1DF3F" w14:textId="77777777" w:rsidR="00A66D04" w:rsidRPr="00A66D04" w:rsidRDefault="00A66D04" w:rsidP="00A66D04">
      <w:pPr>
        <w:pStyle w:val="StandaardUitvullen"/>
        <w:ind w:left="0"/>
      </w:pPr>
      <w:r w:rsidRPr="00A66D04">
        <w:t>Voor het statutaire personeelslid is er geen vermindering van de ziektekredietdagen en worden doorbetaald.</w:t>
      </w:r>
    </w:p>
    <w:p w14:paraId="4CCE2EA1" w14:textId="77777777" w:rsidR="00A66D04" w:rsidRPr="00A66D04" w:rsidRDefault="00A66D04" w:rsidP="00A66D04">
      <w:pPr>
        <w:pStyle w:val="StandaardUitvullen"/>
        <w:ind w:left="0"/>
      </w:pPr>
      <w:r w:rsidRPr="00A66D04">
        <w:t xml:space="preserve">Het contractuele personeelslid ontvangt een uitkering van de mutualiteit. </w:t>
      </w:r>
    </w:p>
    <w:p w14:paraId="64F555DF" w14:textId="77777777" w:rsidR="00A66D04" w:rsidRDefault="00A66D04" w:rsidP="00A30779">
      <w:pPr>
        <w:pStyle w:val="StandaardUitvullen"/>
        <w:ind w:left="0"/>
      </w:pPr>
    </w:p>
    <w:p w14:paraId="0BEF9EDE" w14:textId="77777777" w:rsidR="00F76731" w:rsidRDefault="00F76731">
      <w:pPr>
        <w:spacing w:before="0" w:after="0"/>
        <w:ind w:left="0"/>
        <w:jc w:val="left"/>
        <w:rPr>
          <w:b/>
          <w:caps/>
          <w:sz w:val="16"/>
          <w:szCs w:val="16"/>
        </w:rPr>
      </w:pPr>
      <w:r>
        <w:br w:type="page"/>
      </w:r>
    </w:p>
    <w:p w14:paraId="59869354" w14:textId="4B067748" w:rsidR="00A30779" w:rsidRDefault="00A30779" w:rsidP="00B44CF7">
      <w:pPr>
        <w:pStyle w:val="Kop2"/>
      </w:pPr>
      <w:bookmarkStart w:id="241" w:name="_Toc215739035"/>
      <w:r>
        <w:lastRenderedPageBreak/>
        <w:t xml:space="preserve">Hoofdstuk </w:t>
      </w:r>
      <w:r w:rsidR="007E74A2">
        <w:t>v</w:t>
      </w:r>
      <w:r>
        <w:t xml:space="preserve">: </w:t>
      </w:r>
      <w:r w:rsidR="005C7390">
        <w:t>a</w:t>
      </w:r>
      <w:r>
        <w:t>doptieverlof, pleegzorgverlof en pleegouderverlof</w:t>
      </w:r>
      <w:bookmarkEnd w:id="241"/>
    </w:p>
    <w:p w14:paraId="0B4B39B1" w14:textId="7C8AFDF8" w:rsidR="00A30779" w:rsidRPr="00A30779" w:rsidRDefault="00A30779" w:rsidP="00A30779">
      <w:pPr>
        <w:pStyle w:val="StandaardUitvullen"/>
        <w:ind w:left="0"/>
        <w:rPr>
          <w:b/>
          <w:bCs/>
        </w:rPr>
      </w:pPr>
      <w:r w:rsidRPr="00A30779">
        <w:rPr>
          <w:b/>
          <w:bCs/>
        </w:rPr>
        <w:t xml:space="preserve">Artikel </w:t>
      </w:r>
      <w:r w:rsidR="008E0576">
        <w:rPr>
          <w:b/>
          <w:bCs/>
        </w:rPr>
        <w:t>180</w:t>
      </w:r>
    </w:p>
    <w:p w14:paraId="5FF0F8BE" w14:textId="68A3D2E4" w:rsidR="00A30779" w:rsidRDefault="00FD7E2F" w:rsidP="00A30779">
      <w:pPr>
        <w:pStyle w:val="StandaardUitvullen"/>
        <w:ind w:left="0"/>
      </w:pPr>
      <w:r>
        <w:t>P</w:t>
      </w:r>
      <w:r w:rsidR="00A30779">
        <w:t xml:space="preserve">ersoneelsleden krijgen op hun verzoek adoptieverlof. Het adoptieverlof wordt aan personeelsleden toegekend conform artikel 30ter van de wet van 3 juli 1978 betreffende de arbeidsovereenkomsten. </w:t>
      </w:r>
    </w:p>
    <w:p w14:paraId="3A8368C4" w14:textId="77777777" w:rsidR="00A30779" w:rsidRDefault="00A30779" w:rsidP="00A30779">
      <w:pPr>
        <w:pStyle w:val="StandaardUitvullen"/>
        <w:ind w:left="0"/>
      </w:pPr>
      <w:r>
        <w:t>Tijdens het adoptieverlof behouden statutaire personeelsleden hun salaris.</w:t>
      </w:r>
    </w:p>
    <w:p w14:paraId="5E56F594" w14:textId="7537E301" w:rsidR="00A30779" w:rsidRPr="00A30779" w:rsidRDefault="00A30779" w:rsidP="00A30779">
      <w:pPr>
        <w:pStyle w:val="StandaardUitvullen"/>
        <w:ind w:left="0"/>
        <w:rPr>
          <w:b/>
          <w:bCs/>
        </w:rPr>
      </w:pPr>
      <w:r w:rsidRPr="00A30779">
        <w:rPr>
          <w:b/>
          <w:bCs/>
        </w:rPr>
        <w:t xml:space="preserve">Artikel </w:t>
      </w:r>
      <w:r w:rsidR="008E0576">
        <w:rPr>
          <w:b/>
          <w:bCs/>
        </w:rPr>
        <w:t>181</w:t>
      </w:r>
    </w:p>
    <w:p w14:paraId="49180874" w14:textId="5D2EAD35" w:rsidR="00A30779" w:rsidRDefault="00FD7E2F" w:rsidP="00A30779">
      <w:pPr>
        <w:pStyle w:val="StandaardUitvullen"/>
        <w:ind w:left="0"/>
      </w:pPr>
      <w:r>
        <w:t>P</w:t>
      </w:r>
      <w:r w:rsidR="00A30779">
        <w:t xml:space="preserve">ersoneelsleden hebben per kalenderjaar recht op zes dagen pleegzorgverlof. Het pleegzorgverlof wordt aan statutaire personeelsleden toegekend conform artikel 30quater, §1, van de wet van 3 juli 1978 betreffende de arbeidsovereenkomsten, en artikel 2 tot en met 6 van het koninklijk besluit van 27 oktober 2008 betreffende de afwezigheid van het werk met het oog op het verstrekken van pleegzorgen. Tijdens het pleegzorgverlof ontvangen statutaire personeelsleden </w:t>
      </w:r>
      <w:r w:rsidR="00140A4E">
        <w:t>82</w:t>
      </w:r>
      <w:r w:rsidR="00A30779">
        <w:t>% van hun salaris. Om het salaris te bepalen, wordt het salaris op jaarbasis begrensd op 26.230 euro tegen 100%.</w:t>
      </w:r>
    </w:p>
    <w:p w14:paraId="3A09343D" w14:textId="06E50E8B" w:rsidR="00A30779" w:rsidRPr="00A30779" w:rsidRDefault="00A30779" w:rsidP="00A30779">
      <w:pPr>
        <w:pStyle w:val="StandaardUitvullen"/>
        <w:ind w:left="0"/>
        <w:rPr>
          <w:b/>
          <w:bCs/>
        </w:rPr>
      </w:pPr>
      <w:r w:rsidRPr="00A30779">
        <w:rPr>
          <w:b/>
          <w:bCs/>
        </w:rPr>
        <w:t xml:space="preserve">Artikel </w:t>
      </w:r>
      <w:r w:rsidR="008E0576">
        <w:rPr>
          <w:b/>
          <w:bCs/>
        </w:rPr>
        <w:t>182</w:t>
      </w:r>
    </w:p>
    <w:p w14:paraId="3D8AE16C" w14:textId="0E25E9CC" w:rsidR="00A30779" w:rsidRPr="00A30779" w:rsidRDefault="00A30779" w:rsidP="00A30779">
      <w:pPr>
        <w:pStyle w:val="StandaardUitvullen"/>
        <w:ind w:left="0"/>
      </w:pPr>
      <w:r>
        <w:t xml:space="preserve">In geval van langdurige pleegzorg of pleegvoogdij hebben statutaire personeelsleden die </w:t>
      </w:r>
      <w:proofErr w:type="spellStart"/>
      <w:r>
        <w:t>pleegzorger</w:t>
      </w:r>
      <w:proofErr w:type="spellEnd"/>
      <w:r>
        <w:t xml:space="preserve"> zijn, recht op pleegouderverlof toegekend conform artikel 30sexies van de wet van 3 juli 1978 betreffende de arbeidsovereenkomsten. Tijdens de eerste drie dagen van het langdurige pleegouderverlof behouden statutaire personeelsleden hun salaris. Vanaf de vierde dag ontvangen statutaire personeelsleden 82% van hun salaris. Om het salaris te bepalen, wordt het salaris op jaarbasis begrensd op 26.230 euro tegen 100%.</w:t>
      </w:r>
    </w:p>
    <w:p w14:paraId="365A12C2" w14:textId="77777777" w:rsidR="003A11FB" w:rsidRPr="00037A46" w:rsidRDefault="003A11FB" w:rsidP="003A11FB">
      <w:pPr>
        <w:pStyle w:val="StandaardUitvullen"/>
      </w:pPr>
    </w:p>
    <w:p w14:paraId="51AEBFFD" w14:textId="77777777" w:rsidR="00BA4A02" w:rsidRDefault="002C5048" w:rsidP="00B44CF7">
      <w:pPr>
        <w:pStyle w:val="Kop2"/>
      </w:pPr>
      <w:r w:rsidRPr="00037A46">
        <w:br w:type="page"/>
      </w:r>
      <w:bookmarkStart w:id="242" w:name="_Toc110948227"/>
    </w:p>
    <w:p w14:paraId="388E641C" w14:textId="397A377B" w:rsidR="003A11FB" w:rsidRPr="00037A46" w:rsidRDefault="003A11FB" w:rsidP="00B44CF7">
      <w:pPr>
        <w:pStyle w:val="Kop2"/>
      </w:pPr>
      <w:bookmarkStart w:id="243" w:name="_Toc215739036"/>
      <w:r w:rsidRPr="00037A46">
        <w:lastRenderedPageBreak/>
        <w:t xml:space="preserve">Hoofdstuk </w:t>
      </w:r>
      <w:r w:rsidR="007E74A2">
        <w:t>vi</w:t>
      </w:r>
      <w:r w:rsidRPr="00037A46">
        <w:t xml:space="preserve">. </w:t>
      </w:r>
      <w:bookmarkEnd w:id="242"/>
      <w:r w:rsidR="00B658D7">
        <w:t>AFWEZIGHEID</w:t>
      </w:r>
      <w:r w:rsidR="000C52B2">
        <w:t xml:space="preserve"> wegens arbeidsongeschiktheid</w:t>
      </w:r>
      <w:bookmarkEnd w:id="243"/>
    </w:p>
    <w:p w14:paraId="2AB79865" w14:textId="397A377B" w:rsidR="000C52B2" w:rsidRPr="002D1C23" w:rsidRDefault="00B840EE" w:rsidP="002D1C23">
      <w:pPr>
        <w:pStyle w:val="Kop3"/>
      </w:pPr>
      <w:bookmarkStart w:id="244" w:name="_Toc215739037"/>
      <w:r>
        <w:t>Afdeling 1</w:t>
      </w:r>
      <w:r w:rsidR="000C52B2" w:rsidRPr="002D1C23">
        <w:t xml:space="preserve">. </w:t>
      </w:r>
      <w:r>
        <w:t>ziektekredietregeling</w:t>
      </w:r>
      <w:bookmarkEnd w:id="244"/>
    </w:p>
    <w:p w14:paraId="49A35286" w14:textId="36F1B770" w:rsidR="003A11FB" w:rsidRPr="00037A46" w:rsidRDefault="009133F2" w:rsidP="00AD4964">
      <w:pPr>
        <w:spacing w:before="0" w:after="160" w:line="259" w:lineRule="auto"/>
        <w:ind w:left="0"/>
        <w:jc w:val="left"/>
        <w:rPr>
          <w:rFonts w:ascii="Calibri" w:eastAsia="Calibri" w:hAnsi="Calibri"/>
          <w:b/>
          <w:bCs/>
          <w:kern w:val="2"/>
          <w:sz w:val="22"/>
          <w:szCs w:val="22"/>
          <w:lang w:val="nl-BE" w:eastAsia="en-US"/>
          <w14:ligatures w14:val="standardContextual"/>
        </w:rPr>
      </w:pPr>
      <w:r w:rsidRPr="00037A46">
        <w:rPr>
          <w:rFonts w:ascii="Calibri" w:eastAsia="Calibri" w:hAnsi="Calibri"/>
          <w:b/>
          <w:bCs/>
          <w:kern w:val="2"/>
          <w:sz w:val="22"/>
          <w:szCs w:val="22"/>
          <w:lang w:val="nl-BE" w:eastAsia="en-US"/>
          <w14:ligatures w14:val="standardContextual"/>
        </w:rPr>
        <w:t xml:space="preserve">Artikel </w:t>
      </w:r>
      <w:r w:rsidR="008E0576">
        <w:rPr>
          <w:rFonts w:ascii="Calibri" w:eastAsia="Calibri" w:hAnsi="Calibri"/>
          <w:b/>
          <w:bCs/>
          <w:kern w:val="2"/>
          <w:sz w:val="22"/>
          <w:szCs w:val="22"/>
          <w:lang w:val="nl-BE" w:eastAsia="en-US"/>
          <w14:ligatures w14:val="standardContextual"/>
        </w:rPr>
        <w:t>183</w:t>
      </w:r>
    </w:p>
    <w:p w14:paraId="19A1BC0B" w14:textId="77777777" w:rsidR="003A11FB" w:rsidRPr="00037A46" w:rsidRDefault="003A11FB" w:rsidP="006447B8">
      <w:pPr>
        <w:pStyle w:val="StandaardUitvullen"/>
        <w:ind w:left="0"/>
      </w:pPr>
      <w:r w:rsidRPr="00037A46">
        <w:t>Het personeelslid dat afwezig is wegens ziekte of wegens een ongeval krijgt ziekteverlof.</w:t>
      </w:r>
    </w:p>
    <w:p w14:paraId="6CB7B1E8" w14:textId="328204BB" w:rsidR="003A11FB" w:rsidRPr="00037A46" w:rsidRDefault="003A11FB" w:rsidP="006447B8">
      <w:pPr>
        <w:pStyle w:val="StandaardUitvullen"/>
        <w:ind w:left="0"/>
      </w:pPr>
      <w:r w:rsidRPr="00037A46">
        <w:t>Overeenkomstig artikel 31 van de Arbeidsovereenkomstenwet wordt de</w:t>
      </w:r>
      <w:r w:rsidR="006447B8">
        <w:t xml:space="preserve"> </w:t>
      </w:r>
      <w:r w:rsidRPr="00037A46">
        <w:t>arbeidsovereenkomst van het contractuele personeelslid geschorst.</w:t>
      </w:r>
    </w:p>
    <w:p w14:paraId="5E310F29" w14:textId="536738AD" w:rsidR="003A11FB" w:rsidRPr="00037A46" w:rsidRDefault="00911E41" w:rsidP="00AD4964">
      <w:pPr>
        <w:spacing w:before="0" w:after="160" w:line="259" w:lineRule="auto"/>
        <w:ind w:left="0"/>
        <w:jc w:val="left"/>
        <w:rPr>
          <w:rFonts w:ascii="Calibri" w:eastAsia="Calibri" w:hAnsi="Calibri"/>
          <w:b/>
          <w:bCs/>
          <w:kern w:val="2"/>
          <w:sz w:val="22"/>
          <w:szCs w:val="22"/>
          <w:lang w:val="nl-BE" w:eastAsia="en-US"/>
          <w14:ligatures w14:val="standardContextual"/>
        </w:rPr>
      </w:pPr>
      <w:r w:rsidRPr="00037A46">
        <w:rPr>
          <w:rFonts w:ascii="Calibri" w:eastAsia="Calibri" w:hAnsi="Calibri"/>
          <w:b/>
          <w:bCs/>
          <w:kern w:val="2"/>
          <w:sz w:val="22"/>
          <w:szCs w:val="22"/>
          <w:lang w:val="nl-BE" w:eastAsia="en-US"/>
          <w14:ligatures w14:val="standardContextual"/>
        </w:rPr>
        <w:t xml:space="preserve">Artikel </w:t>
      </w:r>
      <w:r w:rsidR="008E0576">
        <w:rPr>
          <w:rFonts w:ascii="Calibri" w:eastAsia="Calibri" w:hAnsi="Calibri"/>
          <w:b/>
          <w:bCs/>
          <w:kern w:val="2"/>
          <w:sz w:val="22"/>
          <w:szCs w:val="22"/>
          <w:lang w:val="nl-BE" w:eastAsia="en-US"/>
          <w14:ligatures w14:val="standardContextual"/>
        </w:rPr>
        <w:t>184</w:t>
      </w:r>
    </w:p>
    <w:p w14:paraId="1DA8575B" w14:textId="4CF0BEC7" w:rsidR="003A11FB" w:rsidRPr="00037A46" w:rsidRDefault="003A11FB" w:rsidP="006447B8">
      <w:pPr>
        <w:ind w:left="0"/>
      </w:pPr>
      <w:r w:rsidRPr="00037A46">
        <w:t xml:space="preserve">Het </w:t>
      </w:r>
      <w:r w:rsidR="00017C59">
        <w:t xml:space="preserve">statutair </w:t>
      </w:r>
      <w:r w:rsidRPr="00037A46">
        <w:t xml:space="preserve">personeelslid met ziekteverlof </w:t>
      </w:r>
      <w:r w:rsidR="00BE2847">
        <w:t>valt onder dezelfde bepalingen omtrent controle als het contractuele personeelslid (wet 13 juni 1999 betreffende de controlegen</w:t>
      </w:r>
      <w:r w:rsidR="002D00AD">
        <w:t>eeskunde)</w:t>
      </w:r>
      <w:r w:rsidRPr="00037A46">
        <w:t>.</w:t>
      </w:r>
    </w:p>
    <w:p w14:paraId="5E2BFF81" w14:textId="50FDBD89" w:rsidR="003A11FB" w:rsidRPr="00037A46" w:rsidRDefault="009133F2" w:rsidP="00AD4964">
      <w:pPr>
        <w:spacing w:before="0" w:after="160" w:line="259" w:lineRule="auto"/>
        <w:ind w:left="0"/>
        <w:jc w:val="left"/>
        <w:rPr>
          <w:rFonts w:ascii="Calibri" w:eastAsia="Calibri" w:hAnsi="Calibri"/>
          <w:b/>
          <w:bCs/>
          <w:kern w:val="2"/>
          <w:sz w:val="22"/>
          <w:szCs w:val="22"/>
          <w:lang w:val="nl-BE" w:eastAsia="en-US"/>
          <w14:ligatures w14:val="standardContextual"/>
        </w:rPr>
      </w:pPr>
      <w:r w:rsidRPr="00610CA6">
        <w:rPr>
          <w:rFonts w:ascii="Calibri" w:eastAsia="Calibri" w:hAnsi="Calibri"/>
          <w:b/>
          <w:bCs/>
          <w:kern w:val="2"/>
          <w:sz w:val="22"/>
          <w:szCs w:val="22"/>
          <w:lang w:val="nl-BE" w:eastAsia="en-US"/>
          <w14:ligatures w14:val="standardContextual"/>
        </w:rPr>
        <w:t xml:space="preserve">Artikel </w:t>
      </w:r>
      <w:r w:rsidR="008E0576">
        <w:rPr>
          <w:rFonts w:ascii="Calibri" w:eastAsia="Calibri" w:hAnsi="Calibri"/>
          <w:b/>
          <w:bCs/>
          <w:kern w:val="2"/>
          <w:sz w:val="22"/>
          <w:szCs w:val="22"/>
          <w:lang w:val="nl-BE" w:eastAsia="en-US"/>
          <w14:ligatures w14:val="standardContextual"/>
        </w:rPr>
        <w:t>185</w:t>
      </w:r>
    </w:p>
    <w:p w14:paraId="58F5D051" w14:textId="2442AF6F" w:rsidR="00747F21" w:rsidRPr="00FD7E2F" w:rsidRDefault="003F159D" w:rsidP="006447B8">
      <w:pPr>
        <w:ind w:left="0"/>
        <w:rPr>
          <w:bCs/>
        </w:rPr>
      </w:pPr>
      <w:r w:rsidRPr="00FD7E2F">
        <w:rPr>
          <w:bCs/>
        </w:rPr>
        <w:t>§1</w:t>
      </w:r>
      <w:r w:rsidR="00FD7E2F" w:rsidRPr="00FD7E2F">
        <w:rPr>
          <w:bCs/>
        </w:rPr>
        <w:t>.</w:t>
      </w:r>
      <w:r w:rsidRPr="00FD7E2F">
        <w:rPr>
          <w:bCs/>
        </w:rPr>
        <w:t xml:space="preserve"> </w:t>
      </w:r>
      <w:r w:rsidR="00747F21" w:rsidRPr="00FD7E2F">
        <w:rPr>
          <w:bCs/>
        </w:rPr>
        <w:t>Het statutaire personeelslid heeft recht op ziekteverlof volgens een stelsel van ziektekrediet</w:t>
      </w:r>
      <w:r w:rsidR="008E1D4C" w:rsidRPr="00FD7E2F">
        <w:rPr>
          <w:bCs/>
        </w:rPr>
        <w:t>uren</w:t>
      </w:r>
      <w:r w:rsidR="00747F21" w:rsidRPr="00FD7E2F">
        <w:rPr>
          <w:bCs/>
        </w:rPr>
        <w:t xml:space="preserve">. </w:t>
      </w:r>
    </w:p>
    <w:p w14:paraId="69458A7E" w14:textId="1FA575F3" w:rsidR="00747F21" w:rsidRPr="00FD7E2F" w:rsidRDefault="00747F21" w:rsidP="006447B8">
      <w:pPr>
        <w:ind w:left="0"/>
        <w:rPr>
          <w:bCs/>
        </w:rPr>
      </w:pPr>
      <w:r w:rsidRPr="00FD7E2F">
        <w:rPr>
          <w:bCs/>
        </w:rPr>
        <w:t>Vanaf de aanstelling wordt er onmiddellijk een krediet van drieënzestig dagen</w:t>
      </w:r>
      <w:r w:rsidR="008E1D4C" w:rsidRPr="00FD7E2F">
        <w:rPr>
          <w:bCs/>
        </w:rPr>
        <w:t>, uitgedrukt in uren,</w:t>
      </w:r>
      <w:r w:rsidRPr="00FD7E2F">
        <w:rPr>
          <w:bCs/>
        </w:rPr>
        <w:t xml:space="preserve"> toegekend.</w:t>
      </w:r>
      <w:r w:rsidR="008E1D4C" w:rsidRPr="00FD7E2F">
        <w:rPr>
          <w:bCs/>
        </w:rPr>
        <w:t xml:space="preserve"> </w:t>
      </w:r>
      <w:r w:rsidRPr="00FD7E2F">
        <w:rPr>
          <w:bCs/>
        </w:rPr>
        <w:t xml:space="preserve">Aanvullende ziektekredietdagen, in de vorm van een krediet van </w:t>
      </w:r>
      <w:r w:rsidR="00A40184" w:rsidRPr="00FD7E2F">
        <w:rPr>
          <w:bCs/>
        </w:rPr>
        <w:t>éé</w:t>
      </w:r>
      <w:r w:rsidRPr="00FD7E2F">
        <w:rPr>
          <w:bCs/>
        </w:rPr>
        <w:t>nentwintig werkdagen per jaar volledige dienstactiviteit</w:t>
      </w:r>
      <w:r w:rsidR="00A27778" w:rsidRPr="00FD7E2F">
        <w:rPr>
          <w:bCs/>
        </w:rPr>
        <w:t xml:space="preserve"> in statutair verband</w:t>
      </w:r>
      <w:r w:rsidRPr="00FD7E2F">
        <w:rPr>
          <w:bCs/>
        </w:rPr>
        <w:t xml:space="preserve">, worden toegestaan na het vierde gepresteerde jaar en de daaropvolgende jaren die recht geven op ziektekrediet. </w:t>
      </w:r>
    </w:p>
    <w:p w14:paraId="25EB7794" w14:textId="7A64E11D" w:rsidR="006B3696" w:rsidRPr="00FD7E2F" w:rsidRDefault="006B3696" w:rsidP="006447B8">
      <w:pPr>
        <w:ind w:left="0"/>
        <w:rPr>
          <w:bCs/>
        </w:rPr>
      </w:pPr>
      <w:r w:rsidRPr="00FD7E2F">
        <w:rPr>
          <w:bCs/>
        </w:rPr>
        <w:t xml:space="preserve">Onder dienstactiviteit wordt hier begrepen: de verloven en afwezigheden met behoud van salaris of ten gevolge van </w:t>
      </w:r>
      <w:proofErr w:type="spellStart"/>
      <w:r w:rsidRPr="00FD7E2F">
        <w:rPr>
          <w:bCs/>
        </w:rPr>
        <w:t>arbeids</w:t>
      </w:r>
      <w:proofErr w:type="spellEnd"/>
      <w:r w:rsidRPr="00FD7E2F">
        <w:rPr>
          <w:bCs/>
        </w:rPr>
        <w:t>(weg)ongeval of beroepsziekte, de georganiseerde werkonderbreking en het onbezoldigd verlof als recht.</w:t>
      </w:r>
    </w:p>
    <w:p w14:paraId="41ADB2CC" w14:textId="77777777" w:rsidR="001B23B3" w:rsidRPr="00FD7E2F" w:rsidRDefault="001B23B3" w:rsidP="006447B8">
      <w:pPr>
        <w:ind w:left="0"/>
        <w:rPr>
          <w:bCs/>
        </w:rPr>
      </w:pPr>
      <w:r w:rsidRPr="00FD7E2F">
        <w:rPr>
          <w:bCs/>
        </w:rPr>
        <w:t>Periodes van disponibiliteit wegens ziekte komen gedeeltelijk in aanmerking voor de vaststelling van het jaarlijkse aantal ziektekredietdagen, namelijk gedurende het eerste jaar van de periode van disponibiliteit.</w:t>
      </w:r>
    </w:p>
    <w:p w14:paraId="2BDEE029" w14:textId="77777777" w:rsidR="00747F21" w:rsidRPr="00FD7E2F" w:rsidRDefault="00747F21" w:rsidP="006447B8">
      <w:pPr>
        <w:ind w:left="0"/>
        <w:rPr>
          <w:bCs/>
        </w:rPr>
      </w:pPr>
      <w:r w:rsidRPr="00FD7E2F">
        <w:rPr>
          <w:bCs/>
        </w:rPr>
        <w:t>Voor opgenomen ziektekredietdagen wordt het gewone salaris betaald.</w:t>
      </w:r>
    </w:p>
    <w:p w14:paraId="204A5D50" w14:textId="32499A58" w:rsidR="00747F21" w:rsidRPr="00FD7E2F" w:rsidRDefault="00747F21" w:rsidP="006447B8">
      <w:pPr>
        <w:ind w:left="0"/>
        <w:rPr>
          <w:bCs/>
        </w:rPr>
      </w:pPr>
      <w:r w:rsidRPr="00FD7E2F">
        <w:rPr>
          <w:bCs/>
        </w:rPr>
        <w:t xml:space="preserve">Het contractuele personeelslid heeft bij ziekte recht op een gewaarborgd loon ten laste van het bestuur, conform de bepalingen van de Arbeidsovereenkomstenwet. Na de periode van gewaarborgd loon geniet het personeelslid een uitkering ten laste van de ziekte- en invaliditeitsuitkering. </w:t>
      </w:r>
    </w:p>
    <w:p w14:paraId="37EE016C" w14:textId="164FF782" w:rsidR="009133F2" w:rsidRPr="00FD7E2F" w:rsidRDefault="009133F2" w:rsidP="006447B8">
      <w:pPr>
        <w:ind w:left="0"/>
        <w:rPr>
          <w:bCs/>
        </w:rPr>
      </w:pPr>
      <w:r w:rsidRPr="00FD7E2F">
        <w:rPr>
          <w:bCs/>
        </w:rPr>
        <w:t>§2</w:t>
      </w:r>
      <w:r w:rsidR="00FD7E2F" w:rsidRPr="00FD7E2F">
        <w:rPr>
          <w:bCs/>
        </w:rPr>
        <w:t>.</w:t>
      </w:r>
      <w:r w:rsidRPr="00FD7E2F">
        <w:rPr>
          <w:bCs/>
        </w:rPr>
        <w:t xml:space="preserve"> Indien het personeelslid het werk aanvat, maar in de loop van de dag ziek wordt en naar huis gaat heeft het recht op gewaarborgd dagloon. </w:t>
      </w:r>
    </w:p>
    <w:p w14:paraId="40B94E2C" w14:textId="77777777" w:rsidR="009133F2" w:rsidRPr="00FD7E2F" w:rsidRDefault="009133F2" w:rsidP="006447B8">
      <w:pPr>
        <w:ind w:left="0"/>
        <w:rPr>
          <w:bCs/>
        </w:rPr>
      </w:pPr>
      <w:r w:rsidRPr="00FD7E2F">
        <w:rPr>
          <w:bCs/>
        </w:rPr>
        <w:t xml:space="preserve">Voor het contractueel personeelslid is de onderbroken werkdag niet de eerste dag van het gewaarborgd loon voor ziekte. </w:t>
      </w:r>
    </w:p>
    <w:p w14:paraId="1FF8C1D5" w14:textId="02F6BD24" w:rsidR="003F159D" w:rsidRPr="00FD7E2F" w:rsidRDefault="009133F2" w:rsidP="006447B8">
      <w:pPr>
        <w:ind w:left="0"/>
        <w:rPr>
          <w:bCs/>
        </w:rPr>
      </w:pPr>
      <w:r w:rsidRPr="00FD7E2F">
        <w:rPr>
          <w:bCs/>
        </w:rPr>
        <w:t>Ook voor het statutair personeelslid wordt een onderbroken arbeidsdag aanzien als een gewerkte dag zonder aftrek van het ziektekrediet.</w:t>
      </w:r>
    </w:p>
    <w:p w14:paraId="2530C5AC" w14:textId="46D9DD84" w:rsidR="003F159D" w:rsidRPr="00FD7E2F" w:rsidRDefault="003F159D" w:rsidP="006447B8">
      <w:pPr>
        <w:ind w:left="0"/>
        <w:rPr>
          <w:bCs/>
        </w:rPr>
      </w:pPr>
      <w:r w:rsidRPr="00FD7E2F">
        <w:rPr>
          <w:bCs/>
        </w:rPr>
        <w:t>§</w:t>
      </w:r>
      <w:r w:rsidR="00FD7E2F" w:rsidRPr="00FD7E2F">
        <w:rPr>
          <w:bCs/>
        </w:rPr>
        <w:t>3.</w:t>
      </w:r>
      <w:r w:rsidRPr="00FD7E2F">
        <w:rPr>
          <w:bCs/>
        </w:rPr>
        <w:t xml:space="preserve"> Bij de bepaling van het jaarlijkse ziektekrediet wordt verhoudingsgewijze rekening gehouden met de </w:t>
      </w:r>
      <w:r w:rsidR="00021B10" w:rsidRPr="00FD7E2F">
        <w:rPr>
          <w:bCs/>
        </w:rPr>
        <w:t xml:space="preserve">niet gelijkgestelde </w:t>
      </w:r>
      <w:r w:rsidRPr="00FD7E2F">
        <w:rPr>
          <w:bCs/>
        </w:rPr>
        <w:t>periodes die geen recht geven op ziektekrediet.</w:t>
      </w:r>
    </w:p>
    <w:p w14:paraId="6DE0FED4" w14:textId="2B87AF62" w:rsidR="003F159D" w:rsidRPr="00FD7E2F" w:rsidRDefault="003F159D" w:rsidP="006447B8">
      <w:pPr>
        <w:ind w:left="0"/>
        <w:rPr>
          <w:bCs/>
        </w:rPr>
      </w:pPr>
      <w:r w:rsidRPr="00FD7E2F">
        <w:rPr>
          <w:bCs/>
        </w:rPr>
        <w:t>§4</w:t>
      </w:r>
      <w:r w:rsidR="00FD7E2F" w:rsidRPr="00FD7E2F">
        <w:rPr>
          <w:bCs/>
        </w:rPr>
        <w:t>.</w:t>
      </w:r>
      <w:r w:rsidRPr="00FD7E2F">
        <w:rPr>
          <w:bCs/>
        </w:rPr>
        <w:t xml:space="preserve"> Voor een personeelslid met een onregelmatige of deeltijdse werktijdregeling wordt de afwezigheid wegens ziekte pro rata berekend.</w:t>
      </w:r>
    </w:p>
    <w:p w14:paraId="6B9CEFA4" w14:textId="77777777" w:rsidR="003F159D" w:rsidRPr="00FD7E2F" w:rsidRDefault="003F159D" w:rsidP="006447B8">
      <w:pPr>
        <w:ind w:left="0"/>
        <w:rPr>
          <w:bCs/>
        </w:rPr>
      </w:pPr>
      <w:r w:rsidRPr="00FD7E2F">
        <w:rPr>
          <w:bCs/>
        </w:rPr>
        <w:t>Bij het opnemen van ziektekrediet wordt in dit geval het aantal uren aangerekend volgens de onregelmatige of deeltijdse werktijdregeling die voor het personeelslid voorzien was op de dagen die het afwezig was wegens ziekte.</w:t>
      </w:r>
    </w:p>
    <w:p w14:paraId="7EA264AE" w14:textId="734742B5" w:rsidR="007D71AF" w:rsidRPr="00037A46" w:rsidRDefault="003F159D" w:rsidP="006447B8">
      <w:pPr>
        <w:ind w:left="0"/>
      </w:pPr>
      <w:r w:rsidRPr="00FD7E2F">
        <w:rPr>
          <w:bCs/>
        </w:rPr>
        <w:t>§5</w:t>
      </w:r>
      <w:r w:rsidR="00FD7E2F" w:rsidRPr="00FD7E2F">
        <w:rPr>
          <w:bCs/>
        </w:rPr>
        <w:t>.</w:t>
      </w:r>
      <w:r w:rsidRPr="00FD7E2F">
        <w:rPr>
          <w:bCs/>
        </w:rPr>
        <w:t xml:space="preserve"> Ziektekredietdagen</w:t>
      </w:r>
      <w:r w:rsidRPr="00FD7E2F">
        <w:t xml:space="preserve">, opgebouwd bij </w:t>
      </w:r>
      <w:r w:rsidR="00004794" w:rsidRPr="00FD7E2F">
        <w:t>éé</w:t>
      </w:r>
      <w:r w:rsidRPr="00FD7E2F">
        <w:t>n of meerdere vorige publieke werkgevers in statutair verband, worden in rekening gebracht. De berekening gebeurt op dezelfde wijze als voor de periodes in dienst van het bestuur, en met aftrek van de bij de vorige publieke werkgever(s) opgenomen ziekte</w:t>
      </w:r>
      <w:r w:rsidR="00B16B55" w:rsidRPr="00FD7E2F">
        <w:t>-uren</w:t>
      </w:r>
      <w:r w:rsidRPr="00FD7E2F">
        <w:t>.</w:t>
      </w:r>
    </w:p>
    <w:p w14:paraId="36FD5C06" w14:textId="40A153E4" w:rsidR="003A11FB" w:rsidRPr="00037A46" w:rsidRDefault="007D71AF" w:rsidP="00AD4964">
      <w:pPr>
        <w:spacing w:before="0" w:after="160" w:line="259" w:lineRule="auto"/>
        <w:ind w:left="0"/>
        <w:jc w:val="left"/>
        <w:rPr>
          <w:rFonts w:ascii="Calibri" w:eastAsia="Calibri" w:hAnsi="Calibri"/>
          <w:b/>
          <w:bCs/>
          <w:kern w:val="2"/>
          <w:sz w:val="22"/>
          <w:szCs w:val="22"/>
          <w:lang w:val="nl-BE" w:eastAsia="en-US"/>
          <w14:ligatures w14:val="standardContextual"/>
        </w:rPr>
      </w:pPr>
      <w:r w:rsidRPr="00037A46">
        <w:rPr>
          <w:rFonts w:ascii="Calibri" w:eastAsia="Calibri" w:hAnsi="Calibri"/>
          <w:b/>
          <w:bCs/>
          <w:kern w:val="2"/>
          <w:sz w:val="22"/>
          <w:szCs w:val="22"/>
          <w:lang w:val="nl-BE" w:eastAsia="en-US"/>
          <w14:ligatures w14:val="standardContextual"/>
        </w:rPr>
        <w:lastRenderedPageBreak/>
        <w:t xml:space="preserve">Artikel </w:t>
      </w:r>
      <w:r w:rsidR="008E0576">
        <w:rPr>
          <w:rFonts w:ascii="Calibri" w:eastAsia="Calibri" w:hAnsi="Calibri"/>
          <w:b/>
          <w:bCs/>
          <w:kern w:val="2"/>
          <w:sz w:val="22"/>
          <w:szCs w:val="22"/>
          <w:lang w:val="nl-BE" w:eastAsia="en-US"/>
          <w14:ligatures w14:val="standardContextual"/>
        </w:rPr>
        <w:t>186</w:t>
      </w:r>
    </w:p>
    <w:p w14:paraId="30C032EA" w14:textId="77777777" w:rsidR="003A11FB" w:rsidRPr="00037A46" w:rsidRDefault="003A11FB" w:rsidP="006447B8">
      <w:pPr>
        <w:pStyle w:val="StandaardUitvullen"/>
        <w:ind w:left="0"/>
      </w:pPr>
      <w:r w:rsidRPr="00037A46">
        <w:t>Zodra de aanstellende overheid heeft vastgesteld dat een statutair personeelslid zijn ziektekrediet heeft opgebruikt, en als het betrokken personeelslid nog altijd ziek is, kan het bestuur het personeelslid doorverwijzen naar de federale medische dienst die bevoegd is voor de eventuele verklaring tot definitieve ongeschiktheid, met het oog op een eventuele vervroegde pensionering om gezondheidsredenen.</w:t>
      </w:r>
    </w:p>
    <w:p w14:paraId="662A40F8" w14:textId="17D2FEFA" w:rsidR="003A11FB" w:rsidRPr="00037A46" w:rsidRDefault="003A11FB" w:rsidP="00AD4964">
      <w:pPr>
        <w:spacing w:before="0" w:after="160" w:line="259" w:lineRule="auto"/>
        <w:ind w:left="0"/>
        <w:jc w:val="left"/>
        <w:rPr>
          <w:rFonts w:ascii="Calibri" w:eastAsia="Calibri" w:hAnsi="Calibri"/>
          <w:b/>
          <w:bCs/>
          <w:kern w:val="2"/>
          <w:sz w:val="22"/>
          <w:szCs w:val="22"/>
          <w:lang w:val="nl-BE" w:eastAsia="en-US"/>
          <w14:ligatures w14:val="standardContextual"/>
        </w:rPr>
      </w:pPr>
      <w:r w:rsidRPr="00037A46">
        <w:rPr>
          <w:rFonts w:ascii="Calibri" w:eastAsia="Calibri" w:hAnsi="Calibri"/>
          <w:b/>
          <w:bCs/>
          <w:kern w:val="2"/>
          <w:sz w:val="22"/>
          <w:szCs w:val="22"/>
          <w:lang w:val="nl-BE" w:eastAsia="en-US"/>
          <w14:ligatures w14:val="standardContextual"/>
        </w:rPr>
        <w:t xml:space="preserve">Artikel </w:t>
      </w:r>
      <w:r w:rsidR="008E0576">
        <w:rPr>
          <w:rFonts w:ascii="Calibri" w:eastAsia="Calibri" w:hAnsi="Calibri"/>
          <w:b/>
          <w:bCs/>
          <w:kern w:val="2"/>
          <w:sz w:val="22"/>
          <w:szCs w:val="22"/>
          <w:lang w:val="nl-BE" w:eastAsia="en-US"/>
          <w14:ligatures w14:val="standardContextual"/>
        </w:rPr>
        <w:t>187</w:t>
      </w:r>
    </w:p>
    <w:p w14:paraId="7E0B46ED" w14:textId="45BBCF69" w:rsidR="003A11FB" w:rsidRPr="00FD7E2F" w:rsidRDefault="00057DE7" w:rsidP="006447B8">
      <w:pPr>
        <w:ind w:left="0"/>
        <w:rPr>
          <w:rStyle w:val="Zwaar"/>
          <w:b w:val="0"/>
          <w:bCs/>
          <w:szCs w:val="24"/>
        </w:rPr>
      </w:pPr>
      <w:r w:rsidRPr="00FD7E2F">
        <w:rPr>
          <w:bCs/>
        </w:rPr>
        <w:t>§</w:t>
      </w:r>
      <w:r w:rsidR="003A11FB" w:rsidRPr="00FD7E2F">
        <w:rPr>
          <w:bCs/>
        </w:rPr>
        <w:t>1</w:t>
      </w:r>
      <w:r w:rsidR="00FD7E2F" w:rsidRPr="00FD7E2F">
        <w:rPr>
          <w:bCs/>
        </w:rPr>
        <w:t>.</w:t>
      </w:r>
      <w:r w:rsidR="00D17211" w:rsidRPr="00FD7E2F">
        <w:rPr>
          <w:bCs/>
        </w:rPr>
        <w:t xml:space="preserve"> </w:t>
      </w:r>
      <w:r w:rsidR="003A11FB" w:rsidRPr="00FD7E2F">
        <w:rPr>
          <w:rStyle w:val="Zwaar"/>
          <w:b w:val="0"/>
          <w:bCs/>
          <w:szCs w:val="24"/>
        </w:rPr>
        <w:t>Verlof wegens arbeidsongeschiktheid wordt toegestaan voor de duur van de afwezigheid naar aanleiding van:</w:t>
      </w:r>
    </w:p>
    <w:p w14:paraId="11ACF454" w14:textId="77777777" w:rsidR="003A11FB" w:rsidRPr="00FD7E2F" w:rsidRDefault="003A11FB" w:rsidP="009D4C40">
      <w:pPr>
        <w:pStyle w:val="StandaardUitvullen"/>
        <w:numPr>
          <w:ilvl w:val="0"/>
          <w:numId w:val="20"/>
        </w:numPr>
        <w:rPr>
          <w:rStyle w:val="Zwaar"/>
          <w:b w:val="0"/>
          <w:bCs/>
          <w:snapToGrid w:val="0"/>
        </w:rPr>
      </w:pPr>
      <w:r w:rsidRPr="00FD7E2F">
        <w:rPr>
          <w:rStyle w:val="Zwaar"/>
          <w:b w:val="0"/>
          <w:bCs/>
          <w:snapToGrid w:val="0"/>
        </w:rPr>
        <w:t>een arbeidsongeval;</w:t>
      </w:r>
    </w:p>
    <w:p w14:paraId="3325E24E" w14:textId="77777777" w:rsidR="003A11FB" w:rsidRPr="00FD7E2F" w:rsidRDefault="003A11FB" w:rsidP="009D4C40">
      <w:pPr>
        <w:pStyle w:val="StandaardUitvullen"/>
        <w:numPr>
          <w:ilvl w:val="0"/>
          <w:numId w:val="20"/>
        </w:numPr>
        <w:rPr>
          <w:rStyle w:val="Zwaar"/>
          <w:b w:val="0"/>
          <w:bCs/>
          <w:snapToGrid w:val="0"/>
        </w:rPr>
      </w:pPr>
      <w:r w:rsidRPr="00FD7E2F">
        <w:rPr>
          <w:rStyle w:val="Zwaar"/>
          <w:b w:val="0"/>
          <w:bCs/>
          <w:snapToGrid w:val="0"/>
        </w:rPr>
        <w:t>een ongeval op de weg naar en van het werk;</w:t>
      </w:r>
    </w:p>
    <w:p w14:paraId="4F678F1F" w14:textId="77777777" w:rsidR="003A11FB" w:rsidRPr="00FD7E2F" w:rsidRDefault="003A11FB" w:rsidP="009D4C40">
      <w:pPr>
        <w:pStyle w:val="StandaardUitvullen"/>
        <w:numPr>
          <w:ilvl w:val="0"/>
          <w:numId w:val="20"/>
        </w:numPr>
        <w:rPr>
          <w:rStyle w:val="Zwaar"/>
          <w:b w:val="0"/>
          <w:bCs/>
          <w:snapToGrid w:val="0"/>
        </w:rPr>
      </w:pPr>
      <w:r w:rsidRPr="00FD7E2F">
        <w:rPr>
          <w:rStyle w:val="Zwaar"/>
          <w:b w:val="0"/>
          <w:bCs/>
          <w:snapToGrid w:val="0"/>
        </w:rPr>
        <w:t>een ongeval van gemeen recht, veroorzaakt door de schuld van een derde;</w:t>
      </w:r>
    </w:p>
    <w:p w14:paraId="52EA685C" w14:textId="77777777" w:rsidR="003A11FB" w:rsidRPr="00FD7E2F" w:rsidRDefault="003A11FB" w:rsidP="009D4C40">
      <w:pPr>
        <w:pStyle w:val="StandaardUitvullen"/>
        <w:numPr>
          <w:ilvl w:val="0"/>
          <w:numId w:val="20"/>
        </w:numPr>
        <w:rPr>
          <w:rStyle w:val="Zwaar"/>
          <w:b w:val="0"/>
          <w:bCs/>
          <w:snapToGrid w:val="0"/>
        </w:rPr>
      </w:pPr>
      <w:r w:rsidRPr="00FD7E2F">
        <w:rPr>
          <w:rStyle w:val="Zwaar"/>
          <w:b w:val="0"/>
          <w:bCs/>
          <w:snapToGrid w:val="0"/>
        </w:rPr>
        <w:t>een beroepsziekte;</w:t>
      </w:r>
    </w:p>
    <w:p w14:paraId="05B271EF" w14:textId="1CEA3108" w:rsidR="003A11FB" w:rsidRPr="00FD7E2F" w:rsidRDefault="003A11FB" w:rsidP="009D4C40">
      <w:pPr>
        <w:pStyle w:val="StandaardUitvullen"/>
        <w:numPr>
          <w:ilvl w:val="0"/>
          <w:numId w:val="20"/>
        </w:numPr>
        <w:rPr>
          <w:rStyle w:val="Zwaar"/>
          <w:b w:val="0"/>
          <w:bCs/>
          <w:snapToGrid w:val="0"/>
        </w:rPr>
      </w:pPr>
      <w:r w:rsidRPr="00FD7E2F">
        <w:rPr>
          <w:rStyle w:val="Zwaar"/>
          <w:b w:val="0"/>
          <w:bCs/>
          <w:snapToGrid w:val="0"/>
        </w:rPr>
        <w:t>de vrijstelling van arbeid van het zwangere personeelslid of het personeelslid dat borstvoeding geeft en dat werkt in een schadelijk arbeidsmilieu, nadat vastgesteld werd dat geen aangepaste of andere arbeidsplaats mogelijk is</w:t>
      </w:r>
      <w:r w:rsidR="00ED4000" w:rsidRPr="00FD7E2F">
        <w:rPr>
          <w:rStyle w:val="Zwaar"/>
          <w:b w:val="0"/>
          <w:bCs/>
          <w:snapToGrid w:val="0"/>
        </w:rPr>
        <w:t>.</w:t>
      </w:r>
    </w:p>
    <w:p w14:paraId="34930BC0" w14:textId="37D00A12" w:rsidR="003A11FB" w:rsidRPr="00FD7E2F" w:rsidRDefault="003A11FB" w:rsidP="006447B8">
      <w:pPr>
        <w:ind w:left="0"/>
        <w:rPr>
          <w:bCs/>
        </w:rPr>
      </w:pPr>
      <w:r w:rsidRPr="00FD7E2F">
        <w:rPr>
          <w:bCs/>
        </w:rPr>
        <w:t xml:space="preserve">Die dagen afwezigheid worden niet aangerekend op het beschikbare ziektekrediet, vermeld in artikel </w:t>
      </w:r>
      <w:r w:rsidR="009C642B" w:rsidRPr="00FD7E2F">
        <w:rPr>
          <w:bCs/>
        </w:rPr>
        <w:t>185</w:t>
      </w:r>
      <w:r w:rsidR="00880CA5" w:rsidRPr="00FD7E2F">
        <w:rPr>
          <w:bCs/>
        </w:rPr>
        <w:t>. De afwezigheden vermeld in artikel</w:t>
      </w:r>
      <w:r w:rsidR="00C100A3" w:rsidRPr="00FD7E2F">
        <w:rPr>
          <w:bCs/>
        </w:rPr>
        <w:t xml:space="preserve"> </w:t>
      </w:r>
      <w:r w:rsidR="009C642B" w:rsidRPr="00FD7E2F">
        <w:rPr>
          <w:bCs/>
        </w:rPr>
        <w:t>187</w:t>
      </w:r>
      <w:r w:rsidR="00880CA5" w:rsidRPr="00FD7E2F">
        <w:rPr>
          <w:bCs/>
        </w:rPr>
        <w:t xml:space="preserve"> §1, punt 1</w:t>
      </w:r>
      <w:r w:rsidR="00A83082" w:rsidRPr="00FD7E2F">
        <w:rPr>
          <w:bCs/>
        </w:rPr>
        <w:t xml:space="preserve"> </w:t>
      </w:r>
      <w:r w:rsidR="00880CA5" w:rsidRPr="00FD7E2F">
        <w:rPr>
          <w:bCs/>
        </w:rPr>
        <w:t>tot en met 4 worden wel fictief in rekening gebracht met het oog op een vervroegde oppensioenstelling via MEDEX.</w:t>
      </w:r>
    </w:p>
    <w:p w14:paraId="08368DF5" w14:textId="0E65416B" w:rsidR="003A11FB" w:rsidRPr="00FD7E2F" w:rsidRDefault="00057DE7" w:rsidP="006447B8">
      <w:pPr>
        <w:ind w:left="0"/>
        <w:rPr>
          <w:rStyle w:val="Zwaar"/>
          <w:b w:val="0"/>
          <w:bCs/>
          <w:snapToGrid w:val="0"/>
        </w:rPr>
      </w:pPr>
      <w:r w:rsidRPr="00FD7E2F">
        <w:rPr>
          <w:bCs/>
        </w:rPr>
        <w:t>§</w:t>
      </w:r>
      <w:r w:rsidR="003A11FB" w:rsidRPr="00FD7E2F">
        <w:rPr>
          <w:bCs/>
        </w:rPr>
        <w:t>2</w:t>
      </w:r>
      <w:r w:rsidR="00FD7E2F" w:rsidRPr="00FD7E2F">
        <w:rPr>
          <w:bCs/>
        </w:rPr>
        <w:t>.</w:t>
      </w:r>
      <w:r w:rsidR="00D17211" w:rsidRPr="00FD7E2F">
        <w:rPr>
          <w:bCs/>
        </w:rPr>
        <w:t xml:space="preserve"> </w:t>
      </w:r>
      <w:r w:rsidR="003A11FB" w:rsidRPr="00FD7E2F">
        <w:rPr>
          <w:rStyle w:val="Zwaar"/>
          <w:b w:val="0"/>
          <w:bCs/>
          <w:snapToGrid w:val="0"/>
        </w:rPr>
        <w:t xml:space="preserve">In de </w:t>
      </w:r>
      <w:r w:rsidR="00637322" w:rsidRPr="00FD7E2F">
        <w:rPr>
          <w:rStyle w:val="Zwaar"/>
          <w:b w:val="0"/>
          <w:bCs/>
          <w:snapToGrid w:val="0"/>
        </w:rPr>
        <w:t>situaties</w:t>
      </w:r>
      <w:r w:rsidR="003A11FB" w:rsidRPr="00FD7E2F">
        <w:rPr>
          <w:rStyle w:val="Zwaar"/>
          <w:b w:val="0"/>
          <w:bCs/>
          <w:snapToGrid w:val="0"/>
        </w:rPr>
        <w:t xml:space="preserve"> waarin de afwezigheid door de oorzaken, vermeld in §1, </w:t>
      </w:r>
      <w:r w:rsidR="00C7130A" w:rsidRPr="00FD7E2F">
        <w:rPr>
          <w:rStyle w:val="Zwaar"/>
          <w:b w:val="0"/>
          <w:bCs/>
          <w:snapToGrid w:val="0"/>
        </w:rPr>
        <w:t>punt 1</w:t>
      </w:r>
      <w:r w:rsidR="003A11FB" w:rsidRPr="00FD7E2F">
        <w:rPr>
          <w:rStyle w:val="Zwaar"/>
          <w:b w:val="0"/>
          <w:bCs/>
          <w:snapToGrid w:val="0"/>
        </w:rPr>
        <w:t xml:space="preserve"> tot en met 4, te wijten is aan een verantwoordelijke derde partij, ontvangt het statutaire personeelslid het salaris alleen als voorschot, dat nadien verrekend wordt op de door de derde verschuldigde vergoeding en dat op de derde te verhalen is.</w:t>
      </w:r>
    </w:p>
    <w:p w14:paraId="2FF0B53D" w14:textId="77777777" w:rsidR="003A11FB" w:rsidRDefault="003A11FB" w:rsidP="006447B8">
      <w:pPr>
        <w:pStyle w:val="StandaardUitvullen"/>
        <w:ind w:left="0"/>
        <w:rPr>
          <w:rStyle w:val="Zwaar"/>
          <w:b w:val="0"/>
          <w:snapToGrid w:val="0"/>
        </w:rPr>
      </w:pPr>
      <w:r w:rsidRPr="00FD7E2F">
        <w:rPr>
          <w:rStyle w:val="Zwaar"/>
          <w:b w:val="0"/>
          <w:bCs/>
          <w:snapToGrid w:val="0"/>
        </w:rPr>
        <w:t xml:space="preserve">Om het salaris </w:t>
      </w:r>
      <w:r w:rsidRPr="00037A46">
        <w:rPr>
          <w:rStyle w:val="Zwaar"/>
          <w:b w:val="0"/>
          <w:snapToGrid w:val="0"/>
        </w:rPr>
        <w:t>als voorschot te kunnen verkrijgen, moet het personeelslid zijn bestuur in alle rechten, vorderingen en rechtsmiddelen laten treden die de getroffene kan doen gelden tegen de persoon die verantwoordelijk is voor het ongeval, tot het bedrag van het salaris.</w:t>
      </w:r>
    </w:p>
    <w:p w14:paraId="103C9E79" w14:textId="50AD6F90" w:rsidR="00BC1B30" w:rsidRPr="002D1C23" w:rsidRDefault="00B840EE" w:rsidP="002D1C23">
      <w:pPr>
        <w:pStyle w:val="Kop3"/>
      </w:pPr>
      <w:bookmarkStart w:id="245" w:name="_Toc215739038"/>
      <w:r>
        <w:t>Afdeling 2</w:t>
      </w:r>
      <w:r w:rsidR="00860B7B" w:rsidRPr="002D1C23">
        <w:t xml:space="preserve">. </w:t>
      </w:r>
      <w:r>
        <w:t>deeltijdse werkhervatting na ziekte</w:t>
      </w:r>
      <w:bookmarkEnd w:id="245"/>
    </w:p>
    <w:p w14:paraId="6E9C7B6B" w14:textId="0F5E44FA" w:rsidR="00BC1B30" w:rsidRPr="00860B7B" w:rsidRDefault="00BC1B30" w:rsidP="00BC1B30">
      <w:pPr>
        <w:pStyle w:val="StandaardUitvullen"/>
        <w:ind w:left="0"/>
        <w:rPr>
          <w:rStyle w:val="Zwaar"/>
          <w:bCs/>
          <w:snapToGrid w:val="0"/>
        </w:rPr>
      </w:pPr>
      <w:r w:rsidRPr="00860B7B">
        <w:rPr>
          <w:rStyle w:val="Zwaar"/>
          <w:bCs/>
          <w:snapToGrid w:val="0"/>
        </w:rPr>
        <w:t xml:space="preserve">Artikel </w:t>
      </w:r>
      <w:r w:rsidR="008E0576">
        <w:rPr>
          <w:rStyle w:val="Zwaar"/>
          <w:bCs/>
          <w:snapToGrid w:val="0"/>
        </w:rPr>
        <w:t>188</w:t>
      </w:r>
    </w:p>
    <w:p w14:paraId="0437BC93" w14:textId="209F3317" w:rsidR="00BC1B30" w:rsidRPr="00226907" w:rsidRDefault="00226907" w:rsidP="006447B8">
      <w:pPr>
        <w:pStyle w:val="StandaardUitvullen"/>
        <w:ind w:left="0"/>
        <w:rPr>
          <w:rStyle w:val="Zwaar"/>
          <w:b w:val="0"/>
          <w:snapToGrid w:val="0"/>
        </w:rPr>
      </w:pPr>
      <w:r w:rsidRPr="00226907">
        <w:rPr>
          <w:rStyle w:val="Zwaar"/>
          <w:b w:val="0"/>
          <w:snapToGrid w:val="0"/>
        </w:rPr>
        <w:t>P</w:t>
      </w:r>
      <w:r w:rsidR="00BC1B30" w:rsidRPr="00226907">
        <w:rPr>
          <w:rStyle w:val="Zwaar"/>
          <w:b w:val="0"/>
          <w:snapToGrid w:val="0"/>
        </w:rPr>
        <w:t xml:space="preserve">ersoneelsleden die afwezig zijn wegens ziekte of ongeval privéleven kunnen in het kader van een re-integratietraject (RIT) de toestemming krijgen om de arbeid deeltijds te hervatten. </w:t>
      </w:r>
    </w:p>
    <w:p w14:paraId="694A066D" w14:textId="78152373" w:rsidR="00BC1B30" w:rsidRPr="00226907" w:rsidRDefault="00BC1B30" w:rsidP="006447B8">
      <w:pPr>
        <w:pStyle w:val="StandaardUitvullen"/>
        <w:ind w:left="0"/>
        <w:rPr>
          <w:rStyle w:val="Zwaar"/>
          <w:b w:val="0"/>
          <w:snapToGrid w:val="0"/>
        </w:rPr>
      </w:pPr>
      <w:r w:rsidRPr="00226907">
        <w:rPr>
          <w:rStyle w:val="Zwaar"/>
          <w:b w:val="0"/>
          <w:snapToGrid w:val="0"/>
        </w:rPr>
        <w:t>Zowel het personeelslid als de werkgever kunnen een RIT opstarten volgens de modaliteiten bepaald in de Codex Welzijn op het Werk.</w:t>
      </w:r>
    </w:p>
    <w:p w14:paraId="57E5782F" w14:textId="77A9D2B7" w:rsidR="00BC1B30" w:rsidRPr="00860B7B" w:rsidRDefault="00BC1B30" w:rsidP="00BC1B30">
      <w:pPr>
        <w:pStyle w:val="StandaardUitvullen"/>
        <w:ind w:left="0"/>
        <w:rPr>
          <w:rStyle w:val="Zwaar"/>
          <w:bCs/>
          <w:snapToGrid w:val="0"/>
        </w:rPr>
      </w:pPr>
      <w:r w:rsidRPr="00860B7B">
        <w:rPr>
          <w:rStyle w:val="Zwaar"/>
          <w:bCs/>
          <w:snapToGrid w:val="0"/>
        </w:rPr>
        <w:t xml:space="preserve">Artikel </w:t>
      </w:r>
      <w:r w:rsidR="008E0576">
        <w:rPr>
          <w:rStyle w:val="Zwaar"/>
          <w:bCs/>
          <w:snapToGrid w:val="0"/>
        </w:rPr>
        <w:t>189</w:t>
      </w:r>
    </w:p>
    <w:p w14:paraId="19409531" w14:textId="1DA1A3A3" w:rsidR="00BC1B30" w:rsidRPr="00BC1B30" w:rsidRDefault="00BC1B30" w:rsidP="006447B8">
      <w:pPr>
        <w:pStyle w:val="StandaardUitvullen"/>
        <w:ind w:left="0"/>
        <w:rPr>
          <w:rStyle w:val="Zwaar"/>
          <w:b w:val="0"/>
          <w:snapToGrid w:val="0"/>
        </w:rPr>
      </w:pPr>
      <w:r w:rsidRPr="00BC1B30">
        <w:rPr>
          <w:rStyle w:val="Zwaar"/>
          <w:b w:val="0"/>
          <w:snapToGrid w:val="0"/>
        </w:rPr>
        <w:t xml:space="preserve">§1. </w:t>
      </w:r>
      <w:r w:rsidR="009A288A">
        <w:rPr>
          <w:rStyle w:val="Zwaar"/>
          <w:b w:val="0"/>
          <w:snapToGrid w:val="0"/>
        </w:rPr>
        <w:t>Voor de statutaire personeelsleden wordt d</w:t>
      </w:r>
      <w:r w:rsidRPr="00BC1B30">
        <w:rPr>
          <w:rStyle w:val="Zwaar"/>
          <w:b w:val="0"/>
          <w:snapToGrid w:val="0"/>
        </w:rPr>
        <w:t xml:space="preserve">e toestemming </w:t>
      </w:r>
      <w:r w:rsidR="009A288A">
        <w:rPr>
          <w:rStyle w:val="Zwaar"/>
          <w:b w:val="0"/>
          <w:snapToGrid w:val="0"/>
        </w:rPr>
        <w:t xml:space="preserve">voor progressieve werkhervatting </w:t>
      </w:r>
      <w:r w:rsidRPr="00BC1B30">
        <w:rPr>
          <w:rStyle w:val="Zwaar"/>
          <w:b w:val="0"/>
          <w:snapToGrid w:val="0"/>
        </w:rPr>
        <w:t xml:space="preserve">verleend door de </w:t>
      </w:r>
      <w:r w:rsidR="0076338C">
        <w:rPr>
          <w:rStyle w:val="Zwaar"/>
          <w:b w:val="0"/>
          <w:snapToGrid w:val="0"/>
        </w:rPr>
        <w:t>algemeen directeur</w:t>
      </w:r>
      <w:r w:rsidRPr="00BC1B30">
        <w:rPr>
          <w:rStyle w:val="Zwaar"/>
          <w:b w:val="0"/>
          <w:snapToGrid w:val="0"/>
        </w:rPr>
        <w:t xml:space="preserve"> (na advies van de rechtstreeks leidinggevende) voor een periode van maximum 3 maanden en volgens een prestatiebreuk overeenkomstig het advies van de preventieadviseur-arbeidsarts en kan, als dat nodig is, verlengd worden volgens het advies van de preventieadviseur-arbeidsarts, met een maximumperiode van telkens 3 maanden.</w:t>
      </w:r>
    </w:p>
    <w:p w14:paraId="5DA844C7" w14:textId="77777777" w:rsidR="00BC1B30" w:rsidRPr="00BC1B30" w:rsidRDefault="00BC1B30" w:rsidP="006447B8">
      <w:pPr>
        <w:pStyle w:val="StandaardUitvullen"/>
        <w:ind w:left="0"/>
        <w:rPr>
          <w:rStyle w:val="Zwaar"/>
          <w:b w:val="0"/>
          <w:snapToGrid w:val="0"/>
        </w:rPr>
      </w:pPr>
      <w:r w:rsidRPr="00BC1B30">
        <w:rPr>
          <w:rStyle w:val="Zwaar"/>
          <w:b w:val="0"/>
          <w:snapToGrid w:val="0"/>
        </w:rPr>
        <w:t>§2. De deeltijdse werkhervatting (of eventuele verlenging) na ziekte is geen recht maar een gunst.</w:t>
      </w:r>
    </w:p>
    <w:p w14:paraId="1B63672E" w14:textId="77777777" w:rsidR="00BC1B30" w:rsidRPr="00BC1B30" w:rsidRDefault="00BC1B30" w:rsidP="006447B8">
      <w:pPr>
        <w:pStyle w:val="StandaardUitvullen"/>
        <w:ind w:left="0"/>
        <w:rPr>
          <w:rStyle w:val="Zwaar"/>
          <w:b w:val="0"/>
          <w:snapToGrid w:val="0"/>
        </w:rPr>
      </w:pPr>
      <w:r w:rsidRPr="00BC1B30">
        <w:rPr>
          <w:rStyle w:val="Zwaar"/>
          <w:b w:val="0"/>
          <w:snapToGrid w:val="0"/>
        </w:rPr>
        <w:t xml:space="preserve">§3. De afwezigheid van het statutaire personeelslid tijdens een periode van deeltijdse prestaties wegens arbeidsongeschiktheid wordt beschouwd als verlof voor gedeeltelijke werkhervatting. </w:t>
      </w:r>
    </w:p>
    <w:p w14:paraId="4F79FDDE" w14:textId="709F714B" w:rsidR="00BC1B30" w:rsidRDefault="00BC1B30" w:rsidP="006447B8">
      <w:pPr>
        <w:pStyle w:val="StandaardUitvullen"/>
        <w:ind w:left="0"/>
        <w:rPr>
          <w:rStyle w:val="Zwaar"/>
          <w:b w:val="0"/>
          <w:snapToGrid w:val="0"/>
        </w:rPr>
      </w:pPr>
      <w:r w:rsidRPr="00BC1B30">
        <w:rPr>
          <w:rStyle w:val="Zwaar"/>
          <w:b w:val="0"/>
          <w:snapToGrid w:val="0"/>
        </w:rPr>
        <w:lastRenderedPageBreak/>
        <w:t xml:space="preserve">§4. Op verzoek van het </w:t>
      </w:r>
      <w:r w:rsidR="00D759FC">
        <w:rPr>
          <w:rStyle w:val="Zwaar"/>
          <w:b w:val="0"/>
          <w:snapToGrid w:val="0"/>
        </w:rPr>
        <w:t xml:space="preserve">statutair </w:t>
      </w:r>
      <w:r w:rsidRPr="00BC1B30">
        <w:rPr>
          <w:rStyle w:val="Zwaar"/>
          <w:b w:val="0"/>
          <w:snapToGrid w:val="0"/>
        </w:rPr>
        <w:t>personeelslid kan de afwezigheid tijdens de periode van deeltijdse prestaties wegens arbeidsongeschiktheid aangerekend worden op het ziektekrediet met behoud van het volledige salaris.</w:t>
      </w:r>
    </w:p>
    <w:p w14:paraId="160D034B" w14:textId="6597A7AF" w:rsidR="00BC1B30" w:rsidRPr="00860B7B" w:rsidRDefault="00BC1B30" w:rsidP="00BC1B30">
      <w:pPr>
        <w:pStyle w:val="StandaardUitvullen"/>
        <w:ind w:left="0"/>
        <w:rPr>
          <w:rStyle w:val="Zwaar"/>
          <w:bCs/>
          <w:snapToGrid w:val="0"/>
        </w:rPr>
      </w:pPr>
      <w:r w:rsidRPr="00860B7B">
        <w:rPr>
          <w:rStyle w:val="Zwaar"/>
          <w:bCs/>
          <w:snapToGrid w:val="0"/>
        </w:rPr>
        <w:t xml:space="preserve">Artikel </w:t>
      </w:r>
      <w:r w:rsidR="008E0576">
        <w:rPr>
          <w:rStyle w:val="Zwaar"/>
          <w:bCs/>
          <w:snapToGrid w:val="0"/>
        </w:rPr>
        <w:t>190</w:t>
      </w:r>
    </w:p>
    <w:p w14:paraId="0C441F54" w14:textId="77777777" w:rsidR="00BC1B30" w:rsidRPr="00BC1B30" w:rsidRDefault="00BC1B30" w:rsidP="006447B8">
      <w:pPr>
        <w:pStyle w:val="StandaardUitvullen"/>
        <w:ind w:left="0"/>
        <w:rPr>
          <w:rStyle w:val="Zwaar"/>
          <w:b w:val="0"/>
          <w:snapToGrid w:val="0"/>
        </w:rPr>
      </w:pPr>
      <w:r w:rsidRPr="00BC1B30">
        <w:rPr>
          <w:rStyle w:val="Zwaar"/>
          <w:b w:val="0"/>
          <w:snapToGrid w:val="0"/>
        </w:rPr>
        <w:t>§1. Het statutaire personeelslid krijgt tijdens een periode van deeltijdse prestaties wegens arbeidsongeschiktheid het salaris voor de effectief geleverde prestaties, vermeerderd met 37,5% van het salaris dat verschuldigd zou zijn voor de prestaties die niet worden geleverd, met dien verstande dat het salaris van het statutaire personeelslid dat deeltijds herneemt nooit minder kan zijn dan het wachtgeld dat het zou krijgen als het in disponibiliteit wegens arbeidsongeschiktheid zou worden gesteld.</w:t>
      </w:r>
    </w:p>
    <w:p w14:paraId="50156056" w14:textId="77777777" w:rsidR="00633E24" w:rsidRDefault="00BC1B30" w:rsidP="006447B8">
      <w:pPr>
        <w:pStyle w:val="StandaardUitvullen"/>
        <w:ind w:left="0"/>
        <w:rPr>
          <w:rStyle w:val="Zwaar"/>
          <w:b w:val="0"/>
          <w:snapToGrid w:val="0"/>
        </w:rPr>
      </w:pPr>
      <w:r w:rsidRPr="00BC1B30">
        <w:rPr>
          <w:rStyle w:val="Zwaar"/>
          <w:b w:val="0"/>
          <w:snapToGrid w:val="0"/>
        </w:rPr>
        <w:t>§2. Het statutaire personeelslid dat kiest om tijdens de afwezigheid wegens deeltijdse prestaties de periode van arbeidsongeschiktheid aan te rekenen op het beschikbare ziektekrediet, valt na uitputting van het ziektekrediet automatisch terug op de financiële regeling zoals bepaald in voorgaande paragraaf.</w:t>
      </w:r>
      <w:r w:rsidR="00633E24" w:rsidRPr="00633E24">
        <w:rPr>
          <w:rStyle w:val="Zwaar"/>
          <w:b w:val="0"/>
          <w:snapToGrid w:val="0"/>
        </w:rPr>
        <w:t xml:space="preserve"> </w:t>
      </w:r>
    </w:p>
    <w:p w14:paraId="558C8BCA" w14:textId="0ECC788B" w:rsidR="00633E24" w:rsidRPr="00BC1B30" w:rsidRDefault="00633E24" w:rsidP="006447B8">
      <w:pPr>
        <w:pStyle w:val="StandaardUitvullen"/>
        <w:ind w:left="0"/>
        <w:rPr>
          <w:rStyle w:val="Zwaar"/>
          <w:b w:val="0"/>
          <w:snapToGrid w:val="0"/>
        </w:rPr>
      </w:pPr>
      <w:r>
        <w:rPr>
          <w:rStyle w:val="Zwaar"/>
          <w:b w:val="0"/>
          <w:snapToGrid w:val="0"/>
        </w:rPr>
        <w:t xml:space="preserve">§3. Het contractuele personeelslid ontvangt tijdens de gedeeltelijke werkhervatting na een periode van arbeidsongeschiktheid een financiële </w:t>
      </w:r>
      <w:proofErr w:type="spellStart"/>
      <w:r>
        <w:rPr>
          <w:rStyle w:val="Zwaar"/>
          <w:b w:val="0"/>
          <w:snapToGrid w:val="0"/>
        </w:rPr>
        <w:t>bijpassing</w:t>
      </w:r>
      <w:proofErr w:type="spellEnd"/>
      <w:r>
        <w:rPr>
          <w:rStyle w:val="Zwaar"/>
          <w:b w:val="0"/>
          <w:snapToGrid w:val="0"/>
        </w:rPr>
        <w:t xml:space="preserve"> van de mutualiteit.</w:t>
      </w:r>
    </w:p>
    <w:p w14:paraId="36CE9410" w14:textId="088A3508" w:rsidR="009F153B" w:rsidRPr="002D1C23" w:rsidRDefault="00B840EE" w:rsidP="002D1C23">
      <w:pPr>
        <w:pStyle w:val="Kop3"/>
      </w:pPr>
      <w:bookmarkStart w:id="246" w:name="_Toc215739039"/>
      <w:bookmarkStart w:id="247" w:name="_Toc110948228"/>
      <w:r>
        <w:t>Afdeling 3</w:t>
      </w:r>
      <w:r w:rsidR="009F153B" w:rsidRPr="002D1C23">
        <w:t xml:space="preserve">: </w:t>
      </w:r>
      <w:r>
        <w:t>disponibiliteit</w:t>
      </w:r>
      <w:bookmarkEnd w:id="246"/>
    </w:p>
    <w:p w14:paraId="66FE104D" w14:textId="77777777" w:rsidR="000E4F49" w:rsidRDefault="000E4F49" w:rsidP="000E4F49">
      <w:pPr>
        <w:pStyle w:val="Bloktekst"/>
        <w:ind w:left="0"/>
      </w:pPr>
      <w:bookmarkStart w:id="248" w:name="_Toc110948229"/>
      <w:bookmarkEnd w:id="247"/>
    </w:p>
    <w:p w14:paraId="199F1DD5" w14:textId="16D8F1CC" w:rsidR="0053193A" w:rsidRPr="0053193A" w:rsidRDefault="0053193A" w:rsidP="0053193A">
      <w:pPr>
        <w:pStyle w:val="StandaardUitvullen"/>
        <w:ind w:left="0"/>
        <w:rPr>
          <w:rStyle w:val="Zwaar"/>
          <w:snapToGrid w:val="0"/>
        </w:rPr>
      </w:pPr>
      <w:r w:rsidRPr="0053193A">
        <w:rPr>
          <w:rStyle w:val="Zwaar"/>
          <w:snapToGrid w:val="0"/>
        </w:rPr>
        <w:t xml:space="preserve">Artikel </w:t>
      </w:r>
      <w:r w:rsidR="008E0576">
        <w:rPr>
          <w:rStyle w:val="Zwaar"/>
          <w:snapToGrid w:val="0"/>
        </w:rPr>
        <w:t>191</w:t>
      </w:r>
    </w:p>
    <w:p w14:paraId="08482636" w14:textId="5D8B5539" w:rsidR="0053193A" w:rsidRPr="00FD7E2F" w:rsidRDefault="0053193A" w:rsidP="006447B8">
      <w:pPr>
        <w:pStyle w:val="Bloktekst"/>
        <w:ind w:left="0"/>
        <w:rPr>
          <w:b w:val="0"/>
          <w:bCs/>
        </w:rPr>
      </w:pPr>
      <w:r w:rsidRPr="0053193A">
        <w:rPr>
          <w:b w:val="0"/>
          <w:bCs/>
        </w:rPr>
        <w:t xml:space="preserve">§1. Als de ziektekredietdagen opgebruikt zijn, wordt het statutaire personeelslid in disponibiliteit wegens arbeidsongeschiktheid gesteld. </w:t>
      </w:r>
      <w:r w:rsidR="00FB6583" w:rsidRPr="00FD7E2F">
        <w:rPr>
          <w:b w:val="0"/>
          <w:bCs/>
        </w:rPr>
        <w:t>Dit wordt vastgesteld door de aanstellende overheid.</w:t>
      </w:r>
    </w:p>
    <w:p w14:paraId="52EE9113" w14:textId="77777777" w:rsidR="0053193A" w:rsidRDefault="0053193A" w:rsidP="006447B8">
      <w:pPr>
        <w:pStyle w:val="Bloktekst"/>
        <w:ind w:left="0"/>
        <w:rPr>
          <w:b w:val="0"/>
          <w:bCs/>
        </w:rPr>
      </w:pPr>
      <w:r w:rsidRPr="00FD7E2F">
        <w:rPr>
          <w:b w:val="0"/>
          <w:bCs/>
        </w:rPr>
        <w:t>§2. Het personeelslid krijgt een wachtgeld voor het</w:t>
      </w:r>
      <w:r w:rsidRPr="0053193A">
        <w:rPr>
          <w:b w:val="0"/>
          <w:bCs/>
        </w:rPr>
        <w:t xml:space="preserve"> afwezigheidspercentage dat gelijk is aan 60% van het laatste </w:t>
      </w:r>
      <w:proofErr w:type="spellStart"/>
      <w:r w:rsidRPr="0053193A">
        <w:rPr>
          <w:b w:val="0"/>
          <w:bCs/>
        </w:rPr>
        <w:t>activiteitssalaris</w:t>
      </w:r>
      <w:proofErr w:type="spellEnd"/>
      <w:r w:rsidRPr="0053193A">
        <w:rPr>
          <w:b w:val="0"/>
          <w:bCs/>
        </w:rPr>
        <w:t xml:space="preserve"> en de fictieve ontwikkeling daarvan, berekend volgens de regels die van toepassing zouden zijn geweest als het personeelslid nog in effectieve actieve dienst was gebleven. </w:t>
      </w:r>
    </w:p>
    <w:p w14:paraId="25406D3B" w14:textId="77777777" w:rsidR="0053193A" w:rsidRPr="0053193A" w:rsidRDefault="0053193A" w:rsidP="006447B8">
      <w:pPr>
        <w:pStyle w:val="Bloktekst"/>
        <w:ind w:left="0"/>
        <w:rPr>
          <w:b w:val="0"/>
          <w:bCs/>
        </w:rPr>
      </w:pPr>
      <w:r w:rsidRPr="0053193A">
        <w:rPr>
          <w:b w:val="0"/>
          <w:bCs/>
        </w:rPr>
        <w:t>§3. De disponibiliteit wegens arbeidsongeschiktheid maakt geen einde aan de stelsels van loopbaanonderbreking of zorgkrediet, noch aan het onbetaalde verlof.</w:t>
      </w:r>
    </w:p>
    <w:p w14:paraId="33AB366B" w14:textId="77777777" w:rsidR="0053193A" w:rsidRPr="0053193A" w:rsidRDefault="0053193A" w:rsidP="006447B8">
      <w:pPr>
        <w:pStyle w:val="Bloktekst"/>
        <w:ind w:left="0"/>
        <w:rPr>
          <w:b w:val="0"/>
          <w:bCs/>
        </w:rPr>
      </w:pPr>
      <w:r w:rsidRPr="0053193A">
        <w:rPr>
          <w:b w:val="0"/>
          <w:bCs/>
        </w:rPr>
        <w:t xml:space="preserve">§4. Het laatste </w:t>
      </w:r>
      <w:proofErr w:type="spellStart"/>
      <w:r w:rsidRPr="0053193A">
        <w:rPr>
          <w:b w:val="0"/>
          <w:bCs/>
        </w:rPr>
        <w:t>activiteitssalaris</w:t>
      </w:r>
      <w:proofErr w:type="spellEnd"/>
      <w:r w:rsidRPr="0053193A">
        <w:rPr>
          <w:b w:val="0"/>
          <w:bCs/>
        </w:rPr>
        <w:t xml:space="preserve"> is het salaris dat verschuldigd is overeenkomstig het prestatiestelsel op het ogenblik waarop het personeelslid in disponibiliteit is geplaatst.</w:t>
      </w:r>
    </w:p>
    <w:p w14:paraId="4A53735F" w14:textId="04DC9998" w:rsidR="0053193A" w:rsidRDefault="0053193A" w:rsidP="006447B8">
      <w:pPr>
        <w:pStyle w:val="Bloktekst"/>
        <w:ind w:left="0"/>
        <w:rPr>
          <w:b w:val="0"/>
          <w:bCs/>
        </w:rPr>
      </w:pPr>
      <w:r w:rsidRPr="0053193A">
        <w:rPr>
          <w:b w:val="0"/>
          <w:bCs/>
        </w:rPr>
        <w:t>§5. De disponibiliteit wegens ziekte of invaliditeit houdt op telkens als de toestand van ziekte of invaliditeit ophoudt te bestaan, of als het betrokken statutaire personeelslid, al dan niet vervroegd, op pensioen wordt gesteld.</w:t>
      </w:r>
    </w:p>
    <w:p w14:paraId="77A89B41" w14:textId="77777777" w:rsidR="00927FE7" w:rsidRPr="0053193A" w:rsidRDefault="00927FE7" w:rsidP="006447B8">
      <w:pPr>
        <w:pStyle w:val="Bloktekst"/>
        <w:ind w:left="0"/>
        <w:rPr>
          <w:b w:val="0"/>
          <w:bCs/>
        </w:rPr>
      </w:pPr>
    </w:p>
    <w:p w14:paraId="7E7DEECE" w14:textId="624F3C66" w:rsidR="0053193A" w:rsidRPr="0053193A" w:rsidRDefault="0053193A" w:rsidP="0053193A">
      <w:pPr>
        <w:pStyle w:val="StandaardUitvullen"/>
        <w:ind w:left="0"/>
        <w:rPr>
          <w:rStyle w:val="Zwaar"/>
          <w:snapToGrid w:val="0"/>
        </w:rPr>
      </w:pPr>
      <w:r w:rsidRPr="0053193A">
        <w:rPr>
          <w:rStyle w:val="Zwaar"/>
          <w:snapToGrid w:val="0"/>
        </w:rPr>
        <w:t>Artikel</w:t>
      </w:r>
      <w:r w:rsidR="00610CA6">
        <w:rPr>
          <w:rStyle w:val="Zwaar"/>
          <w:snapToGrid w:val="0"/>
        </w:rPr>
        <w:t xml:space="preserve"> </w:t>
      </w:r>
      <w:r w:rsidR="008E0576">
        <w:rPr>
          <w:rStyle w:val="Zwaar"/>
          <w:snapToGrid w:val="0"/>
        </w:rPr>
        <w:t>192</w:t>
      </w:r>
    </w:p>
    <w:p w14:paraId="403F593C" w14:textId="559F5133" w:rsidR="0053193A" w:rsidRDefault="0053193A" w:rsidP="006447B8">
      <w:pPr>
        <w:pStyle w:val="Bloktekst"/>
        <w:ind w:left="0"/>
        <w:rPr>
          <w:b w:val="0"/>
          <w:bCs/>
        </w:rPr>
      </w:pPr>
      <w:r w:rsidRPr="0053193A">
        <w:rPr>
          <w:b w:val="0"/>
          <w:bCs/>
        </w:rPr>
        <w:t>Het wachtgeld wordt berekend op de bezoldigingsonderdelen die ook voor de vaststelling van de pensioenen in aanmerking komen.</w:t>
      </w:r>
    </w:p>
    <w:p w14:paraId="79D4AF62" w14:textId="77777777" w:rsidR="00927FE7" w:rsidRPr="0053193A" w:rsidRDefault="00927FE7" w:rsidP="006447B8">
      <w:pPr>
        <w:pStyle w:val="Bloktekst"/>
        <w:ind w:left="0"/>
        <w:rPr>
          <w:b w:val="0"/>
          <w:bCs/>
        </w:rPr>
      </w:pPr>
    </w:p>
    <w:p w14:paraId="634AF6BF" w14:textId="3B67DC89" w:rsidR="00927FE7" w:rsidRPr="0053193A" w:rsidRDefault="0053193A" w:rsidP="0053193A">
      <w:pPr>
        <w:pStyle w:val="StandaardUitvullen"/>
        <w:ind w:left="0"/>
        <w:rPr>
          <w:rStyle w:val="Zwaar"/>
          <w:snapToGrid w:val="0"/>
        </w:rPr>
      </w:pPr>
      <w:r w:rsidRPr="0053193A">
        <w:rPr>
          <w:rStyle w:val="Zwaar"/>
          <w:snapToGrid w:val="0"/>
        </w:rPr>
        <w:t xml:space="preserve">Artikel </w:t>
      </w:r>
      <w:r w:rsidR="008E0576">
        <w:rPr>
          <w:rStyle w:val="Zwaar"/>
          <w:snapToGrid w:val="0"/>
        </w:rPr>
        <w:t>193</w:t>
      </w:r>
    </w:p>
    <w:p w14:paraId="4D36BD79" w14:textId="77777777" w:rsidR="0053193A" w:rsidRPr="0053193A" w:rsidRDefault="0053193A" w:rsidP="006447B8">
      <w:pPr>
        <w:pStyle w:val="Bloktekst"/>
        <w:ind w:left="0"/>
        <w:rPr>
          <w:b w:val="0"/>
          <w:bCs/>
        </w:rPr>
      </w:pPr>
      <w:r w:rsidRPr="0053193A">
        <w:rPr>
          <w:b w:val="0"/>
          <w:bCs/>
        </w:rPr>
        <w:t xml:space="preserve">De tijd die een statutair personeelslid doorbrengt in de stand disponibiliteit moet worden aangerekend als werkelijke dienst. </w:t>
      </w:r>
    </w:p>
    <w:bookmarkEnd w:id="248"/>
    <w:p w14:paraId="60DB2B45" w14:textId="77777777" w:rsidR="003A11FB" w:rsidRPr="00037A46" w:rsidRDefault="00D13CF9" w:rsidP="003A11FB">
      <w:pPr>
        <w:pStyle w:val="StandaardUitvullen"/>
        <w:rPr>
          <w:rStyle w:val="Zwaar"/>
          <w:b w:val="0"/>
        </w:rPr>
      </w:pPr>
      <w:r w:rsidRPr="00037A46">
        <w:rPr>
          <w:rStyle w:val="Zwaar"/>
          <w:b w:val="0"/>
        </w:rPr>
        <w:br w:type="page"/>
      </w:r>
    </w:p>
    <w:p w14:paraId="469AE937" w14:textId="0F6F0763" w:rsidR="003A11FB" w:rsidRPr="00037A46" w:rsidRDefault="003A11FB" w:rsidP="00B44CF7">
      <w:pPr>
        <w:pStyle w:val="Kop2"/>
      </w:pPr>
      <w:bookmarkStart w:id="249" w:name="_Toc110948233"/>
      <w:bookmarkStart w:id="250" w:name="_Toc215739040"/>
      <w:r w:rsidRPr="00037A46">
        <w:lastRenderedPageBreak/>
        <w:t xml:space="preserve">Hoofdstuk </w:t>
      </w:r>
      <w:r w:rsidR="007E74A2">
        <w:t>viii</w:t>
      </w:r>
      <w:r w:rsidRPr="00037A46">
        <w:t>. het omstandigheidsverlof</w:t>
      </w:r>
      <w:bookmarkEnd w:id="249"/>
      <w:bookmarkEnd w:id="250"/>
    </w:p>
    <w:p w14:paraId="3FF1BE52" w14:textId="4F8DF30D" w:rsidR="003A11FB" w:rsidRPr="00037A46" w:rsidRDefault="00373C11" w:rsidP="00334A21">
      <w:pPr>
        <w:spacing w:before="0" w:after="160" w:line="259" w:lineRule="auto"/>
        <w:ind w:left="0"/>
        <w:jc w:val="left"/>
        <w:rPr>
          <w:rFonts w:ascii="Calibri" w:eastAsia="Calibri" w:hAnsi="Calibri"/>
          <w:b/>
          <w:bCs/>
          <w:kern w:val="2"/>
          <w:sz w:val="22"/>
          <w:szCs w:val="22"/>
          <w:lang w:val="nl-BE" w:eastAsia="en-US"/>
          <w14:ligatures w14:val="standardContextual"/>
        </w:rPr>
      </w:pPr>
      <w:r w:rsidRPr="00037A46">
        <w:rPr>
          <w:rFonts w:ascii="Calibri" w:eastAsia="Calibri" w:hAnsi="Calibri"/>
          <w:b/>
          <w:bCs/>
          <w:kern w:val="2"/>
          <w:sz w:val="22"/>
          <w:szCs w:val="22"/>
          <w:lang w:val="nl-BE" w:eastAsia="en-US"/>
          <w14:ligatures w14:val="standardContextual"/>
        </w:rPr>
        <w:t xml:space="preserve">Artikel </w:t>
      </w:r>
      <w:r w:rsidR="008E0576">
        <w:rPr>
          <w:rFonts w:ascii="Calibri" w:eastAsia="Calibri" w:hAnsi="Calibri"/>
          <w:b/>
          <w:bCs/>
          <w:kern w:val="2"/>
          <w:sz w:val="22"/>
          <w:szCs w:val="22"/>
          <w:lang w:val="nl-BE" w:eastAsia="en-US"/>
          <w14:ligatures w14:val="standardContextual"/>
        </w:rPr>
        <w:t>194</w:t>
      </w:r>
    </w:p>
    <w:p w14:paraId="381F1360" w14:textId="6CFA92A7" w:rsidR="003A11FB" w:rsidRPr="00037A46" w:rsidRDefault="00057DE7" w:rsidP="006447B8">
      <w:pPr>
        <w:ind w:left="0"/>
      </w:pPr>
      <w:r w:rsidRPr="00E57000">
        <w:rPr>
          <w:bCs/>
        </w:rPr>
        <w:t>§</w:t>
      </w:r>
      <w:r w:rsidR="003A11FB" w:rsidRPr="00E57000">
        <w:rPr>
          <w:bCs/>
        </w:rPr>
        <w:t>1</w:t>
      </w:r>
      <w:r w:rsidR="00E57000" w:rsidRPr="00E57000">
        <w:rPr>
          <w:bCs/>
        </w:rPr>
        <w:t>.</w:t>
      </w:r>
      <w:r w:rsidR="00D17211" w:rsidRPr="00E57000">
        <w:rPr>
          <w:bCs/>
        </w:rPr>
        <w:t xml:space="preserve"> </w:t>
      </w:r>
      <w:r w:rsidR="003A11FB" w:rsidRPr="00E57000">
        <w:rPr>
          <w:bCs/>
        </w:rPr>
        <w:t>Het</w:t>
      </w:r>
      <w:r w:rsidR="003A11FB" w:rsidRPr="00037A46">
        <w:t xml:space="preserve"> personeelslid krijgt omstandigheidsverlof naar aanleiding van de volgende gebeurtenissen:</w:t>
      </w:r>
    </w:p>
    <w:tbl>
      <w:tblPr>
        <w:tblW w:w="928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882"/>
        <w:gridCol w:w="3402"/>
      </w:tblGrid>
      <w:tr w:rsidR="003A11FB" w:rsidRPr="00037A46" w14:paraId="4F78C786" w14:textId="77777777" w:rsidTr="4FB77E70">
        <w:tc>
          <w:tcPr>
            <w:tcW w:w="5882" w:type="dxa"/>
          </w:tcPr>
          <w:p w14:paraId="1B371D93" w14:textId="77777777" w:rsidR="003A11FB" w:rsidRPr="00037A46" w:rsidRDefault="003A11FB" w:rsidP="003A11FB">
            <w:pPr>
              <w:pStyle w:val="StandaardUitvullen"/>
              <w:ind w:left="355"/>
              <w:jc w:val="center"/>
              <w:rPr>
                <w:b/>
              </w:rPr>
            </w:pPr>
            <w:r w:rsidRPr="00037A46">
              <w:rPr>
                <w:b/>
              </w:rPr>
              <w:t>Aard van de gebeurtenis</w:t>
            </w:r>
          </w:p>
        </w:tc>
        <w:tc>
          <w:tcPr>
            <w:tcW w:w="3402" w:type="dxa"/>
          </w:tcPr>
          <w:p w14:paraId="2C763FC2" w14:textId="77777777" w:rsidR="003A11FB" w:rsidRPr="00037A46" w:rsidRDefault="003A11FB" w:rsidP="003A11FB">
            <w:pPr>
              <w:pStyle w:val="StandaardUitvullen"/>
              <w:ind w:left="214"/>
              <w:jc w:val="center"/>
              <w:rPr>
                <w:b/>
              </w:rPr>
            </w:pPr>
            <w:r w:rsidRPr="00037A46">
              <w:rPr>
                <w:b/>
              </w:rPr>
              <w:t>Toegestaan maximum</w:t>
            </w:r>
          </w:p>
        </w:tc>
      </w:tr>
      <w:tr w:rsidR="003A11FB" w:rsidRPr="00037A46" w14:paraId="16A7A874" w14:textId="77777777" w:rsidTr="4FB77E70">
        <w:tc>
          <w:tcPr>
            <w:tcW w:w="5882" w:type="dxa"/>
          </w:tcPr>
          <w:p w14:paraId="678B358C" w14:textId="179B4047" w:rsidR="003A11FB" w:rsidRPr="00037A46" w:rsidRDefault="000B17AD" w:rsidP="009D4C40">
            <w:pPr>
              <w:pStyle w:val="StandaardUitvullen"/>
              <w:numPr>
                <w:ilvl w:val="0"/>
                <w:numId w:val="94"/>
              </w:numPr>
              <w:spacing w:after="60"/>
            </w:pPr>
            <w:r w:rsidRPr="00037A46">
              <w:t>Huwelijk</w:t>
            </w:r>
            <w:r w:rsidR="003A11FB" w:rsidRPr="00037A46">
              <w:t xml:space="preserve"> van het personeelslid of het afleggen van een verklaring van wettelijke samenwoning door het personeelslid, vermeld in artikel 1475 tot en met 1479 van het Burgerlijk Wetboek, m.u.v. het afleggen van een verklaring van samenwoning van bloed- of aanverwanten:</w:t>
            </w:r>
          </w:p>
        </w:tc>
        <w:tc>
          <w:tcPr>
            <w:tcW w:w="3402" w:type="dxa"/>
            <w:vAlign w:val="center"/>
          </w:tcPr>
          <w:p w14:paraId="62921BD7" w14:textId="77777777" w:rsidR="003A11FB" w:rsidRPr="00037A46" w:rsidRDefault="003A11FB" w:rsidP="00F84F9E">
            <w:pPr>
              <w:pStyle w:val="StandaardUitvullen"/>
              <w:spacing w:after="60"/>
              <w:ind w:left="214"/>
              <w:jc w:val="center"/>
            </w:pPr>
            <w:r w:rsidRPr="00037A46">
              <w:t>4 werkdagen</w:t>
            </w:r>
          </w:p>
          <w:p w14:paraId="1A42FB19" w14:textId="77777777" w:rsidR="006735FA" w:rsidRPr="00037A46" w:rsidRDefault="00D13CF9" w:rsidP="00D13CF9">
            <w:pPr>
              <w:pStyle w:val="StandaardUitvullen"/>
              <w:spacing w:after="60"/>
              <w:ind w:left="214"/>
              <w:jc w:val="left"/>
            </w:pPr>
            <w:r w:rsidRPr="00037A46">
              <w:t>(</w:t>
            </w:r>
            <w:r w:rsidR="006735FA" w:rsidRPr="00037A46">
              <w:t xml:space="preserve">binnen een termijn van </w:t>
            </w:r>
            <w:r w:rsidR="00A5404B" w:rsidRPr="00037A46">
              <w:t>7</w:t>
            </w:r>
            <w:r w:rsidR="006735FA" w:rsidRPr="00037A46">
              <w:t xml:space="preserve"> kalenderdagen te rekenen </w:t>
            </w:r>
            <w:r w:rsidRPr="00037A46">
              <w:t>voor of na</w:t>
            </w:r>
            <w:r w:rsidR="006735FA" w:rsidRPr="00037A46">
              <w:t xml:space="preserve"> datum gebeurtenis)</w:t>
            </w:r>
          </w:p>
        </w:tc>
      </w:tr>
      <w:tr w:rsidR="003A11FB" w:rsidRPr="00037A46" w14:paraId="545D2364" w14:textId="77777777" w:rsidTr="4FB77E70">
        <w:tc>
          <w:tcPr>
            <w:tcW w:w="5882" w:type="dxa"/>
          </w:tcPr>
          <w:p w14:paraId="38F630B9" w14:textId="53A920D2" w:rsidR="003A11FB" w:rsidRPr="00037A46" w:rsidRDefault="000B17AD" w:rsidP="009D4C40">
            <w:pPr>
              <w:pStyle w:val="StandaardUitvullen"/>
              <w:numPr>
                <w:ilvl w:val="0"/>
                <w:numId w:val="94"/>
              </w:numPr>
              <w:spacing w:after="60"/>
            </w:pPr>
            <w:r w:rsidRPr="00037A46">
              <w:t>Bevalling</w:t>
            </w:r>
            <w:r w:rsidR="003A11FB" w:rsidRPr="00037A46">
              <w:t xml:space="preserve"> van de echtgenote of samenwonende partner, of ter gelegenheid van de geboorte van een kind dat wettelijk afstamt van het personeelslid</w:t>
            </w:r>
            <w:r w:rsidR="0069305F">
              <w:t xml:space="preserve"> (geboorteverlof</w:t>
            </w:r>
            <w:r w:rsidR="00405E98" w:rsidRPr="00037A46">
              <w:t>:</w:t>
            </w:r>
          </w:p>
        </w:tc>
        <w:tc>
          <w:tcPr>
            <w:tcW w:w="3402" w:type="dxa"/>
            <w:vAlign w:val="center"/>
          </w:tcPr>
          <w:p w14:paraId="57B80717" w14:textId="78A9F33D" w:rsidR="006735FA" w:rsidRPr="00037A46" w:rsidRDefault="009C2E6A" w:rsidP="00F84F9E">
            <w:pPr>
              <w:pStyle w:val="StandaardUitvullen"/>
              <w:spacing w:after="60"/>
              <w:ind w:left="214"/>
              <w:jc w:val="center"/>
            </w:pPr>
            <w:r w:rsidRPr="00037A46">
              <w:t>20 werkdagen</w:t>
            </w:r>
            <w:r w:rsidR="003A11FB" w:rsidRPr="00037A46">
              <w:t xml:space="preserve"> </w:t>
            </w:r>
          </w:p>
          <w:p w14:paraId="49F4EE0C" w14:textId="4B143F2A" w:rsidR="003A11FB" w:rsidRPr="000514EB" w:rsidRDefault="6575560A" w:rsidP="000514EB">
            <w:pPr>
              <w:pStyle w:val="StandaardUitvullen"/>
              <w:spacing w:after="60"/>
              <w:ind w:left="214"/>
              <w:jc w:val="left"/>
            </w:pPr>
            <w:r w:rsidRPr="00D45B36">
              <w:t xml:space="preserve">(voor </w:t>
            </w:r>
            <w:r w:rsidR="523D5A86" w:rsidRPr="00D45B36">
              <w:t xml:space="preserve">de opnameregeling zie </w:t>
            </w:r>
            <w:r w:rsidR="42F09D8D" w:rsidRPr="00D45B36">
              <w:t>artikel</w:t>
            </w:r>
            <w:r w:rsidR="3E1B062F" w:rsidRPr="00D45B36">
              <w:t xml:space="preserve"> </w:t>
            </w:r>
            <w:r w:rsidR="00D45B36" w:rsidRPr="00D45B36">
              <w:t>18</w:t>
            </w:r>
            <w:r w:rsidR="3E1B062F" w:rsidRPr="00D45B36">
              <w:t>)</w:t>
            </w:r>
            <w:r w:rsidR="42F09D8D">
              <w:t xml:space="preserve"> </w:t>
            </w:r>
          </w:p>
        </w:tc>
      </w:tr>
      <w:tr w:rsidR="003A11FB" w:rsidRPr="00037A46" w14:paraId="18ADB411" w14:textId="77777777" w:rsidTr="4FB77E70">
        <w:tc>
          <w:tcPr>
            <w:tcW w:w="5882" w:type="dxa"/>
          </w:tcPr>
          <w:p w14:paraId="142395C9" w14:textId="00FCB6AA" w:rsidR="003A11FB" w:rsidRPr="002C0588" w:rsidRDefault="000B17AD" w:rsidP="009D4C40">
            <w:pPr>
              <w:pStyle w:val="StandaardUitvullen"/>
              <w:numPr>
                <w:ilvl w:val="0"/>
                <w:numId w:val="94"/>
              </w:numPr>
              <w:spacing w:after="60"/>
              <w:rPr>
                <w:rFonts w:cs="Arial"/>
              </w:rPr>
            </w:pPr>
            <w:r>
              <w:rPr>
                <w:rFonts w:cs="Arial"/>
              </w:rPr>
              <w:t>Overlijden</w:t>
            </w:r>
            <w:r w:rsidR="00412D78" w:rsidRPr="00412D78">
              <w:rPr>
                <w:rFonts w:cs="Arial"/>
              </w:rPr>
              <w:t xml:space="preserve"> van de samenwonende of huwelijkspartner, van een kind van het personeelslid, de samenwonende of huwelijkspartner, of van een pleegkind in het kader van langdurige pleegzorg op het moment van het overlijden of in het verleden</w:t>
            </w:r>
            <w:r w:rsidR="00B00CC2">
              <w:rPr>
                <w:rFonts w:cs="Arial"/>
              </w:rPr>
              <w:t>:</w:t>
            </w:r>
          </w:p>
        </w:tc>
        <w:tc>
          <w:tcPr>
            <w:tcW w:w="3402" w:type="dxa"/>
            <w:vAlign w:val="center"/>
          </w:tcPr>
          <w:p w14:paraId="34360D6C" w14:textId="77777777" w:rsidR="006735FA" w:rsidRPr="002C0588" w:rsidRDefault="001C66CA" w:rsidP="006478F5">
            <w:pPr>
              <w:pStyle w:val="StandaardUitvullen"/>
              <w:spacing w:after="60"/>
              <w:ind w:left="214"/>
              <w:jc w:val="center"/>
              <w:rPr>
                <w:rFonts w:cs="Arial"/>
              </w:rPr>
            </w:pPr>
            <w:r w:rsidRPr="002C0588">
              <w:rPr>
                <w:rFonts w:cs="Arial"/>
              </w:rPr>
              <w:t xml:space="preserve">10 werkdagen </w:t>
            </w:r>
            <w:r w:rsidRPr="00386D89">
              <w:rPr>
                <w:rFonts w:cs="Arial"/>
              </w:rPr>
              <w:t>(3 dagen</w:t>
            </w:r>
            <w:r w:rsidR="009C2E6A" w:rsidRPr="00386D89">
              <w:rPr>
                <w:rFonts w:cs="Arial"/>
              </w:rPr>
              <w:t xml:space="preserve"> tussen overlijden en begrafenis/crematie, overige dagen binnen het jaar na overlijden)</w:t>
            </w:r>
          </w:p>
        </w:tc>
      </w:tr>
      <w:tr w:rsidR="009C2E6A" w:rsidRPr="00037A46" w14:paraId="021B480F" w14:textId="77777777" w:rsidTr="4FB77E70">
        <w:tc>
          <w:tcPr>
            <w:tcW w:w="5882" w:type="dxa"/>
          </w:tcPr>
          <w:p w14:paraId="5AE19CC2" w14:textId="433D678F" w:rsidR="009C2E6A" w:rsidRPr="002C0588" w:rsidRDefault="000B17AD" w:rsidP="009D4C40">
            <w:pPr>
              <w:pStyle w:val="StandaardUitvullen"/>
              <w:numPr>
                <w:ilvl w:val="0"/>
                <w:numId w:val="94"/>
              </w:numPr>
              <w:spacing w:after="60"/>
              <w:rPr>
                <w:rFonts w:cs="Arial"/>
              </w:rPr>
            </w:pPr>
            <w:r w:rsidRPr="002C0588">
              <w:rPr>
                <w:rFonts w:cs="Arial"/>
              </w:rPr>
              <w:t>Overlijden</w:t>
            </w:r>
            <w:r w:rsidR="00EA33C3" w:rsidRPr="002C0588">
              <w:rPr>
                <w:rFonts w:cs="Arial"/>
              </w:rPr>
              <w:t xml:space="preserve"> van </w:t>
            </w:r>
            <w:r w:rsidR="009C2E6A" w:rsidRPr="002C0588">
              <w:rPr>
                <w:rFonts w:cs="Arial"/>
              </w:rPr>
              <w:t>een bloed- of aanverwant in de eerste graad in stijgende lijn van het personeelslid</w:t>
            </w:r>
            <w:r w:rsidR="00EA33C3" w:rsidRPr="002C0588">
              <w:rPr>
                <w:rFonts w:cs="Arial"/>
              </w:rPr>
              <w:t xml:space="preserve"> of van de samenwonende of huwelijkspartner</w:t>
            </w:r>
            <w:r w:rsidR="00B00CC2">
              <w:rPr>
                <w:rFonts w:cs="Arial"/>
              </w:rPr>
              <w:t>:</w:t>
            </w:r>
          </w:p>
        </w:tc>
        <w:tc>
          <w:tcPr>
            <w:tcW w:w="3402" w:type="dxa"/>
            <w:vAlign w:val="center"/>
          </w:tcPr>
          <w:p w14:paraId="1C479B3E" w14:textId="77777777" w:rsidR="009C2E6A" w:rsidRPr="002C0588" w:rsidRDefault="009C2E6A" w:rsidP="00F84F9E">
            <w:pPr>
              <w:pStyle w:val="StandaardUitvullen"/>
              <w:spacing w:after="60"/>
              <w:ind w:left="214"/>
              <w:jc w:val="center"/>
              <w:rPr>
                <w:rFonts w:cs="Arial"/>
              </w:rPr>
            </w:pPr>
            <w:r w:rsidRPr="002C0588">
              <w:rPr>
                <w:rFonts w:cs="Arial"/>
              </w:rPr>
              <w:t xml:space="preserve">4 </w:t>
            </w:r>
            <w:r w:rsidR="00C0261E" w:rsidRPr="002C0588">
              <w:rPr>
                <w:rFonts w:cs="Arial"/>
              </w:rPr>
              <w:t xml:space="preserve">werkdagen </w:t>
            </w:r>
            <w:r w:rsidRPr="002C0588">
              <w:rPr>
                <w:rFonts w:cs="Arial"/>
              </w:rPr>
              <w:t xml:space="preserve">(binnen </w:t>
            </w:r>
            <w:r w:rsidR="00C0261E" w:rsidRPr="002C0588">
              <w:rPr>
                <w:rFonts w:cs="Arial"/>
              </w:rPr>
              <w:t xml:space="preserve">de periode </w:t>
            </w:r>
            <w:r w:rsidRPr="002C0588">
              <w:rPr>
                <w:rFonts w:cs="Arial"/>
              </w:rPr>
              <w:t xml:space="preserve">die begint op </w:t>
            </w:r>
            <w:r w:rsidR="00C0261E" w:rsidRPr="002C0588">
              <w:rPr>
                <w:rFonts w:cs="Arial"/>
              </w:rPr>
              <w:t>de dag</w:t>
            </w:r>
            <w:r w:rsidRPr="002C0588">
              <w:rPr>
                <w:rFonts w:cs="Arial"/>
              </w:rPr>
              <w:t xml:space="preserve"> van het overlijden en eindigt 2 weken na het overlijden</w:t>
            </w:r>
            <w:r w:rsidR="00C0261E" w:rsidRPr="002C0588">
              <w:rPr>
                <w:rFonts w:cs="Arial"/>
              </w:rPr>
              <w:t>)</w:t>
            </w:r>
          </w:p>
        </w:tc>
      </w:tr>
      <w:tr w:rsidR="000D2537" w:rsidRPr="00037A46" w14:paraId="217B7CB2" w14:textId="77777777" w:rsidTr="4FB77E70">
        <w:tc>
          <w:tcPr>
            <w:tcW w:w="5882" w:type="dxa"/>
          </w:tcPr>
          <w:p w14:paraId="166D1986" w14:textId="4EABE9D9" w:rsidR="000D2537" w:rsidRPr="00FD7E2F" w:rsidRDefault="000B17AD" w:rsidP="009D4C40">
            <w:pPr>
              <w:pStyle w:val="StandaardUitvullen"/>
              <w:numPr>
                <w:ilvl w:val="0"/>
                <w:numId w:val="94"/>
              </w:numPr>
              <w:spacing w:after="60"/>
            </w:pPr>
            <w:r w:rsidRPr="00FD7E2F">
              <w:t>Overlijden</w:t>
            </w:r>
            <w:r w:rsidR="002A05DD" w:rsidRPr="00FD7E2F">
              <w:t xml:space="preserve"> van de </w:t>
            </w:r>
            <w:r w:rsidR="00386D89" w:rsidRPr="00FD7E2F">
              <w:t xml:space="preserve">pleegouder </w:t>
            </w:r>
            <w:r w:rsidR="002A05DD" w:rsidRPr="00FD7E2F">
              <w:t>van het personeelslid in het kader van langdurige pleegzorg op het moment van het overlijden</w:t>
            </w:r>
            <w:r w:rsidR="00B00CC2" w:rsidRPr="00FD7E2F">
              <w:t>:</w:t>
            </w:r>
          </w:p>
        </w:tc>
        <w:tc>
          <w:tcPr>
            <w:tcW w:w="3402" w:type="dxa"/>
            <w:vAlign w:val="center"/>
          </w:tcPr>
          <w:p w14:paraId="7278DB21" w14:textId="015D91E6" w:rsidR="000D2537" w:rsidRPr="00FD7E2F" w:rsidRDefault="002A05DD" w:rsidP="00F84F9E">
            <w:pPr>
              <w:pStyle w:val="StandaardUitvullen"/>
              <w:spacing w:after="60"/>
              <w:ind w:left="214"/>
              <w:jc w:val="center"/>
            </w:pPr>
            <w:r w:rsidRPr="00FD7E2F">
              <w:rPr>
                <w:rFonts w:cs="Arial"/>
              </w:rPr>
              <w:t>4 werkdagen (binnen de periode die begint op de dag van het overlijden en eindigt 2 weken na het overlijden)</w:t>
            </w:r>
          </w:p>
        </w:tc>
      </w:tr>
      <w:tr w:rsidR="00D90023" w:rsidRPr="00037A46" w14:paraId="7743E5CA" w14:textId="77777777" w:rsidTr="4FB77E70">
        <w:tc>
          <w:tcPr>
            <w:tcW w:w="5882" w:type="dxa"/>
          </w:tcPr>
          <w:p w14:paraId="57E9F067" w14:textId="6F6711F7" w:rsidR="00D90023" w:rsidRPr="00FD7E2F" w:rsidRDefault="000B17AD" w:rsidP="009D4C40">
            <w:pPr>
              <w:pStyle w:val="StandaardUitvullen"/>
              <w:numPr>
                <w:ilvl w:val="0"/>
                <w:numId w:val="94"/>
              </w:numPr>
              <w:spacing w:after="60"/>
            </w:pPr>
            <w:r w:rsidRPr="00FD7E2F">
              <w:t>Overlijden</w:t>
            </w:r>
            <w:r w:rsidR="00D90023" w:rsidRPr="00FD7E2F">
              <w:t xml:space="preserve"> van een kind wegens zwangerschapsverlies</w:t>
            </w:r>
            <w:r w:rsidR="008B257B" w:rsidRPr="00FD7E2F">
              <w:t>, geldend voor een zwanger personeelslid en een partner geconfronteerd met zwangerschapsverlies</w:t>
            </w:r>
            <w:r w:rsidR="00D90023" w:rsidRPr="00FD7E2F">
              <w:t>:</w:t>
            </w:r>
          </w:p>
        </w:tc>
        <w:tc>
          <w:tcPr>
            <w:tcW w:w="3402" w:type="dxa"/>
            <w:vAlign w:val="center"/>
          </w:tcPr>
          <w:p w14:paraId="44B88E9D" w14:textId="74FE042D" w:rsidR="00D90023" w:rsidRPr="00FD7E2F" w:rsidRDefault="00D90023" w:rsidP="00F84F9E">
            <w:pPr>
              <w:pStyle w:val="StandaardUitvullen"/>
              <w:spacing w:after="60"/>
              <w:ind w:left="214"/>
              <w:jc w:val="center"/>
            </w:pPr>
            <w:r w:rsidRPr="00FD7E2F">
              <w:t>2 werkdagen</w:t>
            </w:r>
            <w:r w:rsidR="00386D89" w:rsidRPr="00FD7E2F">
              <w:t xml:space="preserve"> </w:t>
            </w:r>
            <w:r w:rsidR="00386D89" w:rsidRPr="00FD7E2F">
              <w:rPr>
                <w:rFonts w:cs="Arial"/>
              </w:rPr>
              <w:t>(binnen de periode die begint op de dag van het zwangerschapsverlies en eindigt 2 weken na het zwangerschapsverlies)</w:t>
            </w:r>
          </w:p>
        </w:tc>
      </w:tr>
      <w:tr w:rsidR="002667CF" w:rsidRPr="00037A46" w14:paraId="5B601869" w14:textId="77777777" w:rsidTr="4FB77E70">
        <w:tc>
          <w:tcPr>
            <w:tcW w:w="5882" w:type="dxa"/>
          </w:tcPr>
          <w:p w14:paraId="46C7421A" w14:textId="2877C2E7" w:rsidR="002667CF" w:rsidRPr="00037A46" w:rsidRDefault="000B17AD" w:rsidP="009D4C40">
            <w:pPr>
              <w:pStyle w:val="StandaardUitvullen"/>
              <w:numPr>
                <w:ilvl w:val="0"/>
                <w:numId w:val="94"/>
              </w:numPr>
              <w:spacing w:after="60"/>
            </w:pPr>
            <w:r>
              <w:t>Overlijden</w:t>
            </w:r>
            <w:r w:rsidR="00B00CC2" w:rsidRPr="00B00CC2">
              <w:t xml:space="preserve"> van een pleegkind in het kader van kortdurende pleegzorg op het moment van het overlijden</w:t>
            </w:r>
            <w:r w:rsidR="00B00CC2">
              <w:t>:</w:t>
            </w:r>
          </w:p>
        </w:tc>
        <w:tc>
          <w:tcPr>
            <w:tcW w:w="3402" w:type="dxa"/>
            <w:vAlign w:val="center"/>
          </w:tcPr>
          <w:p w14:paraId="653FCB1E" w14:textId="243EAD01" w:rsidR="002667CF" w:rsidRPr="00037A46" w:rsidRDefault="00B00CC2" w:rsidP="00F84F9E">
            <w:pPr>
              <w:pStyle w:val="StandaardUitvullen"/>
              <w:spacing w:after="60"/>
              <w:ind w:left="214"/>
              <w:jc w:val="center"/>
            </w:pPr>
            <w:r>
              <w:t>1 werkdag</w:t>
            </w:r>
            <w:r w:rsidR="00453BA6">
              <w:t xml:space="preserve"> (de dag van de begra</w:t>
            </w:r>
            <w:r w:rsidR="005B31AF">
              <w:t>fe</w:t>
            </w:r>
            <w:r w:rsidR="00453BA6">
              <w:t>nis)</w:t>
            </w:r>
          </w:p>
        </w:tc>
      </w:tr>
      <w:tr w:rsidR="003A11FB" w:rsidRPr="00037A46" w14:paraId="42941DA4" w14:textId="77777777" w:rsidTr="4FB77E70">
        <w:tc>
          <w:tcPr>
            <w:tcW w:w="5882" w:type="dxa"/>
          </w:tcPr>
          <w:p w14:paraId="6BA81334" w14:textId="37195018" w:rsidR="003A11FB" w:rsidRPr="00037A46" w:rsidRDefault="000B17AD" w:rsidP="009D4C40">
            <w:pPr>
              <w:pStyle w:val="StandaardUitvullen"/>
              <w:numPr>
                <w:ilvl w:val="0"/>
                <w:numId w:val="94"/>
              </w:numPr>
              <w:spacing w:after="60"/>
            </w:pPr>
            <w:r>
              <w:t>Huwelijk</w:t>
            </w:r>
            <w:r w:rsidR="00940227" w:rsidRPr="00940227">
              <w:t xml:space="preserve"> van een kind van het personeelslid, van de samenwonende of huwelijkspartner of van een pleegkind van het personeelslid, van de samenwonende of huwelijkspartner (in het kader van langdurige pleegzorg op het moment van het huwelijk)</w:t>
            </w:r>
            <w:r w:rsidR="00E67245">
              <w:t>:</w:t>
            </w:r>
          </w:p>
        </w:tc>
        <w:tc>
          <w:tcPr>
            <w:tcW w:w="3402" w:type="dxa"/>
            <w:vAlign w:val="center"/>
          </w:tcPr>
          <w:p w14:paraId="29F5B518" w14:textId="77777777" w:rsidR="003A11FB" w:rsidRPr="00037A46" w:rsidRDefault="003A11FB" w:rsidP="00F84F9E">
            <w:pPr>
              <w:pStyle w:val="StandaardUitvullen"/>
              <w:spacing w:after="60"/>
              <w:ind w:left="214"/>
              <w:jc w:val="center"/>
            </w:pPr>
            <w:r w:rsidRPr="00037A46">
              <w:t>2 werkdagen</w:t>
            </w:r>
          </w:p>
          <w:p w14:paraId="52312638" w14:textId="77777777" w:rsidR="006735FA" w:rsidRPr="00037A46" w:rsidRDefault="00AA2FF1" w:rsidP="00545607">
            <w:pPr>
              <w:pStyle w:val="StandaardUitvullen"/>
              <w:spacing w:after="60"/>
              <w:ind w:left="214"/>
              <w:jc w:val="center"/>
            </w:pPr>
            <w:r w:rsidRPr="00037A46">
              <w:t>(a</w:t>
            </w:r>
            <w:r w:rsidR="006735FA" w:rsidRPr="00037A46">
              <w:t xml:space="preserve">ansluitend ervoor op te nemen of onmiddellijk erna binnen een termijn van </w:t>
            </w:r>
            <w:r w:rsidR="00545607" w:rsidRPr="00037A46">
              <w:t>7</w:t>
            </w:r>
            <w:r w:rsidR="006735FA" w:rsidRPr="00037A46">
              <w:t xml:space="preserve"> kalenderdagen te rekenen vanaf datum gebeurtenis)</w:t>
            </w:r>
          </w:p>
        </w:tc>
      </w:tr>
      <w:tr w:rsidR="004D0952" w:rsidRPr="00037A46" w14:paraId="034EF7B6" w14:textId="77777777" w:rsidTr="4FB77E70">
        <w:tc>
          <w:tcPr>
            <w:tcW w:w="5882" w:type="dxa"/>
          </w:tcPr>
          <w:p w14:paraId="78CE13E0" w14:textId="03847ECC" w:rsidR="000453F1" w:rsidRDefault="000B17AD" w:rsidP="009D4C40">
            <w:pPr>
              <w:pStyle w:val="StandaardUitvullen"/>
              <w:numPr>
                <w:ilvl w:val="0"/>
                <w:numId w:val="94"/>
              </w:numPr>
              <w:spacing w:after="60"/>
            </w:pPr>
            <w:r>
              <w:t>Huwelijk</w:t>
            </w:r>
            <w:r w:rsidR="000453F1">
              <w:t xml:space="preserve"> van een bloed- of aanverwant:</w:t>
            </w:r>
          </w:p>
          <w:p w14:paraId="14DD634D" w14:textId="77777777" w:rsidR="000453F1" w:rsidRDefault="000453F1" w:rsidP="000453F1">
            <w:pPr>
              <w:pStyle w:val="StandaardUitvullen"/>
              <w:spacing w:after="60"/>
              <w:ind w:left="360"/>
            </w:pPr>
            <w:r>
              <w:t>a) in de eerste graad, die geen kind is;</w:t>
            </w:r>
          </w:p>
          <w:p w14:paraId="1D6BD788" w14:textId="4A9ED258" w:rsidR="004D0952" w:rsidRPr="00037A46" w:rsidRDefault="000453F1" w:rsidP="000453F1">
            <w:pPr>
              <w:pStyle w:val="StandaardUitvullen"/>
              <w:spacing w:after="60"/>
              <w:ind w:left="360"/>
            </w:pPr>
            <w:r>
              <w:t>b) in de tweede graad, van het personeelslid, de samenwonende of huwelijkspartner</w:t>
            </w:r>
            <w:r w:rsidR="00E67245">
              <w:t>:</w:t>
            </w:r>
          </w:p>
        </w:tc>
        <w:tc>
          <w:tcPr>
            <w:tcW w:w="3402" w:type="dxa"/>
            <w:vAlign w:val="center"/>
          </w:tcPr>
          <w:p w14:paraId="4D3848D5" w14:textId="6A5AEFD6" w:rsidR="004D0952" w:rsidRPr="00037A46" w:rsidRDefault="000453F1" w:rsidP="00F84F9E">
            <w:pPr>
              <w:pStyle w:val="StandaardUitvullen"/>
              <w:spacing w:after="60"/>
              <w:ind w:left="214"/>
              <w:jc w:val="center"/>
            </w:pPr>
            <w:r>
              <w:t>1 werkdag</w:t>
            </w:r>
            <w:r w:rsidR="005B31AF">
              <w:t xml:space="preserve"> (de dag van het huwelijk: burgerlijk of kerkelijk)</w:t>
            </w:r>
          </w:p>
        </w:tc>
      </w:tr>
      <w:tr w:rsidR="005B31AF" w:rsidRPr="00037A46" w14:paraId="0FC8789F" w14:textId="77777777" w:rsidTr="4FB77E70">
        <w:tc>
          <w:tcPr>
            <w:tcW w:w="5882" w:type="dxa"/>
          </w:tcPr>
          <w:p w14:paraId="205F2345" w14:textId="7DC9F847" w:rsidR="00E67245" w:rsidRDefault="000B17AD" w:rsidP="009D4C40">
            <w:pPr>
              <w:pStyle w:val="StandaardUitvullen"/>
              <w:numPr>
                <w:ilvl w:val="0"/>
                <w:numId w:val="94"/>
              </w:numPr>
              <w:spacing w:after="60"/>
            </w:pPr>
            <w:r>
              <w:t>Huwelijk</w:t>
            </w:r>
            <w:r w:rsidR="00E67245">
              <w:t xml:space="preserve"> van een:</w:t>
            </w:r>
          </w:p>
          <w:p w14:paraId="7CD8DB17" w14:textId="77777777" w:rsidR="00E67245" w:rsidRDefault="00E67245" w:rsidP="00E67245">
            <w:pPr>
              <w:pStyle w:val="StandaardUitvullen"/>
              <w:spacing w:after="60"/>
              <w:ind w:left="360"/>
            </w:pPr>
            <w:r>
              <w:t>a) pleegouder van het personeelslid, de samenwonende of huwelijkspartner;</w:t>
            </w:r>
          </w:p>
          <w:p w14:paraId="7ECC928E" w14:textId="5A03F7B8" w:rsidR="005B31AF" w:rsidRPr="00037A46" w:rsidRDefault="00E67245" w:rsidP="00E67245">
            <w:pPr>
              <w:pStyle w:val="StandaardUitvullen"/>
              <w:spacing w:after="60"/>
              <w:ind w:left="360"/>
            </w:pPr>
            <w:r>
              <w:lastRenderedPageBreak/>
              <w:t>b) bloed-of aanverwant in de eerste en tweede graad van de pleegouder of het pleegkind van het personeelslid, de samenwonende of huwelijkspartner:</w:t>
            </w:r>
          </w:p>
        </w:tc>
        <w:tc>
          <w:tcPr>
            <w:tcW w:w="3402" w:type="dxa"/>
            <w:vAlign w:val="center"/>
          </w:tcPr>
          <w:p w14:paraId="091F45E1" w14:textId="4CCC83B3" w:rsidR="005B31AF" w:rsidRPr="00037A46" w:rsidRDefault="00E67245" w:rsidP="00F84F9E">
            <w:pPr>
              <w:pStyle w:val="StandaardUitvullen"/>
              <w:spacing w:after="60"/>
              <w:ind w:left="214"/>
              <w:jc w:val="center"/>
            </w:pPr>
            <w:r w:rsidRPr="00E67245">
              <w:lastRenderedPageBreak/>
              <w:t>1 werkdag (de dag van het huwelijk: burgerlijk of kerkelijk)</w:t>
            </w:r>
          </w:p>
        </w:tc>
      </w:tr>
      <w:tr w:rsidR="003A11FB" w:rsidRPr="00037A46" w14:paraId="19DD2F0C" w14:textId="77777777" w:rsidTr="4FB77E70">
        <w:tc>
          <w:tcPr>
            <w:tcW w:w="5882" w:type="dxa"/>
          </w:tcPr>
          <w:p w14:paraId="4741FA9D" w14:textId="3F55D1E7" w:rsidR="003A11FB" w:rsidRPr="00037A46" w:rsidRDefault="000B17AD" w:rsidP="009D4C40">
            <w:pPr>
              <w:pStyle w:val="StandaardUitvullen"/>
              <w:numPr>
                <w:ilvl w:val="0"/>
                <w:numId w:val="94"/>
              </w:numPr>
              <w:spacing w:after="60"/>
            </w:pPr>
            <w:r>
              <w:t>Overlijden</w:t>
            </w:r>
            <w:r w:rsidR="00397CE9" w:rsidRPr="00397CE9">
              <w:t xml:space="preserve"> van de ouder van een pleegouder of een kind van het pleegkind, in het kader van langdurige pleegzorg op het moment van het overlijden, waarbij die ouder of dat kind niet onder hetzelfde dak woont als het personeelslid of de samenwonende partner</w:t>
            </w:r>
            <w:r w:rsidR="00397CE9">
              <w:t>:</w:t>
            </w:r>
          </w:p>
        </w:tc>
        <w:tc>
          <w:tcPr>
            <w:tcW w:w="3402" w:type="dxa"/>
            <w:vAlign w:val="center"/>
          </w:tcPr>
          <w:p w14:paraId="4938314D" w14:textId="1C1E6131" w:rsidR="003A11FB" w:rsidRPr="00037A46" w:rsidRDefault="005563CE" w:rsidP="00F84F9E">
            <w:pPr>
              <w:pStyle w:val="StandaardUitvullen"/>
              <w:spacing w:after="60"/>
              <w:ind w:left="214"/>
              <w:jc w:val="center"/>
            </w:pPr>
            <w:r w:rsidRPr="00FD7E2F">
              <w:t>1</w:t>
            </w:r>
            <w:r>
              <w:t xml:space="preserve"> </w:t>
            </w:r>
            <w:r w:rsidR="003A11FB" w:rsidRPr="00037A46">
              <w:t>werkda</w:t>
            </w:r>
            <w:r w:rsidR="002679BC">
              <w:t>g</w:t>
            </w:r>
          </w:p>
          <w:p w14:paraId="0BC82FC4" w14:textId="77777777" w:rsidR="006735FA" w:rsidRPr="00037A46" w:rsidRDefault="00E36CCD" w:rsidP="00545607">
            <w:pPr>
              <w:pStyle w:val="StandaardUitvullen"/>
              <w:spacing w:after="60"/>
              <w:ind w:left="214"/>
              <w:jc w:val="center"/>
            </w:pPr>
            <w:r w:rsidRPr="00037A46">
              <w:t>(binnen de periode die begint op de dag van het overlijden en eindigt op de dag van de begrafenis of de crematie)</w:t>
            </w:r>
          </w:p>
        </w:tc>
      </w:tr>
      <w:tr w:rsidR="003A11FB" w:rsidRPr="00037A46" w14:paraId="51523CE0" w14:textId="77777777" w:rsidTr="4FB77E70">
        <w:tc>
          <w:tcPr>
            <w:tcW w:w="5882" w:type="dxa"/>
          </w:tcPr>
          <w:p w14:paraId="5562A5B7" w14:textId="0C66F0A7" w:rsidR="003A11FB" w:rsidRPr="00037A46" w:rsidRDefault="000B17AD" w:rsidP="009D4C40">
            <w:pPr>
              <w:pStyle w:val="StandaardUitvullen"/>
              <w:numPr>
                <w:ilvl w:val="0"/>
                <w:numId w:val="94"/>
              </w:numPr>
              <w:spacing w:after="60"/>
            </w:pPr>
            <w:r w:rsidRPr="00037A46">
              <w:t>Overlijden</w:t>
            </w:r>
            <w:r w:rsidR="003A11FB" w:rsidRPr="00037A46">
              <w:t xml:space="preserve"> van een bloed- of aanverwant van het personeelslid of de samenwonende partner in de tweede graad</w:t>
            </w:r>
            <w:r w:rsidR="00D90023">
              <w:t xml:space="preserve"> (met uitzondering van broers of zussen)</w:t>
            </w:r>
            <w:r w:rsidR="003A11FB" w:rsidRPr="00037A46">
              <w:t>, een overgrootouder of een achterkleinkind, niet onder hetzelfde dak wonend als het personeelslid of de samenwonende partner:</w:t>
            </w:r>
          </w:p>
        </w:tc>
        <w:tc>
          <w:tcPr>
            <w:tcW w:w="3402" w:type="dxa"/>
            <w:vAlign w:val="center"/>
          </w:tcPr>
          <w:p w14:paraId="447C4CD3" w14:textId="77777777" w:rsidR="003A11FB" w:rsidRPr="00037A46" w:rsidRDefault="003A11FB" w:rsidP="00F84F9E">
            <w:pPr>
              <w:pStyle w:val="StandaardUitvullen"/>
              <w:spacing w:after="60"/>
              <w:ind w:left="214"/>
              <w:jc w:val="center"/>
            </w:pPr>
            <w:r w:rsidRPr="00037A46">
              <w:t>1 werkdag</w:t>
            </w:r>
          </w:p>
          <w:p w14:paraId="6F9C1158" w14:textId="77777777" w:rsidR="006735FA" w:rsidRPr="00037A46" w:rsidRDefault="00E36CCD" w:rsidP="00545607">
            <w:pPr>
              <w:pStyle w:val="StandaardUitvullen"/>
              <w:spacing w:after="60"/>
              <w:ind w:left="214"/>
              <w:jc w:val="center"/>
            </w:pPr>
            <w:r w:rsidRPr="00037A46">
              <w:t>(binnen de periode die begint op de dag van het overlijden en eindigt op de dag van de begrafenis of de crematie)</w:t>
            </w:r>
          </w:p>
        </w:tc>
      </w:tr>
      <w:tr w:rsidR="00D90023" w:rsidRPr="00037A46" w14:paraId="27F7CF8C" w14:textId="77777777" w:rsidTr="4FB77E70">
        <w:tc>
          <w:tcPr>
            <w:tcW w:w="5882" w:type="dxa"/>
          </w:tcPr>
          <w:p w14:paraId="0E0BD3CF" w14:textId="1A53BE2C" w:rsidR="00D90023" w:rsidRPr="00037A46" w:rsidRDefault="00D90023" w:rsidP="009D4C40">
            <w:pPr>
              <w:pStyle w:val="StandaardUitvullen"/>
              <w:numPr>
                <w:ilvl w:val="0"/>
                <w:numId w:val="94"/>
              </w:numPr>
              <w:spacing w:after="60"/>
            </w:pPr>
            <w:r>
              <w:t>Overlijden van een broer of zus van het personeelslid of van de samenwonende partner, niet onder hetzelfde dak wonend als het personeelslid of de samenwonende partner:</w:t>
            </w:r>
          </w:p>
        </w:tc>
        <w:tc>
          <w:tcPr>
            <w:tcW w:w="3402" w:type="dxa"/>
            <w:vAlign w:val="center"/>
          </w:tcPr>
          <w:p w14:paraId="76C96A16" w14:textId="5C00EF26" w:rsidR="00D90023" w:rsidRPr="00037A46" w:rsidRDefault="00D90023" w:rsidP="00F84F9E">
            <w:pPr>
              <w:pStyle w:val="StandaardUitvullen"/>
              <w:spacing w:after="60"/>
              <w:ind w:left="214"/>
              <w:jc w:val="center"/>
            </w:pPr>
            <w:r>
              <w:t xml:space="preserve">2 werkdagen (binnen de periode die begint op de dag van het overlijden en eindigt op </w:t>
            </w:r>
            <w:r w:rsidR="000B17AD">
              <w:t>de dag</w:t>
            </w:r>
            <w:r>
              <w:t xml:space="preserve"> van de begrafenis of de crematie)</w:t>
            </w:r>
          </w:p>
        </w:tc>
      </w:tr>
      <w:tr w:rsidR="003A11FB" w:rsidRPr="00037A46" w14:paraId="487E5EF9" w14:textId="77777777" w:rsidTr="4FB77E70">
        <w:tc>
          <w:tcPr>
            <w:tcW w:w="5882" w:type="dxa"/>
          </w:tcPr>
          <w:p w14:paraId="5AC47B95" w14:textId="7178DD2D" w:rsidR="003A11FB" w:rsidRPr="00037A46" w:rsidRDefault="000B17AD" w:rsidP="009D4C40">
            <w:pPr>
              <w:pStyle w:val="StandaardUitvullen"/>
              <w:numPr>
                <w:ilvl w:val="0"/>
                <w:numId w:val="94"/>
              </w:numPr>
              <w:spacing w:after="60"/>
            </w:pPr>
            <w:r w:rsidRPr="00037A46">
              <w:t>Priesterwijding</w:t>
            </w:r>
            <w:r w:rsidR="003A11FB" w:rsidRPr="00037A46">
              <w:t xml:space="preserve"> of intrede in het klooster van een kind van het personeelslid, van de samenwonende of huwelijkspartner, of van een broer, zuster, schoonbroer of schoonzuster van het personeelslid:</w:t>
            </w:r>
          </w:p>
        </w:tc>
        <w:tc>
          <w:tcPr>
            <w:tcW w:w="3402" w:type="dxa"/>
            <w:vAlign w:val="center"/>
          </w:tcPr>
          <w:p w14:paraId="3EC5E210" w14:textId="15A77CF0" w:rsidR="003A11FB" w:rsidRPr="00037A46" w:rsidRDefault="000B17AD" w:rsidP="00F84F9E">
            <w:pPr>
              <w:pStyle w:val="StandaardUitvullen"/>
              <w:spacing w:after="60"/>
              <w:ind w:left="214"/>
              <w:jc w:val="center"/>
            </w:pPr>
            <w:r w:rsidRPr="00037A46">
              <w:t>De</w:t>
            </w:r>
            <w:r w:rsidR="003A11FB" w:rsidRPr="00037A46">
              <w:t xml:space="preserve"> dag van de rooms-katholieke plechtigheid of een daarmee overeenstemmende plechtigheid bij een andere erkende eredienst</w:t>
            </w:r>
          </w:p>
        </w:tc>
      </w:tr>
      <w:tr w:rsidR="003A11FB" w:rsidRPr="00037A46" w14:paraId="197EB243" w14:textId="77777777" w:rsidTr="4FB77E70">
        <w:tc>
          <w:tcPr>
            <w:tcW w:w="5882" w:type="dxa"/>
          </w:tcPr>
          <w:p w14:paraId="01D4AF8B" w14:textId="77777777" w:rsidR="001554A6" w:rsidRDefault="001554A6" w:rsidP="009D4C40">
            <w:pPr>
              <w:pStyle w:val="StandaardUitvullen"/>
              <w:numPr>
                <w:ilvl w:val="0"/>
                <w:numId w:val="94"/>
              </w:numPr>
              <w:spacing w:after="60"/>
            </w:pPr>
            <w:r>
              <w:t xml:space="preserve">Plechtige communie van een kind van het personeelslid of van de samenwonende of huwelijkspartner of van een pleegkind van het personeelslid, van de samenwonende of huwelijkspartner (in het kader van langdurige pleegzorg op het moment van de plechtige communie); </w:t>
            </w:r>
          </w:p>
          <w:p w14:paraId="575F0B29" w14:textId="77777777" w:rsidR="001554A6" w:rsidRDefault="001554A6" w:rsidP="009D4C40">
            <w:pPr>
              <w:pStyle w:val="StandaardUitvullen"/>
              <w:numPr>
                <w:ilvl w:val="0"/>
                <w:numId w:val="94"/>
              </w:numPr>
              <w:spacing w:after="60"/>
            </w:pPr>
            <w:r>
              <w:t>Deelneming van een kind van het personeelslid of van de samenwonende of huwelijkspartner of van een pleegkind van het personeelslid, van de samenwonende of huwelijkspartner (in het kader van langdurige pleegzorg op het moment van het feest), aan het feest van de vrijzinnige jeugd;</w:t>
            </w:r>
          </w:p>
          <w:p w14:paraId="330E4429" w14:textId="2176F5E9" w:rsidR="003A11FB" w:rsidRPr="00037A46" w:rsidRDefault="001554A6" w:rsidP="009D4C40">
            <w:pPr>
              <w:pStyle w:val="StandaardUitvullen"/>
              <w:numPr>
                <w:ilvl w:val="0"/>
                <w:numId w:val="94"/>
              </w:numPr>
              <w:spacing w:after="60"/>
            </w:pPr>
            <w:r>
              <w:t>Deelneming van een kind van het personeelslid of van de samenwonende of huwelijkspartner of van een pleegkind van het personeelslid, van de samenwonende of huwelijkspartner (in het kader van langdurige pleegzorg op het moment van de plechtigheid), aan een plechtigheid in het kader van een erkende eredienst die overeenstemt met de rooms-katholieke plechtige communie:</w:t>
            </w:r>
          </w:p>
        </w:tc>
        <w:tc>
          <w:tcPr>
            <w:tcW w:w="3402" w:type="dxa"/>
            <w:vAlign w:val="center"/>
          </w:tcPr>
          <w:p w14:paraId="45599A3B" w14:textId="61E574DD" w:rsidR="003A11FB" w:rsidRPr="00037A46" w:rsidRDefault="000B17AD" w:rsidP="00AD204A">
            <w:pPr>
              <w:pStyle w:val="StandaardUitvullen"/>
              <w:spacing w:after="60"/>
              <w:ind w:left="214"/>
              <w:jc w:val="center"/>
            </w:pPr>
            <w:r w:rsidRPr="00037A46">
              <w:t>De</w:t>
            </w:r>
            <w:r w:rsidR="003A11FB" w:rsidRPr="00037A46">
              <w:t xml:space="preserve"> dag </w:t>
            </w:r>
            <w:r w:rsidR="00373C11" w:rsidRPr="00037A46">
              <w:t xml:space="preserve">zelf, de dag voor of na </w:t>
            </w:r>
            <w:r w:rsidR="003A11FB" w:rsidRPr="00037A46">
              <w:t xml:space="preserve">de plechtigheid, of, als dat een zondag, feestdag of </w:t>
            </w:r>
            <w:proofErr w:type="spellStart"/>
            <w:r w:rsidR="003A11FB" w:rsidRPr="00037A46">
              <w:t>inactiviteitsdag</w:t>
            </w:r>
            <w:proofErr w:type="spellEnd"/>
            <w:r w:rsidR="003A11FB" w:rsidRPr="00037A46">
              <w:t xml:space="preserve"> is, de eerstvolgende werkdag</w:t>
            </w:r>
          </w:p>
        </w:tc>
      </w:tr>
      <w:tr w:rsidR="003A11FB" w:rsidRPr="00037A46" w14:paraId="3385C486" w14:textId="77777777" w:rsidTr="4FB77E70">
        <w:tc>
          <w:tcPr>
            <w:tcW w:w="5882" w:type="dxa"/>
          </w:tcPr>
          <w:p w14:paraId="2C896C3D" w14:textId="22996D2A" w:rsidR="003A11FB" w:rsidRPr="00037A46" w:rsidRDefault="000B17AD" w:rsidP="009D4C40">
            <w:pPr>
              <w:pStyle w:val="StandaardUitvullen"/>
              <w:numPr>
                <w:ilvl w:val="0"/>
                <w:numId w:val="94"/>
              </w:numPr>
              <w:spacing w:after="60"/>
            </w:pPr>
            <w:r w:rsidRPr="00037A46">
              <w:t>Gehoord</w:t>
            </w:r>
            <w:r w:rsidR="003A11FB" w:rsidRPr="00037A46">
              <w:t xml:space="preserve"> worden door de vrederechter in het kader van de organisatie van de voogdij over een minderjarige:</w:t>
            </w:r>
          </w:p>
        </w:tc>
        <w:tc>
          <w:tcPr>
            <w:tcW w:w="3402" w:type="dxa"/>
            <w:vAlign w:val="center"/>
          </w:tcPr>
          <w:p w14:paraId="2F0A26F8" w14:textId="05E97684" w:rsidR="003A11FB" w:rsidRPr="00037A46" w:rsidRDefault="000B17AD" w:rsidP="00F84F9E">
            <w:pPr>
              <w:pStyle w:val="StandaardUitvullen"/>
              <w:spacing w:after="60"/>
              <w:ind w:left="214"/>
              <w:jc w:val="center"/>
            </w:pPr>
            <w:r w:rsidRPr="00037A46">
              <w:t>De</w:t>
            </w:r>
            <w:r w:rsidR="003A11FB" w:rsidRPr="00037A46">
              <w:t xml:space="preserve"> nodige tijd, maximaal één dag</w:t>
            </w:r>
          </w:p>
        </w:tc>
      </w:tr>
      <w:tr w:rsidR="003A11FB" w:rsidRPr="00037A46" w14:paraId="516DF8F9" w14:textId="77777777" w:rsidTr="4FB77E70">
        <w:tc>
          <w:tcPr>
            <w:tcW w:w="5882" w:type="dxa"/>
          </w:tcPr>
          <w:p w14:paraId="2DD106A6" w14:textId="524CE5FF" w:rsidR="003A11FB" w:rsidRPr="00037A46" w:rsidRDefault="000B17AD" w:rsidP="009D4C40">
            <w:pPr>
              <w:pStyle w:val="StandaardUitvullen"/>
              <w:numPr>
                <w:ilvl w:val="0"/>
                <w:numId w:val="94"/>
              </w:numPr>
              <w:spacing w:after="60"/>
            </w:pPr>
            <w:r w:rsidRPr="00037A46">
              <w:t>Deelneming</w:t>
            </w:r>
            <w:r w:rsidR="003A11FB" w:rsidRPr="00037A46">
              <w:t xml:space="preserve"> aan een assisenjury, oproeping als getuige voor de rechtbank of persoonlijke verschijning op aanmaning van de arbeidsrechtbank:</w:t>
            </w:r>
          </w:p>
        </w:tc>
        <w:tc>
          <w:tcPr>
            <w:tcW w:w="3402" w:type="dxa"/>
            <w:vAlign w:val="center"/>
          </w:tcPr>
          <w:p w14:paraId="46F8CA19" w14:textId="4E3AC57A" w:rsidR="003A11FB" w:rsidRPr="00037A46" w:rsidRDefault="000B17AD" w:rsidP="00F84F9E">
            <w:pPr>
              <w:pStyle w:val="StandaardUitvullen"/>
              <w:spacing w:after="60"/>
              <w:ind w:left="214"/>
              <w:jc w:val="center"/>
            </w:pPr>
            <w:r w:rsidRPr="00037A46">
              <w:t>De</w:t>
            </w:r>
            <w:r w:rsidR="003A11FB" w:rsidRPr="00037A46">
              <w:t xml:space="preserve"> nodige tijd</w:t>
            </w:r>
          </w:p>
        </w:tc>
      </w:tr>
    </w:tbl>
    <w:p w14:paraId="02F544C6" w14:textId="77777777" w:rsidR="003C2B1F" w:rsidRDefault="003C2B1F" w:rsidP="00BF0C13">
      <w:pPr>
        <w:rPr>
          <w:b/>
        </w:rPr>
      </w:pPr>
    </w:p>
    <w:p w14:paraId="77AF066E" w14:textId="77777777" w:rsidR="00855674" w:rsidRDefault="00855674" w:rsidP="00BF0C13">
      <w:pPr>
        <w:rPr>
          <w:b/>
        </w:rPr>
      </w:pPr>
    </w:p>
    <w:p w14:paraId="7CC07962" w14:textId="62C814E8" w:rsidR="000514EB" w:rsidRDefault="000514EB">
      <w:pPr>
        <w:spacing w:before="0" w:after="0"/>
        <w:ind w:left="0"/>
        <w:jc w:val="left"/>
        <w:rPr>
          <w:b/>
        </w:rPr>
      </w:pPr>
      <w:r>
        <w:rPr>
          <w:b/>
        </w:rPr>
        <w:br w:type="page"/>
      </w:r>
    </w:p>
    <w:p w14:paraId="20D8C6C7" w14:textId="1DDDD3B3" w:rsidR="006B2133" w:rsidRPr="006B2133" w:rsidRDefault="006B2133" w:rsidP="006447B8">
      <w:pPr>
        <w:ind w:left="0"/>
        <w:rPr>
          <w:b/>
        </w:rPr>
      </w:pPr>
      <w:r w:rsidRPr="006B2133">
        <w:rPr>
          <w:b/>
        </w:rPr>
        <w:lastRenderedPageBreak/>
        <w:t xml:space="preserve">Artikel </w:t>
      </w:r>
      <w:r w:rsidR="008E0576">
        <w:rPr>
          <w:b/>
        </w:rPr>
        <w:t>195</w:t>
      </w:r>
    </w:p>
    <w:p w14:paraId="6CF5231F" w14:textId="1E2587D5" w:rsidR="006B2133" w:rsidRPr="006B2133" w:rsidRDefault="006B2133" w:rsidP="006447B8">
      <w:pPr>
        <w:ind w:left="0"/>
        <w:rPr>
          <w:bCs/>
        </w:rPr>
      </w:pPr>
      <w:r w:rsidRPr="006B2133">
        <w:rPr>
          <w:bCs/>
        </w:rPr>
        <w:t>Wordt verstaan onder:</w:t>
      </w:r>
    </w:p>
    <w:p w14:paraId="13513BA6" w14:textId="77777777" w:rsidR="006B2133" w:rsidRPr="006B2133" w:rsidRDefault="006B2133" w:rsidP="006B2133">
      <w:pPr>
        <w:rPr>
          <w:bCs/>
        </w:rPr>
      </w:pPr>
      <w:r w:rsidRPr="006B2133">
        <w:rPr>
          <w:bCs/>
        </w:rPr>
        <w:t>1.</w:t>
      </w:r>
      <w:r w:rsidRPr="006B2133">
        <w:rPr>
          <w:bCs/>
        </w:rPr>
        <w:tab/>
        <w:t>langdurige pleegzorg: pleegzorg voor minstens zes maanden of de pleegzorg waarbij het kind in het verleden voor minstens zes maanden was ingeschreven als deel uitmakend van het gezin van het personeelslid in het bevolkingsregister of in het vreemdelingenregister van de gemeente waar het personeelslid zijn verblijfplaats heeft, of de pleegzorg waarvan bij aanvang duidelijk is dat het pleegkind voor minstens zes maanden deel zal uitmaken van het gezin van het personeelslid, in het bevolkingsregister of in het vreemdelingenregister van de gemeente waar het personeelslid zijn verblijfplaats heeft;</w:t>
      </w:r>
    </w:p>
    <w:p w14:paraId="2E6A0BA0" w14:textId="77777777" w:rsidR="006B2133" w:rsidRPr="006B2133" w:rsidRDefault="511CB9C6" w:rsidP="006B2133">
      <w:pPr>
        <w:rPr>
          <w:bCs/>
        </w:rPr>
      </w:pPr>
      <w:r>
        <w:t>2.</w:t>
      </w:r>
      <w:r w:rsidR="006B2133">
        <w:tab/>
      </w:r>
      <w:r>
        <w:t>kortdurende pleegzorg: alle vormen van pleegzorg die niet voldoen aan de voorwaarden van langdurige pleegzorg.</w:t>
      </w:r>
    </w:p>
    <w:p w14:paraId="3A9E3F1F" w14:textId="5A7B28D5" w:rsidR="006B2133" w:rsidRPr="006B2133" w:rsidRDefault="511CB9C6" w:rsidP="006447B8">
      <w:pPr>
        <w:ind w:left="0"/>
        <w:rPr>
          <w:b/>
          <w:bCs/>
        </w:rPr>
      </w:pPr>
      <w:r w:rsidRPr="4FB77E70">
        <w:rPr>
          <w:b/>
          <w:bCs/>
        </w:rPr>
        <w:t xml:space="preserve">Artikel </w:t>
      </w:r>
      <w:r w:rsidR="008E0576">
        <w:rPr>
          <w:b/>
          <w:bCs/>
        </w:rPr>
        <w:t>196</w:t>
      </w:r>
    </w:p>
    <w:p w14:paraId="66A4EA02" w14:textId="169795BC" w:rsidR="00D61E11" w:rsidRDefault="00D61E11" w:rsidP="006447B8">
      <w:pPr>
        <w:ind w:left="0"/>
        <w:rPr>
          <w:bCs/>
        </w:rPr>
      </w:pPr>
      <w:r>
        <w:rPr>
          <w:bCs/>
        </w:rPr>
        <w:t xml:space="preserve">§1. </w:t>
      </w:r>
      <w:r w:rsidR="006B2133" w:rsidRPr="006B2133">
        <w:rPr>
          <w:bCs/>
        </w:rPr>
        <w:t xml:space="preserve">Het omstandigheidsverlof is een recht, maar het personeelslid is niet verplicht deze verloven geheel of gedeeltelijk op te nemen. </w:t>
      </w:r>
    </w:p>
    <w:p w14:paraId="4FF13064" w14:textId="1BF0A8B6" w:rsidR="008B257B" w:rsidRPr="008B257B" w:rsidRDefault="008B257B" w:rsidP="006447B8">
      <w:pPr>
        <w:pStyle w:val="StandaardUitvullen"/>
        <w:ind w:left="0"/>
        <w:rPr>
          <w:bCs/>
          <w:iCs/>
        </w:rPr>
      </w:pPr>
      <w:r w:rsidRPr="003F481F">
        <w:rPr>
          <w:bCs/>
          <w:iCs/>
        </w:rPr>
        <w:t xml:space="preserve">Het personeelslid richt zijn aanvraag tot </w:t>
      </w:r>
      <w:r>
        <w:rPr>
          <w:bCs/>
          <w:iCs/>
        </w:rPr>
        <w:t xml:space="preserve">de teamverantwoordelijke </w:t>
      </w:r>
      <w:r w:rsidRPr="003F481F">
        <w:rPr>
          <w:bCs/>
          <w:iCs/>
        </w:rPr>
        <w:t>van de personeelsdienst.</w:t>
      </w:r>
    </w:p>
    <w:p w14:paraId="165C0B04" w14:textId="5D0567E0" w:rsidR="00BF0C13" w:rsidRPr="00037A46" w:rsidRDefault="00057DE7" w:rsidP="006447B8">
      <w:pPr>
        <w:ind w:left="0"/>
      </w:pPr>
      <w:r w:rsidRPr="006B2133">
        <w:rPr>
          <w:bCs/>
        </w:rPr>
        <w:t>§</w:t>
      </w:r>
      <w:r w:rsidR="003A11FB" w:rsidRPr="006B2133">
        <w:rPr>
          <w:bCs/>
        </w:rPr>
        <w:t>2</w:t>
      </w:r>
      <w:r w:rsidR="00D61E11">
        <w:rPr>
          <w:bCs/>
        </w:rPr>
        <w:t>.</w:t>
      </w:r>
      <w:r w:rsidR="00D26E21" w:rsidRPr="006B2133">
        <w:rPr>
          <w:bCs/>
        </w:rPr>
        <w:t xml:space="preserve"> </w:t>
      </w:r>
      <w:r w:rsidR="00BF0C13" w:rsidRPr="006B2133">
        <w:rPr>
          <w:bCs/>
        </w:rPr>
        <w:t>Het</w:t>
      </w:r>
      <w:r w:rsidR="00BF0C13" w:rsidRPr="00037A46">
        <w:t xml:space="preserve"> omstandigheidsverlof wordt steeds opgenomen volgens het geldend uurrooster op die werkdagen. </w:t>
      </w:r>
    </w:p>
    <w:p w14:paraId="641F5CF0" w14:textId="77777777" w:rsidR="00BF0C13" w:rsidRPr="00037A46" w:rsidRDefault="00BF0C13" w:rsidP="006447B8">
      <w:pPr>
        <w:ind w:left="0"/>
      </w:pPr>
      <w:r w:rsidRPr="00037A46">
        <w:t>Het omstandigheidsverlof wordt gelijkgesteld met dienstactiviteit en is bezoldigd.</w:t>
      </w:r>
    </w:p>
    <w:p w14:paraId="1847393C" w14:textId="1EF06B13" w:rsidR="005563CE" w:rsidRDefault="00057DE7" w:rsidP="006447B8">
      <w:pPr>
        <w:ind w:left="0"/>
        <w:rPr>
          <w:bCs/>
        </w:rPr>
      </w:pPr>
      <w:r w:rsidRPr="003F481F">
        <w:rPr>
          <w:bCs/>
        </w:rPr>
        <w:t>§</w:t>
      </w:r>
      <w:r w:rsidR="008B257B">
        <w:rPr>
          <w:bCs/>
        </w:rPr>
        <w:t>3</w:t>
      </w:r>
      <w:r w:rsidR="003F481F" w:rsidRPr="003F481F">
        <w:rPr>
          <w:bCs/>
        </w:rPr>
        <w:t>.</w:t>
      </w:r>
      <w:r w:rsidR="00D26E21" w:rsidRPr="003F481F">
        <w:rPr>
          <w:bCs/>
        </w:rPr>
        <w:t xml:space="preserve"> </w:t>
      </w:r>
      <w:r w:rsidR="005563CE" w:rsidRPr="00FD7E2F">
        <w:t>Onder aanverwanten wordt in dit artikel ook verstaan stiefbroer of stiefzus.</w:t>
      </w:r>
    </w:p>
    <w:p w14:paraId="15C6595A" w14:textId="70531C28" w:rsidR="005563CE" w:rsidRPr="003F481F" w:rsidRDefault="00D13CF9" w:rsidP="005563CE">
      <w:pPr>
        <w:ind w:left="0"/>
        <w:rPr>
          <w:bCs/>
        </w:rPr>
      </w:pPr>
      <w:r>
        <w:br/>
      </w:r>
      <w:r w:rsidR="3FDB7144" w:rsidRPr="00FD7E2F">
        <w:t>§</w:t>
      </w:r>
      <w:r w:rsidR="005563CE" w:rsidRPr="00FD7E2F">
        <w:rPr>
          <w:strike/>
        </w:rPr>
        <w:t>4</w:t>
      </w:r>
      <w:r w:rsidR="5AE914B0" w:rsidRPr="00FD7E2F">
        <w:t>.</w:t>
      </w:r>
      <w:r w:rsidR="3FDB7144" w:rsidRPr="00FD7E2F">
        <w:t xml:space="preserve"> </w:t>
      </w:r>
      <w:r w:rsidR="005563CE" w:rsidRPr="00FD7E2F">
        <w:rPr>
          <w:bCs/>
        </w:rPr>
        <w:t>Het geboorteverlof moet opgenomen worden binnen de 4 maanden na de geboorte.</w:t>
      </w:r>
    </w:p>
    <w:p w14:paraId="755E8ACA" w14:textId="77777777" w:rsidR="005563CE" w:rsidRPr="003F481F" w:rsidRDefault="005563CE" w:rsidP="005563CE">
      <w:pPr>
        <w:ind w:left="0"/>
        <w:rPr>
          <w:rFonts w:ascii="Times New Roman" w:hAnsi="Times New Roman"/>
          <w:bCs/>
        </w:rPr>
      </w:pPr>
      <w:bookmarkStart w:id="251" w:name="OLE_LINK43"/>
      <w:r w:rsidRPr="003F481F">
        <w:rPr>
          <w:bCs/>
        </w:rPr>
        <w:t>Dit verlof geldt ook voor meeouders indien aan volgende voorwaarden wordt voldaan:</w:t>
      </w:r>
    </w:p>
    <w:p w14:paraId="46FF50F5" w14:textId="77777777" w:rsidR="005563CE" w:rsidRPr="003F481F" w:rsidRDefault="005563CE" w:rsidP="009D4C40">
      <w:pPr>
        <w:numPr>
          <w:ilvl w:val="0"/>
          <w:numId w:val="42"/>
        </w:numPr>
        <w:spacing w:before="0" w:after="0"/>
        <w:rPr>
          <w:bCs/>
        </w:rPr>
      </w:pPr>
      <w:r w:rsidRPr="003F481F">
        <w:rPr>
          <w:bCs/>
        </w:rPr>
        <w:t>er mag enkel een wettelijke afstammingsband bestaan ten aanzien van één persoon, namelijk tussen het kind en de moeder. Is er ook een wettelijke afstammingsband met de vader, dan krijgt hij het verlof en niet de meeouder;</w:t>
      </w:r>
    </w:p>
    <w:p w14:paraId="4BD19E4C" w14:textId="77777777" w:rsidR="005563CE" w:rsidRPr="003F481F" w:rsidRDefault="005563CE" w:rsidP="009D4C40">
      <w:pPr>
        <w:numPr>
          <w:ilvl w:val="0"/>
          <w:numId w:val="42"/>
        </w:numPr>
        <w:spacing w:before="0" w:after="0"/>
        <w:rPr>
          <w:bCs/>
        </w:rPr>
      </w:pPr>
      <w:r w:rsidRPr="003F481F">
        <w:rPr>
          <w:bCs/>
        </w:rPr>
        <w:t>de meeouder moet een bewijs van partnerschap met de moeder kunnen voorleggen. Bijvoorbeeld: huwelijksakte, bewijs van wettelijke samenwoning of een uittreksel uit het bevolkingsregister waaruit de inschrijving op hetzelfde adres blijkt gedurende minstens drie onafgebroken jaren voorafgaand aan de geboorte.</w:t>
      </w:r>
    </w:p>
    <w:p w14:paraId="43B2948A" w14:textId="77777777" w:rsidR="005563CE" w:rsidRPr="003F481F" w:rsidRDefault="005563CE" w:rsidP="005563CE">
      <w:pPr>
        <w:ind w:left="0"/>
      </w:pPr>
      <w:r>
        <w:t>Bij een latere adoptie wordt het adoptieverlof verminderd met de opgenomen dagen omstandigheidsverlof in het kader van meeouderschap.</w:t>
      </w:r>
      <w:bookmarkEnd w:id="251"/>
    </w:p>
    <w:p w14:paraId="34F93E30" w14:textId="77777777" w:rsidR="005563CE" w:rsidRPr="00037A46" w:rsidRDefault="005563CE" w:rsidP="005563CE">
      <w:pPr>
        <w:ind w:left="0"/>
      </w:pPr>
      <w:r>
        <w:t>Het geboorteverlof wordt als volgt bezoldigd:</w:t>
      </w:r>
    </w:p>
    <w:p w14:paraId="454B38F3" w14:textId="58D378EC" w:rsidR="00157B78" w:rsidRPr="008B257B" w:rsidRDefault="005563CE" w:rsidP="005563CE">
      <w:pPr>
        <w:ind w:left="0"/>
      </w:pPr>
      <w:r w:rsidRPr="008B257B">
        <w:t>Voor statutaire personeelsleden wordt het salaris de 1ste 10 dagen doorbetaald. Vanaf de 11de dag ontvangt het personeelslid 82% van het brutosalaris, begrensd op jaarlijks brutosalaris van 26.230 euro (100%).</w:t>
      </w:r>
      <w:r>
        <w:br/>
        <w:t xml:space="preserve">Voor het contractuele personeelslid wordt het geboorteverlof toegekend conform de regeling, vermeld in artikel 30, § 2, van de wet van 3 juli 1978 betreffende de arbeidsovereenkomsten. </w:t>
      </w:r>
      <w:r w:rsidRPr="008B257B">
        <w:t xml:space="preserve">Dit wil zeggen drie dagen bezoldigd door het bestuur en overige dagen betaald door de mutualiteit. Het bestuur betaalt, na voorlegging van de ontvangen uitkering namens de mutualiteit, vervolgens het verschil bij tot het </w:t>
      </w:r>
      <w:proofErr w:type="spellStart"/>
      <w:r w:rsidRPr="008B257B">
        <w:t>brutobelastbaar</w:t>
      </w:r>
      <w:proofErr w:type="spellEnd"/>
      <w:r w:rsidRPr="008B257B">
        <w:t xml:space="preserve"> salaris voor de 4e tot en met 10e dag en tot 82% van het </w:t>
      </w:r>
      <w:proofErr w:type="spellStart"/>
      <w:r w:rsidRPr="008B257B">
        <w:t>brutobelastbaar</w:t>
      </w:r>
      <w:proofErr w:type="spellEnd"/>
      <w:r w:rsidRPr="008B257B">
        <w:t xml:space="preserve"> salaris voor de overige dagen. De </w:t>
      </w:r>
      <w:proofErr w:type="spellStart"/>
      <w:r w:rsidRPr="008B257B">
        <w:t>bijpassing</w:t>
      </w:r>
      <w:proofErr w:type="spellEnd"/>
      <w:r w:rsidRPr="008B257B">
        <w:t xml:space="preserve"> door het bestuur wordt beschouwd als een aanvulling op een sociaal voordeel en is dus bijgevolg vrijgesteld van sociale zekerheidsbijdragen.</w:t>
      </w:r>
    </w:p>
    <w:p w14:paraId="71D4AAF3" w14:textId="0F9926B4" w:rsidR="003A11FB" w:rsidRPr="00037A46" w:rsidRDefault="003A11FB" w:rsidP="00B44CF7">
      <w:pPr>
        <w:pStyle w:val="Kop2"/>
      </w:pPr>
      <w:r w:rsidRPr="00037A46">
        <w:br w:type="page"/>
      </w:r>
      <w:bookmarkStart w:id="252" w:name="_Toc110948234"/>
      <w:bookmarkStart w:id="253" w:name="_Toc215739041"/>
      <w:r w:rsidRPr="00037A46">
        <w:lastRenderedPageBreak/>
        <w:t>Hoofdstuk ix. het onbetaalde verlof</w:t>
      </w:r>
      <w:bookmarkEnd w:id="252"/>
      <w:bookmarkEnd w:id="253"/>
    </w:p>
    <w:p w14:paraId="06AF22F8" w14:textId="2766F000" w:rsidR="003A11FB" w:rsidRPr="00037A46" w:rsidRDefault="00373C11" w:rsidP="00334A21">
      <w:pPr>
        <w:spacing w:before="0" w:after="160" w:line="259" w:lineRule="auto"/>
        <w:ind w:left="0"/>
        <w:jc w:val="left"/>
        <w:rPr>
          <w:rFonts w:ascii="Calibri" w:eastAsia="Calibri" w:hAnsi="Calibri"/>
          <w:b/>
          <w:bCs/>
          <w:kern w:val="2"/>
          <w:sz w:val="22"/>
          <w:szCs w:val="22"/>
          <w:lang w:val="nl-BE" w:eastAsia="en-US"/>
          <w14:ligatures w14:val="standardContextual"/>
        </w:rPr>
      </w:pPr>
      <w:r w:rsidRPr="00037A46">
        <w:rPr>
          <w:rFonts w:ascii="Calibri" w:eastAsia="Calibri" w:hAnsi="Calibri"/>
          <w:b/>
          <w:bCs/>
          <w:kern w:val="2"/>
          <w:sz w:val="22"/>
          <w:szCs w:val="22"/>
          <w:lang w:val="nl-BE" w:eastAsia="en-US"/>
          <w14:ligatures w14:val="standardContextual"/>
        </w:rPr>
        <w:t xml:space="preserve">Artikel </w:t>
      </w:r>
      <w:r w:rsidR="008E0576">
        <w:rPr>
          <w:rFonts w:ascii="Calibri" w:eastAsia="Calibri" w:hAnsi="Calibri"/>
          <w:b/>
          <w:bCs/>
          <w:kern w:val="2"/>
          <w:sz w:val="22"/>
          <w:szCs w:val="22"/>
          <w:lang w:val="nl-BE" w:eastAsia="en-US"/>
          <w14:ligatures w14:val="standardContextual"/>
        </w:rPr>
        <w:t>197</w:t>
      </w:r>
    </w:p>
    <w:p w14:paraId="07DD2CC9" w14:textId="34375A0B" w:rsidR="00950852" w:rsidRPr="00FD7E2F" w:rsidRDefault="00AB077E" w:rsidP="006447B8">
      <w:pPr>
        <w:pStyle w:val="StandaardUitvullen"/>
        <w:ind w:left="0"/>
        <w:rPr>
          <w:rStyle w:val="Zwaar"/>
          <w:b w:val="0"/>
        </w:rPr>
      </w:pPr>
      <w:r w:rsidRPr="00FD7E2F">
        <w:rPr>
          <w:rStyle w:val="Zwaar"/>
          <w:b w:val="0"/>
        </w:rPr>
        <w:t>§1</w:t>
      </w:r>
      <w:r w:rsidR="00FD7E2F" w:rsidRPr="00FD7E2F">
        <w:rPr>
          <w:rStyle w:val="Zwaar"/>
          <w:b w:val="0"/>
        </w:rPr>
        <w:t>.</w:t>
      </w:r>
      <w:r w:rsidRPr="00FD7E2F">
        <w:rPr>
          <w:rStyle w:val="Zwaar"/>
          <w:b w:val="0"/>
        </w:rPr>
        <w:t xml:space="preserve"> </w:t>
      </w:r>
      <w:r w:rsidR="00950852" w:rsidRPr="00FD7E2F">
        <w:rPr>
          <w:rStyle w:val="Zwaar"/>
          <w:b w:val="0"/>
        </w:rPr>
        <w:t>Onder onbetaald verlof wordt begrepen:</w:t>
      </w:r>
    </w:p>
    <w:p w14:paraId="4B0BC055" w14:textId="77777777" w:rsidR="00950852" w:rsidRPr="00FD7E2F" w:rsidRDefault="00950852" w:rsidP="009D4C40">
      <w:pPr>
        <w:pStyle w:val="StandaardUitvullen"/>
        <w:numPr>
          <w:ilvl w:val="0"/>
          <w:numId w:val="95"/>
        </w:numPr>
        <w:rPr>
          <w:rStyle w:val="Zwaar"/>
          <w:b w:val="0"/>
        </w:rPr>
      </w:pPr>
      <w:r w:rsidRPr="00FD7E2F">
        <w:rPr>
          <w:rStyle w:val="Zwaar"/>
          <w:b w:val="0"/>
        </w:rPr>
        <w:t>twintig werkdagen per kalenderjaar, te nemen in volledige of halve dagen en al dan niet aaneensluitende perioden;</w:t>
      </w:r>
    </w:p>
    <w:p w14:paraId="1CDE6841" w14:textId="77777777" w:rsidR="00950852" w:rsidRPr="00FD7E2F" w:rsidRDefault="00950852" w:rsidP="009D4C40">
      <w:pPr>
        <w:pStyle w:val="StandaardUitvullen"/>
        <w:numPr>
          <w:ilvl w:val="0"/>
          <w:numId w:val="95"/>
        </w:numPr>
        <w:rPr>
          <w:rStyle w:val="Zwaar"/>
          <w:b w:val="0"/>
        </w:rPr>
      </w:pPr>
      <w:r w:rsidRPr="00FD7E2F">
        <w:rPr>
          <w:rStyle w:val="Zwaar"/>
          <w:b w:val="0"/>
        </w:rPr>
        <w:t>twee jaar gedurende de loopbaan,</w:t>
      </w:r>
      <w:r w:rsidR="006478F5" w:rsidRPr="00FD7E2F">
        <w:rPr>
          <w:rStyle w:val="Zwaar"/>
          <w:b w:val="0"/>
        </w:rPr>
        <w:t xml:space="preserve"> ongeacht voltijds of vermindering van prestaties, </w:t>
      </w:r>
      <w:r w:rsidRPr="00FD7E2F">
        <w:rPr>
          <w:rStyle w:val="Zwaar"/>
          <w:b w:val="0"/>
        </w:rPr>
        <w:t xml:space="preserve"> te nemen in al dan niet aaneensluitende </w:t>
      </w:r>
      <w:r w:rsidR="006478F5" w:rsidRPr="00FD7E2F">
        <w:rPr>
          <w:rStyle w:val="Zwaar"/>
          <w:b w:val="0"/>
        </w:rPr>
        <w:t>perioden van minimaal één maand,</w:t>
      </w:r>
    </w:p>
    <w:p w14:paraId="1B524442" w14:textId="77777777" w:rsidR="00950852" w:rsidRPr="00FD7E2F" w:rsidRDefault="00950852" w:rsidP="009D4C40">
      <w:pPr>
        <w:pStyle w:val="StandaardUitvullen"/>
        <w:numPr>
          <w:ilvl w:val="0"/>
          <w:numId w:val="95"/>
        </w:numPr>
        <w:rPr>
          <w:rStyle w:val="Zwaar"/>
          <w:b w:val="0"/>
        </w:rPr>
      </w:pPr>
      <w:r w:rsidRPr="00FD7E2F">
        <w:rPr>
          <w:rStyle w:val="Zwaar"/>
          <w:b w:val="0"/>
        </w:rPr>
        <w:t>twaalf maanden voltijdse onderbreking gedurende de loopbaan te nemen in periodes van minimaal een maand – bijkomend vanaf de leeftijd van 55 jaar, twaalf maanden voltijdse onderbreking te nemen in periodes van minimaal een maand;</w:t>
      </w:r>
    </w:p>
    <w:p w14:paraId="3E1145C2" w14:textId="77777777" w:rsidR="00950852" w:rsidRPr="00FD7E2F" w:rsidRDefault="00950852" w:rsidP="009D4C40">
      <w:pPr>
        <w:pStyle w:val="StandaardUitvullen"/>
        <w:numPr>
          <w:ilvl w:val="0"/>
          <w:numId w:val="95"/>
        </w:numPr>
        <w:rPr>
          <w:rStyle w:val="Zwaar"/>
          <w:b w:val="0"/>
        </w:rPr>
      </w:pPr>
      <w:r w:rsidRPr="00FD7E2F">
        <w:rPr>
          <w:rStyle w:val="Zwaar"/>
          <w:b w:val="0"/>
        </w:rPr>
        <w:t xml:space="preserve">60 maanden vermindering van arbeidsprestaties tot 50% van een voltijdse betrekking te nemen in periodes van minimaal drie maanden en vanaf de leeftijd van 55 jaar onbeperkte mogelijkheid tot verminderen van arbeidsprestaties tot </w:t>
      </w:r>
      <w:r w:rsidR="00C676A2" w:rsidRPr="00FD7E2F">
        <w:rPr>
          <w:rStyle w:val="Zwaar"/>
          <w:b w:val="0"/>
        </w:rPr>
        <w:t xml:space="preserve">50% </w:t>
      </w:r>
      <w:r w:rsidRPr="00FD7E2F">
        <w:rPr>
          <w:rStyle w:val="Zwaar"/>
          <w:b w:val="0"/>
        </w:rPr>
        <w:t>van een voltijdse betrekking.</w:t>
      </w:r>
    </w:p>
    <w:p w14:paraId="37ADFCA4" w14:textId="15307E96" w:rsidR="00950852" w:rsidRPr="00FD7E2F" w:rsidRDefault="00AB077E" w:rsidP="006447B8">
      <w:pPr>
        <w:pStyle w:val="StandaardUitvullen"/>
        <w:ind w:left="0"/>
        <w:rPr>
          <w:rStyle w:val="Zwaar"/>
          <w:b w:val="0"/>
        </w:rPr>
      </w:pPr>
      <w:r w:rsidRPr="00FD7E2F">
        <w:rPr>
          <w:rStyle w:val="Zwaar"/>
          <w:b w:val="0"/>
        </w:rPr>
        <w:t>§2</w:t>
      </w:r>
      <w:r w:rsidR="00FD7E2F" w:rsidRPr="00FD7E2F">
        <w:rPr>
          <w:rStyle w:val="Zwaar"/>
          <w:b w:val="0"/>
        </w:rPr>
        <w:t>.</w:t>
      </w:r>
      <w:r w:rsidRPr="00FD7E2F">
        <w:rPr>
          <w:rStyle w:val="Zwaar"/>
          <w:b w:val="0"/>
        </w:rPr>
        <w:t xml:space="preserve"> </w:t>
      </w:r>
      <w:r w:rsidR="00950852" w:rsidRPr="00FD7E2F">
        <w:rPr>
          <w:rStyle w:val="Zwaar"/>
          <w:b w:val="0"/>
        </w:rPr>
        <w:t xml:space="preserve">Het onbetaald verlof zoals bedoeld in artikel </w:t>
      </w:r>
      <w:r w:rsidR="00A61D4D" w:rsidRPr="00FD7E2F">
        <w:rPr>
          <w:rStyle w:val="Zwaar"/>
          <w:b w:val="0"/>
        </w:rPr>
        <w:t>197</w:t>
      </w:r>
      <w:r w:rsidR="00950852" w:rsidRPr="00FD7E2F">
        <w:rPr>
          <w:rStyle w:val="Zwaar"/>
          <w:b w:val="0"/>
        </w:rPr>
        <w:t xml:space="preserve"> §1, 1° en 2° is geen recht, maar kan worden toegestaan als een gunstmaatregel, voor zover de goede werking van de dienst daardoor niet in het gedrang komt. </w:t>
      </w:r>
    </w:p>
    <w:p w14:paraId="28C1FF43" w14:textId="5ACAE258" w:rsidR="008064A9" w:rsidRPr="00FD7E2F" w:rsidRDefault="008064A9" w:rsidP="006447B8">
      <w:pPr>
        <w:pStyle w:val="StandaardUitvullen"/>
        <w:ind w:left="0"/>
        <w:rPr>
          <w:rStyle w:val="Zwaar"/>
          <w:b w:val="0"/>
        </w:rPr>
      </w:pPr>
      <w:r w:rsidRPr="00FD7E2F">
        <w:rPr>
          <w:rStyle w:val="Zwaar"/>
          <w:b w:val="0"/>
        </w:rPr>
        <w:t xml:space="preserve">Aan de volgende categorieën van personeelsleden kan geen onbetaald verlof zoals bedoeld in artikel </w:t>
      </w:r>
      <w:r w:rsidR="00A61D4D" w:rsidRPr="00FD7E2F">
        <w:rPr>
          <w:rStyle w:val="Zwaar"/>
          <w:b w:val="0"/>
        </w:rPr>
        <w:t>197</w:t>
      </w:r>
      <w:r w:rsidRPr="00FD7E2F">
        <w:rPr>
          <w:rStyle w:val="Zwaar"/>
          <w:b w:val="0"/>
        </w:rPr>
        <w:t xml:space="preserve"> §1, 2° worden toegestaan: </w:t>
      </w:r>
    </w:p>
    <w:p w14:paraId="356A8575" w14:textId="77777777" w:rsidR="008064A9" w:rsidRPr="00FD7E2F" w:rsidRDefault="008A39CC" w:rsidP="009D4C40">
      <w:pPr>
        <w:pStyle w:val="StandaardUitvullen"/>
        <w:numPr>
          <w:ilvl w:val="0"/>
          <w:numId w:val="75"/>
        </w:numPr>
        <w:rPr>
          <w:rStyle w:val="Zwaar"/>
          <w:b w:val="0"/>
        </w:rPr>
      </w:pPr>
      <w:r w:rsidRPr="00FD7E2F">
        <w:rPr>
          <w:rStyle w:val="Zwaar"/>
          <w:b w:val="0"/>
        </w:rPr>
        <w:t>de decretale graden;</w:t>
      </w:r>
    </w:p>
    <w:p w14:paraId="528EA45B" w14:textId="77777777" w:rsidR="008A39CC" w:rsidRPr="00FD7E2F" w:rsidRDefault="008A39CC" w:rsidP="009D4C40">
      <w:pPr>
        <w:pStyle w:val="StandaardUitvullen"/>
        <w:numPr>
          <w:ilvl w:val="0"/>
          <w:numId w:val="75"/>
        </w:numPr>
        <w:rPr>
          <w:rStyle w:val="Zwaar"/>
          <w:b w:val="0"/>
        </w:rPr>
      </w:pPr>
      <w:r w:rsidRPr="00FD7E2F">
        <w:rPr>
          <w:rStyle w:val="Zwaar"/>
          <w:b w:val="0"/>
        </w:rPr>
        <w:t>de personeelsleden die volgens de voorziene functiebeschrijving en organogram leidinggevende taken opnemen.</w:t>
      </w:r>
    </w:p>
    <w:p w14:paraId="45442281" w14:textId="23B18C65" w:rsidR="008D0895" w:rsidRPr="00FD7E2F" w:rsidRDefault="00AB077E" w:rsidP="006447B8">
      <w:pPr>
        <w:pStyle w:val="StandaardUitvullen"/>
        <w:ind w:left="0"/>
        <w:rPr>
          <w:rStyle w:val="Zwaar"/>
          <w:b w:val="0"/>
        </w:rPr>
      </w:pPr>
      <w:r w:rsidRPr="00FD7E2F">
        <w:rPr>
          <w:rStyle w:val="Zwaar"/>
          <w:b w:val="0"/>
        </w:rPr>
        <w:t>§3</w:t>
      </w:r>
      <w:r w:rsidR="00FD7E2F" w:rsidRPr="00FD7E2F">
        <w:rPr>
          <w:rStyle w:val="Zwaar"/>
          <w:b w:val="0"/>
        </w:rPr>
        <w:t>.</w:t>
      </w:r>
      <w:r w:rsidRPr="00FD7E2F">
        <w:rPr>
          <w:rStyle w:val="Zwaar"/>
          <w:b w:val="0"/>
        </w:rPr>
        <w:t xml:space="preserve"> </w:t>
      </w:r>
      <w:r w:rsidR="008D0895" w:rsidRPr="00FD7E2F">
        <w:rPr>
          <w:rStyle w:val="Zwaar"/>
          <w:b w:val="0"/>
        </w:rPr>
        <w:t xml:space="preserve">Aan de volgende categorieën van personeelsleden kan onbetaald verlof zoals bedoeld in artikel </w:t>
      </w:r>
      <w:r w:rsidR="00A61D4D" w:rsidRPr="00FD7E2F">
        <w:rPr>
          <w:rStyle w:val="Zwaar"/>
          <w:b w:val="0"/>
        </w:rPr>
        <w:t>197</w:t>
      </w:r>
      <w:r w:rsidR="008D0895" w:rsidRPr="00FD7E2F">
        <w:rPr>
          <w:rStyle w:val="Zwaar"/>
          <w:b w:val="0"/>
        </w:rPr>
        <w:t xml:space="preserve"> §1, 3° worden toegestaan als een gunstmaatregel, voor zover de goede werking van de dienst daardoor niet in het gedrang </w:t>
      </w:r>
      <w:r w:rsidR="000B17AD" w:rsidRPr="00FD7E2F">
        <w:rPr>
          <w:rStyle w:val="Zwaar"/>
          <w:b w:val="0"/>
        </w:rPr>
        <w:t>komt:</w:t>
      </w:r>
    </w:p>
    <w:p w14:paraId="61EC9AD5" w14:textId="77777777" w:rsidR="008D0895" w:rsidRPr="00FD7E2F" w:rsidRDefault="008D0895" w:rsidP="009D4C40">
      <w:pPr>
        <w:pStyle w:val="StandaardUitvullen"/>
        <w:numPr>
          <w:ilvl w:val="0"/>
          <w:numId w:val="76"/>
        </w:numPr>
        <w:rPr>
          <w:rStyle w:val="Zwaar"/>
          <w:b w:val="0"/>
        </w:rPr>
      </w:pPr>
      <w:r w:rsidRPr="00FD7E2F">
        <w:rPr>
          <w:rStyle w:val="Zwaar"/>
          <w:b w:val="0"/>
        </w:rPr>
        <w:t>de decretale graden;</w:t>
      </w:r>
    </w:p>
    <w:p w14:paraId="4CFCD3C4" w14:textId="77777777" w:rsidR="008D0895" w:rsidRPr="00FD7E2F" w:rsidRDefault="008D0895" w:rsidP="009D4C40">
      <w:pPr>
        <w:pStyle w:val="StandaardUitvullen"/>
        <w:numPr>
          <w:ilvl w:val="0"/>
          <w:numId w:val="76"/>
        </w:numPr>
        <w:rPr>
          <w:rStyle w:val="Zwaar"/>
          <w:b w:val="0"/>
        </w:rPr>
      </w:pPr>
      <w:r w:rsidRPr="00FD7E2F">
        <w:rPr>
          <w:rStyle w:val="Zwaar"/>
          <w:b w:val="0"/>
        </w:rPr>
        <w:t>de personeelsleden die volgens de voorziene functiebeschrijving en organogram leidinggevende taken opnemen.</w:t>
      </w:r>
    </w:p>
    <w:p w14:paraId="1A54DFBF" w14:textId="4744658E" w:rsidR="00950852" w:rsidRPr="00FD7E2F" w:rsidRDefault="00950852" w:rsidP="006447B8">
      <w:pPr>
        <w:pStyle w:val="StandaardUitvullen"/>
        <w:ind w:left="0"/>
        <w:rPr>
          <w:rStyle w:val="Zwaar"/>
          <w:b w:val="0"/>
        </w:rPr>
      </w:pPr>
      <w:r w:rsidRPr="00FD7E2F">
        <w:rPr>
          <w:rStyle w:val="Zwaar"/>
          <w:b w:val="0"/>
        </w:rPr>
        <w:t xml:space="preserve">Aan de volgende categorieën van personeelsleden kan onbetaald verlof zoals bedoeld in artikel </w:t>
      </w:r>
      <w:r w:rsidR="00A61D4D" w:rsidRPr="00FD7E2F">
        <w:rPr>
          <w:rStyle w:val="Zwaar"/>
          <w:b w:val="0"/>
        </w:rPr>
        <w:t>197</w:t>
      </w:r>
      <w:r w:rsidRPr="00FD7E2F">
        <w:rPr>
          <w:rStyle w:val="Zwaar"/>
          <w:b w:val="0"/>
        </w:rPr>
        <w:t xml:space="preserve"> §1, </w:t>
      </w:r>
      <w:r w:rsidR="00DA13F4" w:rsidRPr="00FD7E2F">
        <w:rPr>
          <w:rStyle w:val="Zwaar"/>
          <w:b w:val="0"/>
        </w:rPr>
        <w:t>4°</w:t>
      </w:r>
      <w:r w:rsidRPr="00FD7E2F">
        <w:rPr>
          <w:rStyle w:val="Zwaar"/>
          <w:b w:val="0"/>
        </w:rPr>
        <w:t xml:space="preserve"> worden toegestaan</w:t>
      </w:r>
      <w:r w:rsidR="00DA13F4" w:rsidRPr="00FD7E2F">
        <w:rPr>
          <w:rStyle w:val="Zwaar"/>
          <w:b w:val="0"/>
        </w:rPr>
        <w:t xml:space="preserve"> als een gunstmaatregel, voor zover de goede werking van de dienst daardoor niet in het gedrang komt </w:t>
      </w:r>
      <w:r w:rsidR="00655941" w:rsidRPr="00FD7E2F">
        <w:rPr>
          <w:rStyle w:val="Zwaar"/>
          <w:b w:val="0"/>
        </w:rPr>
        <w:t xml:space="preserve">en tot maximum 80% van een voltijdse </w:t>
      </w:r>
      <w:r w:rsidR="000B17AD" w:rsidRPr="00FD7E2F">
        <w:rPr>
          <w:rStyle w:val="Zwaar"/>
          <w:b w:val="0"/>
        </w:rPr>
        <w:t>betrekking:</w:t>
      </w:r>
    </w:p>
    <w:p w14:paraId="4518582F" w14:textId="77777777" w:rsidR="00655941" w:rsidRPr="00FD7E2F" w:rsidRDefault="00655941" w:rsidP="009D4C40">
      <w:pPr>
        <w:pStyle w:val="StandaardUitvullen"/>
        <w:numPr>
          <w:ilvl w:val="0"/>
          <w:numId w:val="77"/>
        </w:numPr>
        <w:rPr>
          <w:rStyle w:val="Zwaar"/>
          <w:b w:val="0"/>
        </w:rPr>
      </w:pPr>
      <w:r w:rsidRPr="00FD7E2F">
        <w:rPr>
          <w:rStyle w:val="Zwaar"/>
          <w:b w:val="0"/>
        </w:rPr>
        <w:t>de decretale graden;</w:t>
      </w:r>
    </w:p>
    <w:p w14:paraId="51FBECF2" w14:textId="77777777" w:rsidR="00655941" w:rsidRPr="00FD7E2F" w:rsidRDefault="00655941" w:rsidP="009D4C40">
      <w:pPr>
        <w:pStyle w:val="StandaardUitvullen"/>
        <w:numPr>
          <w:ilvl w:val="0"/>
          <w:numId w:val="77"/>
        </w:numPr>
        <w:rPr>
          <w:rStyle w:val="Zwaar"/>
          <w:b w:val="0"/>
        </w:rPr>
      </w:pPr>
      <w:r w:rsidRPr="00FD7E2F">
        <w:rPr>
          <w:rStyle w:val="Zwaar"/>
          <w:b w:val="0"/>
        </w:rPr>
        <w:t>de personeelsleden die volgens de voorziene functiebeschrijving en organogram leidinggevende taken opnemen.</w:t>
      </w:r>
    </w:p>
    <w:p w14:paraId="48BDF301" w14:textId="37CA1329" w:rsidR="00950852" w:rsidRPr="00FD7E2F" w:rsidRDefault="00950852" w:rsidP="006447B8">
      <w:pPr>
        <w:pStyle w:val="StandaardUitvullen"/>
        <w:ind w:left="0"/>
        <w:rPr>
          <w:rStyle w:val="Zwaar"/>
          <w:b w:val="0"/>
        </w:rPr>
      </w:pPr>
      <w:r w:rsidRPr="00FD7E2F">
        <w:rPr>
          <w:rStyle w:val="Zwaar"/>
          <w:b w:val="0"/>
        </w:rPr>
        <w:t xml:space="preserve">Voor de overige personeelsleden is het onbetaald verlof zoals bedoeld in artikel </w:t>
      </w:r>
      <w:r w:rsidR="00A61D4D" w:rsidRPr="00FD7E2F">
        <w:rPr>
          <w:rStyle w:val="Zwaar"/>
          <w:b w:val="0"/>
        </w:rPr>
        <w:t>197</w:t>
      </w:r>
      <w:r w:rsidRPr="00FD7E2F">
        <w:rPr>
          <w:rStyle w:val="Zwaar"/>
          <w:b w:val="0"/>
        </w:rPr>
        <w:t xml:space="preserve"> §1, 3° en 4° een recht.</w:t>
      </w:r>
    </w:p>
    <w:p w14:paraId="03586791" w14:textId="2709FE07" w:rsidR="00950852" w:rsidRPr="00FD7E2F" w:rsidRDefault="00AB077E" w:rsidP="006447B8">
      <w:pPr>
        <w:pStyle w:val="StandaardUitvullen"/>
        <w:ind w:left="0"/>
        <w:rPr>
          <w:rStyle w:val="Zwaar"/>
          <w:b w:val="0"/>
        </w:rPr>
      </w:pPr>
      <w:r w:rsidRPr="00FD7E2F">
        <w:rPr>
          <w:rStyle w:val="Zwaar"/>
          <w:b w:val="0"/>
        </w:rPr>
        <w:t>§</w:t>
      </w:r>
      <w:r w:rsidR="008B257B" w:rsidRPr="00FD7E2F">
        <w:rPr>
          <w:rStyle w:val="Zwaar"/>
          <w:b w:val="0"/>
        </w:rPr>
        <w:t>4</w:t>
      </w:r>
      <w:r w:rsidR="00FD7E2F" w:rsidRPr="00FD7E2F">
        <w:rPr>
          <w:rStyle w:val="Zwaar"/>
          <w:b w:val="0"/>
        </w:rPr>
        <w:t>.</w:t>
      </w:r>
      <w:r w:rsidRPr="00FD7E2F">
        <w:rPr>
          <w:rStyle w:val="Zwaar"/>
          <w:b w:val="0"/>
        </w:rPr>
        <w:t xml:space="preserve"> </w:t>
      </w:r>
      <w:r w:rsidR="00CF79B6" w:rsidRPr="00FD7E2F">
        <w:rPr>
          <w:rStyle w:val="Zwaar"/>
          <w:b w:val="0"/>
        </w:rPr>
        <w:t>Het personeelslid richt zijn aanvraag tot de algemeen directeur tenminste 3 dagen voor aanvang van het verlof bedoeld in §1, 1° en tenminste drie maanden voor aanvang van het verlof bedoeld in §1, 2°, 3° en 4°</w:t>
      </w:r>
      <w:r w:rsidR="00950852" w:rsidRPr="00FD7E2F">
        <w:rPr>
          <w:rStyle w:val="Zwaar"/>
          <w:b w:val="0"/>
        </w:rPr>
        <w:t>.</w:t>
      </w:r>
    </w:p>
    <w:p w14:paraId="7189D8B3" w14:textId="77777777" w:rsidR="00950852" w:rsidRPr="00FD7E2F" w:rsidRDefault="00950852" w:rsidP="006447B8">
      <w:pPr>
        <w:pStyle w:val="StandaardUitvullen"/>
        <w:ind w:left="0"/>
        <w:rPr>
          <w:rStyle w:val="Zwaar"/>
          <w:b w:val="0"/>
        </w:rPr>
      </w:pPr>
      <w:r w:rsidRPr="00FD7E2F">
        <w:rPr>
          <w:rStyle w:val="Zwaar"/>
          <w:b w:val="0"/>
        </w:rPr>
        <w:t>Het personeelslid hoeft geen reden op te geven.</w:t>
      </w:r>
    </w:p>
    <w:p w14:paraId="0CB2CDF9" w14:textId="5C5FED50" w:rsidR="0045713E" w:rsidRPr="00FD7E2F" w:rsidRDefault="0045713E" w:rsidP="0045713E">
      <w:pPr>
        <w:pStyle w:val="StandaardUitvullen"/>
        <w:ind w:left="0"/>
        <w:rPr>
          <w:lang w:val="nl-BE"/>
        </w:rPr>
      </w:pPr>
      <w:r w:rsidRPr="00FD7E2F">
        <w:rPr>
          <w:lang w:val="nl-BE"/>
        </w:rPr>
        <w:t xml:space="preserve">Het </w:t>
      </w:r>
      <w:r w:rsidR="002106CB" w:rsidRPr="00FD7E2F">
        <w:rPr>
          <w:lang w:val="nl-BE"/>
        </w:rPr>
        <w:t xml:space="preserve">deeltijds </w:t>
      </w:r>
      <w:r w:rsidRPr="00FD7E2F">
        <w:rPr>
          <w:lang w:val="nl-BE"/>
        </w:rPr>
        <w:t>onbetaald verlof</w:t>
      </w:r>
      <w:r w:rsidR="002106CB" w:rsidRPr="00FD7E2F">
        <w:rPr>
          <w:lang w:val="nl-BE"/>
        </w:rPr>
        <w:t xml:space="preserve"> </w:t>
      </w:r>
      <w:r w:rsidRPr="00FD7E2F">
        <w:rPr>
          <w:lang w:val="nl-BE"/>
        </w:rPr>
        <w:t>neemt steeds een aanvang op de eerste van de maand, tenzij aansluitend op een andere loopbaanvermindering of bevallingsrust.</w:t>
      </w:r>
    </w:p>
    <w:p w14:paraId="504B3F9D" w14:textId="77777777" w:rsidR="00950852" w:rsidRPr="00FD7E2F" w:rsidRDefault="00950852" w:rsidP="006447B8">
      <w:pPr>
        <w:ind w:left="0"/>
      </w:pPr>
      <w:r w:rsidRPr="00FD7E2F">
        <w:lastRenderedPageBreak/>
        <w:t xml:space="preserve">De </w:t>
      </w:r>
      <w:r w:rsidR="003474E1" w:rsidRPr="00FD7E2F">
        <w:t>algemeen directeur</w:t>
      </w:r>
      <w:r w:rsidRPr="00FD7E2F">
        <w:t xml:space="preserve"> kan gemotiveerd in uitzonderlijke omstandigheden en voor zover de goede werking van de dienst in het gedrang dreigt te komen, de ingangsdatum van het onbetaald verlof uitstellen met maximaal zes maanden.</w:t>
      </w:r>
    </w:p>
    <w:p w14:paraId="71D45C26" w14:textId="77777777" w:rsidR="00950852" w:rsidRPr="00FD7E2F" w:rsidRDefault="00950852" w:rsidP="006447B8">
      <w:pPr>
        <w:ind w:left="0"/>
      </w:pPr>
      <w:r w:rsidRPr="00FD7E2F">
        <w:t>In geval onbetaald verlof een gunst is, gebeurt een eventuele weigering op gemotiveerde wijze. In de gevallen dat het verlof wordt geweigerd mag dit niet gebeuren omwille van het uit eigen beweging uitdrukkelijk meegedeelde of het door het bestuur vermoede doel van het verlof.</w:t>
      </w:r>
    </w:p>
    <w:p w14:paraId="7AE01024" w14:textId="77777777" w:rsidR="00950852" w:rsidRPr="00FD7E2F" w:rsidRDefault="00950852" w:rsidP="006447B8">
      <w:pPr>
        <w:ind w:left="0"/>
      </w:pPr>
      <w:r w:rsidRPr="00FD7E2F">
        <w:t xml:space="preserve">De </w:t>
      </w:r>
      <w:r w:rsidR="003474E1" w:rsidRPr="00FD7E2F">
        <w:t>algemeen directeur</w:t>
      </w:r>
      <w:r w:rsidRPr="00FD7E2F">
        <w:t xml:space="preserve"> waaraan onbetaald verlof kan toegestaan worden, richt, op de in het eerste lid bepaalde wijze, een aanvraag tot het college van burgemeester en schepen</w:t>
      </w:r>
      <w:r w:rsidR="00D13CF9" w:rsidRPr="00FD7E2F">
        <w:t>.</w:t>
      </w:r>
    </w:p>
    <w:p w14:paraId="00D83C7A" w14:textId="03B3F670" w:rsidR="00950852" w:rsidRPr="00FD7E2F" w:rsidRDefault="00AB077E" w:rsidP="006447B8">
      <w:pPr>
        <w:ind w:left="0"/>
        <w:rPr>
          <w:snapToGrid w:val="0"/>
        </w:rPr>
      </w:pPr>
      <w:r w:rsidRPr="00FD7E2F">
        <w:t>§</w:t>
      </w:r>
      <w:r w:rsidR="008B257B" w:rsidRPr="00FD7E2F">
        <w:t>5</w:t>
      </w:r>
      <w:r w:rsidR="00FD7E2F" w:rsidRPr="00FD7E2F">
        <w:t>.</w:t>
      </w:r>
      <w:r w:rsidRPr="00FD7E2F">
        <w:t xml:space="preserve"> </w:t>
      </w:r>
      <w:r w:rsidR="00950852" w:rsidRPr="00FD7E2F">
        <w:t xml:space="preserve">Het onbetaald verlof zoals bedoeld in artikel </w:t>
      </w:r>
      <w:r w:rsidR="00A61D4D" w:rsidRPr="00FD7E2F">
        <w:t>197</w:t>
      </w:r>
      <w:r w:rsidR="00950852" w:rsidRPr="00FD7E2F">
        <w:t xml:space="preserve"> §1, 1° en 2° is niet gelijkgesteld met dienstactiviteit,</w:t>
      </w:r>
      <w:r w:rsidR="00950852" w:rsidRPr="00FD7E2F">
        <w:rPr>
          <w:snapToGrid w:val="0"/>
        </w:rPr>
        <w:t xml:space="preserve"> tenzij het minder dan één maand bedraagt</w:t>
      </w:r>
      <w:r w:rsidR="0045713E" w:rsidRPr="00FD7E2F">
        <w:rPr>
          <w:snapToGrid w:val="0"/>
        </w:rPr>
        <w:t xml:space="preserve"> of deeltijds is</w:t>
      </w:r>
      <w:r w:rsidR="00950852" w:rsidRPr="00FD7E2F">
        <w:rPr>
          <w:snapToGrid w:val="0"/>
        </w:rPr>
        <w:t>.</w:t>
      </w:r>
    </w:p>
    <w:p w14:paraId="0294D07E" w14:textId="2DA1F2D7" w:rsidR="00950852" w:rsidRPr="00FD7E2F" w:rsidRDefault="00950852" w:rsidP="006447B8">
      <w:pPr>
        <w:ind w:left="0"/>
        <w:rPr>
          <w:snapToGrid w:val="0"/>
        </w:rPr>
      </w:pPr>
      <w:r w:rsidRPr="00FD7E2F">
        <w:rPr>
          <w:snapToGrid w:val="0"/>
        </w:rPr>
        <w:t xml:space="preserve">Het onbetaald verlof zoals bedoeld in artikel </w:t>
      </w:r>
      <w:r w:rsidR="00A61D4D" w:rsidRPr="00FD7E2F">
        <w:rPr>
          <w:snapToGrid w:val="0"/>
        </w:rPr>
        <w:t>197</w:t>
      </w:r>
      <w:r w:rsidRPr="00FD7E2F">
        <w:rPr>
          <w:snapToGrid w:val="0"/>
        </w:rPr>
        <w:t xml:space="preserve"> §1, 3° en 4° is gelijkgesteld met dienstactiviteit.</w:t>
      </w:r>
    </w:p>
    <w:p w14:paraId="220F1FC8" w14:textId="26CD2FE5" w:rsidR="00950852" w:rsidRPr="00FD7E2F" w:rsidRDefault="00AB077E" w:rsidP="006447B8">
      <w:pPr>
        <w:ind w:left="0"/>
      </w:pPr>
      <w:r w:rsidRPr="00FD7E2F">
        <w:t>§</w:t>
      </w:r>
      <w:r w:rsidR="008B257B" w:rsidRPr="00FD7E2F">
        <w:t>6</w:t>
      </w:r>
      <w:r w:rsidR="00FD7E2F" w:rsidRPr="00FD7E2F">
        <w:t>.</w:t>
      </w:r>
      <w:r w:rsidRPr="00FD7E2F">
        <w:t xml:space="preserve"> </w:t>
      </w:r>
      <w:r w:rsidR="00950852" w:rsidRPr="00FD7E2F">
        <w:t>Voor een contractueel personeelslid wordt het onbetaald verlof beschouwd als een schorsing van de uitvoering van de arbeidsovereenkomst en niet als een wijziging van de lopende arbeidsovereenkomst.</w:t>
      </w:r>
    </w:p>
    <w:p w14:paraId="39430EDD" w14:textId="7AD07F15" w:rsidR="00950852" w:rsidRPr="00FD7E2F" w:rsidRDefault="00AB077E" w:rsidP="006447B8">
      <w:pPr>
        <w:ind w:left="0"/>
        <w:rPr>
          <w:snapToGrid w:val="0"/>
        </w:rPr>
      </w:pPr>
      <w:r w:rsidRPr="00FD7E2F">
        <w:rPr>
          <w:snapToGrid w:val="0"/>
        </w:rPr>
        <w:t>§</w:t>
      </w:r>
      <w:r w:rsidR="008B257B" w:rsidRPr="00FD7E2F">
        <w:rPr>
          <w:snapToGrid w:val="0"/>
        </w:rPr>
        <w:t>7</w:t>
      </w:r>
      <w:r w:rsidR="00FD7E2F" w:rsidRPr="00FD7E2F">
        <w:rPr>
          <w:snapToGrid w:val="0"/>
        </w:rPr>
        <w:t>.</w:t>
      </w:r>
      <w:r w:rsidRPr="00FD7E2F">
        <w:rPr>
          <w:snapToGrid w:val="0"/>
        </w:rPr>
        <w:t xml:space="preserve"> </w:t>
      </w:r>
      <w:r w:rsidR="00950852" w:rsidRPr="00FD7E2F">
        <w:rPr>
          <w:snapToGrid w:val="0"/>
        </w:rPr>
        <w:t>Verlof wegens arbeidsongeschiktheid, met uitzondering van de arbeidsongeschiktheid ten gevolge van een arbeidsongeval of een beroepsziekte, maakt geen einde aan een toegekend onbetaald verlof.</w:t>
      </w:r>
    </w:p>
    <w:p w14:paraId="5C9DFF40" w14:textId="77777777" w:rsidR="00950852" w:rsidRPr="00FD7E2F" w:rsidRDefault="00950852" w:rsidP="006447B8">
      <w:pPr>
        <w:ind w:left="0"/>
        <w:rPr>
          <w:snapToGrid w:val="0"/>
        </w:rPr>
      </w:pPr>
      <w:r w:rsidRPr="00FD7E2F">
        <w:rPr>
          <w:snapToGrid w:val="0"/>
        </w:rPr>
        <w:t>Als een feestdag op een dag onbetaald verlof valt, loopt het verlof door. De feestdag wordt niet vervangen.</w:t>
      </w:r>
    </w:p>
    <w:p w14:paraId="34561D02" w14:textId="6FB47F81" w:rsidR="00950852" w:rsidRPr="00FD7E2F" w:rsidRDefault="00AB077E" w:rsidP="006447B8">
      <w:pPr>
        <w:ind w:left="0"/>
      </w:pPr>
      <w:r w:rsidRPr="00FD7E2F">
        <w:t>§</w:t>
      </w:r>
      <w:r w:rsidR="008B257B" w:rsidRPr="00FD7E2F">
        <w:t>8</w:t>
      </w:r>
      <w:r w:rsidR="00FD7E2F" w:rsidRPr="00FD7E2F">
        <w:t>.</w:t>
      </w:r>
      <w:r w:rsidRPr="00FD7E2F">
        <w:t xml:space="preserve"> </w:t>
      </w:r>
      <w:r w:rsidR="00950852" w:rsidRPr="00FD7E2F">
        <w:t xml:space="preserve">Het personeelslid kan het toegestane onbetaald verlof te allen tijde opzeggen, mits eerbiediging van een termijn van minimum </w:t>
      </w:r>
      <w:r w:rsidR="00E232E0" w:rsidRPr="00FD7E2F">
        <w:t>90</w:t>
      </w:r>
      <w:r w:rsidR="00950852" w:rsidRPr="00FD7E2F">
        <w:rPr>
          <w:color w:val="0000FF"/>
        </w:rPr>
        <w:t xml:space="preserve"> </w:t>
      </w:r>
      <w:r w:rsidR="00950852" w:rsidRPr="00FD7E2F">
        <w:t xml:space="preserve">dagen, tenzij </w:t>
      </w:r>
      <w:r w:rsidR="00950852" w:rsidRPr="00FD7E2F">
        <w:rPr>
          <w:iCs/>
        </w:rPr>
        <w:t xml:space="preserve">de </w:t>
      </w:r>
      <w:r w:rsidR="003474E1" w:rsidRPr="00FD7E2F">
        <w:rPr>
          <w:iCs/>
        </w:rPr>
        <w:t>algemeen directeur</w:t>
      </w:r>
      <w:r w:rsidR="00950852" w:rsidRPr="00FD7E2F">
        <w:rPr>
          <w:iCs/>
        </w:rPr>
        <w:t xml:space="preserve"> </w:t>
      </w:r>
      <w:r w:rsidR="00950852" w:rsidRPr="00FD7E2F">
        <w:t>een kortere termijn aanvaardt.</w:t>
      </w:r>
    </w:p>
    <w:p w14:paraId="63F6FF00" w14:textId="17D7B675" w:rsidR="0060384A" w:rsidRPr="00FD7E2F" w:rsidRDefault="0047488D" w:rsidP="0045713E">
      <w:pPr>
        <w:ind w:left="0"/>
      </w:pPr>
      <w:r w:rsidRPr="00FD7E2F">
        <w:br w:type="page"/>
      </w:r>
      <w:bookmarkStart w:id="254" w:name="_Toc110948235"/>
    </w:p>
    <w:p w14:paraId="70C8E40F" w14:textId="01939E4F" w:rsidR="0060384A" w:rsidRDefault="0060384A" w:rsidP="00B44CF7">
      <w:pPr>
        <w:pStyle w:val="Kop2"/>
      </w:pPr>
      <w:bookmarkStart w:id="255" w:name="_Toc215739042"/>
      <w:r>
        <w:lastRenderedPageBreak/>
        <w:t>hoofdstuk x: flexibele werkregelingen voor zorgdoeleinden</w:t>
      </w:r>
      <w:bookmarkEnd w:id="255"/>
    </w:p>
    <w:p w14:paraId="67F8A39B" w14:textId="13B2ACDB" w:rsidR="0024007D" w:rsidRPr="0024007D" w:rsidRDefault="0024007D" w:rsidP="0024007D">
      <w:pPr>
        <w:ind w:left="0"/>
        <w:rPr>
          <w:b/>
        </w:rPr>
      </w:pPr>
      <w:r w:rsidRPr="0024007D">
        <w:rPr>
          <w:b/>
        </w:rPr>
        <w:t xml:space="preserve">Artikel </w:t>
      </w:r>
      <w:r w:rsidR="008E0576">
        <w:rPr>
          <w:b/>
        </w:rPr>
        <w:t>198</w:t>
      </w:r>
    </w:p>
    <w:p w14:paraId="48A950D8" w14:textId="6D513620" w:rsidR="0024007D" w:rsidRDefault="53AED54F" w:rsidP="0024007D">
      <w:pPr>
        <w:ind w:left="0"/>
      </w:pPr>
      <w:r>
        <w:t>§1. Het personeelslid dat gedurende twaalf maanden die voorafgaan aan de aanvraag, zes maanden in dienst is geweest bij het bestuur, heeft het recht om voor een aaneengesloten periode van maximum twaalf maanden een flexibele werkregeling aan te vragen voor zorgdoeleinden.</w:t>
      </w:r>
    </w:p>
    <w:p w14:paraId="228F38A6" w14:textId="77777777" w:rsidR="0024007D" w:rsidRDefault="0024007D" w:rsidP="0024007D">
      <w:pPr>
        <w:ind w:left="0"/>
      </w:pPr>
      <w:r>
        <w:t>Voor de toepassing van dit hoofdstuk wordt verstaan onder:</w:t>
      </w:r>
    </w:p>
    <w:p w14:paraId="6B7D0B66" w14:textId="18BB10D7" w:rsidR="0024007D" w:rsidRDefault="000B17AD" w:rsidP="009D4C40">
      <w:pPr>
        <w:pStyle w:val="Lijstalinea"/>
        <w:numPr>
          <w:ilvl w:val="0"/>
          <w:numId w:val="96"/>
        </w:numPr>
      </w:pPr>
      <w:r>
        <w:t>Flexibele</w:t>
      </w:r>
      <w:r w:rsidR="0024007D">
        <w:t xml:space="preserve"> werkregeling: een aanpassing van het bestaande werkpatroon van het personeelslid, die onder andere kan worden verwezenlijkt door middel van een aanpassing van de arbeidsregeling of het werkrooster of het verrichten van structureel telewerk;</w:t>
      </w:r>
    </w:p>
    <w:p w14:paraId="372B32C1" w14:textId="1F72A1D9" w:rsidR="0024007D" w:rsidRDefault="000B17AD" w:rsidP="009D4C40">
      <w:pPr>
        <w:pStyle w:val="Lijstalinea"/>
        <w:numPr>
          <w:ilvl w:val="0"/>
          <w:numId w:val="96"/>
        </w:numPr>
      </w:pPr>
      <w:r>
        <w:t>Zorgdoeleinden</w:t>
      </w:r>
      <w:r w:rsidR="0024007D">
        <w:t>:</w:t>
      </w:r>
    </w:p>
    <w:p w14:paraId="0F46E2C5" w14:textId="7971F743" w:rsidR="0024007D" w:rsidRDefault="53AED54F" w:rsidP="009D4C40">
      <w:pPr>
        <w:pStyle w:val="Lijstalinea"/>
        <w:numPr>
          <w:ilvl w:val="1"/>
          <w:numId w:val="96"/>
        </w:numPr>
      </w:pPr>
      <w:r>
        <w:t>de zorg voor zijn kind vanaf de geboorte of, in het kader van de adoptie van een kind, vanaf de inschrijving van het kind als deel uitmakend van zijn gezin in het bevolkingsregister of in het vreemdelingenregister van de gemeente waar de werknemer zijn verblijfplaats heeft, en dit tot het kind</w:t>
      </w:r>
      <w:r w:rsidR="5CFF83C9">
        <w:t xml:space="preserve"> 12</w:t>
      </w:r>
      <w:r>
        <w:t xml:space="preserve"> jaar wordt (21 jaar wanneer het kind voor ten minste 66 % getroffen is door een lichamelijke of geestelijke ongeschiktheid);</w:t>
      </w:r>
    </w:p>
    <w:p w14:paraId="2D764C13" w14:textId="373E614F" w:rsidR="0024007D" w:rsidRDefault="0024007D" w:rsidP="009D4C40">
      <w:pPr>
        <w:pStyle w:val="Lijstalinea"/>
        <w:numPr>
          <w:ilvl w:val="1"/>
          <w:numId w:val="96"/>
        </w:numPr>
      </w:pPr>
      <w:r>
        <w:t>het verlenen van persoonlijke zorg of steun aan een welbepaald gezinslid of familielid dat om een ernstige medische reden behoefte heeft aan aanzienlijke zorg of steun;</w:t>
      </w:r>
    </w:p>
    <w:p w14:paraId="2E514AB2" w14:textId="2584BD67" w:rsidR="0024007D" w:rsidRDefault="000B17AD" w:rsidP="009D4C40">
      <w:pPr>
        <w:pStyle w:val="Lijstalinea"/>
        <w:numPr>
          <w:ilvl w:val="0"/>
          <w:numId w:val="96"/>
        </w:numPr>
      </w:pPr>
      <w:r>
        <w:t>Gezinslid</w:t>
      </w:r>
      <w:r w:rsidR="0024007D">
        <w:t>: elke persoon die samenwoont met de werknemer;</w:t>
      </w:r>
    </w:p>
    <w:p w14:paraId="7FAB67AD" w14:textId="1BE10316" w:rsidR="0024007D" w:rsidRDefault="000B17AD" w:rsidP="009D4C40">
      <w:pPr>
        <w:pStyle w:val="Lijstalinea"/>
        <w:numPr>
          <w:ilvl w:val="0"/>
          <w:numId w:val="96"/>
        </w:numPr>
      </w:pPr>
      <w:r>
        <w:t>Familielid</w:t>
      </w:r>
      <w:r w:rsidR="0024007D">
        <w:t>: de echtgenoot van de werknemer of de persoon met wie de werknemer wettelijk samenwoont, zoals geregeld door de artikelen 1475 en volgende van het oud Burgerlijk Wetboek, alsook de bloedverwanten tot de eerste graad van de werknemer;</w:t>
      </w:r>
    </w:p>
    <w:p w14:paraId="6DB54FF5" w14:textId="1217AF56" w:rsidR="0024007D" w:rsidRDefault="000B17AD" w:rsidP="009D4C40">
      <w:pPr>
        <w:pStyle w:val="Lijstalinea"/>
        <w:numPr>
          <w:ilvl w:val="0"/>
          <w:numId w:val="96"/>
        </w:numPr>
      </w:pPr>
      <w:r>
        <w:t>Een</w:t>
      </w:r>
      <w:r w:rsidR="0024007D">
        <w:t xml:space="preserve"> ernstige medische reden als gevolg waarvan men behoefte heeft aan aanzienlijke zorg of steun: elke gezondheidstoestand, al dan niet het gevolg van een ziekte of medische ingreep, die door de behandelende arts als dusdanig wordt beschouwd en waarbij de arts oordeelt dat er behoefte is aan aanzienlijke zorg of steun; dit is elke vorm van sociale, familiale of emotionele bijstand of verzorging.</w:t>
      </w:r>
    </w:p>
    <w:p w14:paraId="5FC94A6F" w14:textId="77777777" w:rsidR="0024007D" w:rsidRDefault="0024007D" w:rsidP="0024007D">
      <w:pPr>
        <w:ind w:left="0"/>
      </w:pPr>
      <w:r>
        <w:t>Aan de voorwaarde van de twaalfde of eenentwintigste verjaardag moet zijn voldaan uiterlijk gedurende de overeenkomstig aangevraagde periode.</w:t>
      </w:r>
    </w:p>
    <w:p w14:paraId="48397BD6" w14:textId="3EECC586" w:rsidR="0024007D" w:rsidRDefault="0024007D" w:rsidP="0024007D">
      <w:pPr>
        <w:ind w:left="0"/>
      </w:pPr>
      <w:r w:rsidRPr="00FD7E2F">
        <w:t xml:space="preserve">§2. Het personeelslid moet gebruik maken van </w:t>
      </w:r>
      <w:r w:rsidR="00A946BF" w:rsidRPr="00FD7E2F">
        <w:t>de</w:t>
      </w:r>
      <w:r w:rsidRPr="00FD7E2F">
        <w:t xml:space="preserve"> flexibele werkregeling voor het doel waarvoor het </w:t>
      </w:r>
      <w:r w:rsidR="00A946BF" w:rsidRPr="00FD7E2F">
        <w:t xml:space="preserve">werd </w:t>
      </w:r>
      <w:r w:rsidRPr="00FD7E2F">
        <w:t>ingesteld.</w:t>
      </w:r>
    </w:p>
    <w:p w14:paraId="60508FB7" w14:textId="36309378" w:rsidR="0024007D" w:rsidRPr="0024007D" w:rsidRDefault="0024007D" w:rsidP="0024007D">
      <w:pPr>
        <w:ind w:left="0"/>
        <w:rPr>
          <w:b/>
        </w:rPr>
      </w:pPr>
      <w:r w:rsidRPr="0024007D">
        <w:rPr>
          <w:b/>
        </w:rPr>
        <w:t xml:space="preserve">Artikel </w:t>
      </w:r>
      <w:r w:rsidR="008E0576">
        <w:rPr>
          <w:b/>
        </w:rPr>
        <w:t>199</w:t>
      </w:r>
    </w:p>
    <w:p w14:paraId="0DA64A8E" w14:textId="239EC3B7" w:rsidR="0024007D" w:rsidRDefault="0024007D" w:rsidP="0024007D">
      <w:pPr>
        <w:ind w:left="0"/>
      </w:pPr>
      <w:r>
        <w:t>§1. Het personeelslid dat een flexibele werkregeling wenst te bekomen voor zorgdoeleinden, bezorgt het bestuur hiertoe minstens twee maanden en hoogstens drie maanden vooraf een schriftelijke aanvraag</w:t>
      </w:r>
      <w:r w:rsidR="00A946BF">
        <w:t xml:space="preserve"> </w:t>
      </w:r>
      <w:r w:rsidR="00A946BF" w:rsidRPr="00FD7E2F">
        <w:t>aan de aanstellende overheid</w:t>
      </w:r>
      <w:r>
        <w:t>. Deze termijn kan in onderling akkoord worden ingekort.</w:t>
      </w:r>
    </w:p>
    <w:p w14:paraId="371A3B1C" w14:textId="77777777" w:rsidR="0024007D" w:rsidRDefault="0024007D" w:rsidP="0024007D">
      <w:pPr>
        <w:ind w:left="0"/>
      </w:pPr>
      <w:r>
        <w:t>§2. Uit de aanvraag moet blijken dat het personeelslid zich beroept op het recht om flexibele werkregelingen aan te vragen. De aanvraag bevat daarnaast de volgende elementen:</w:t>
      </w:r>
    </w:p>
    <w:p w14:paraId="045A78D8" w14:textId="78EB2733" w:rsidR="0024007D" w:rsidRDefault="0024007D" w:rsidP="009D4C40">
      <w:pPr>
        <w:pStyle w:val="Lijstalinea"/>
        <w:numPr>
          <w:ilvl w:val="0"/>
          <w:numId w:val="97"/>
        </w:numPr>
      </w:pPr>
      <w:r>
        <w:t>de gewenste flexibele werkregeling;</w:t>
      </w:r>
    </w:p>
    <w:p w14:paraId="1DDA9784" w14:textId="41A7D001" w:rsidR="0024007D" w:rsidRDefault="0024007D" w:rsidP="009D4C40">
      <w:pPr>
        <w:pStyle w:val="Lijstalinea"/>
        <w:numPr>
          <w:ilvl w:val="0"/>
          <w:numId w:val="97"/>
        </w:numPr>
      </w:pPr>
      <w:r>
        <w:t>de begin- en einddatum van de aaneengesloten periode</w:t>
      </w:r>
    </w:p>
    <w:p w14:paraId="65F35A66" w14:textId="622FCF36" w:rsidR="0024007D" w:rsidRDefault="0024007D" w:rsidP="009D4C40">
      <w:pPr>
        <w:pStyle w:val="Lijstalinea"/>
        <w:numPr>
          <w:ilvl w:val="0"/>
          <w:numId w:val="97"/>
        </w:numPr>
      </w:pPr>
      <w:r>
        <w:t>het zorgdoeleinde waarvoor de flexibele werkregeling wordt gevraagd, met inbegrip van de identiteit van de persoon ten behoeve van wie de flexibele werkregeling wordt aangevraagd.</w:t>
      </w:r>
    </w:p>
    <w:p w14:paraId="43DFE4C7" w14:textId="404E872B" w:rsidR="0024007D" w:rsidRPr="0024007D" w:rsidRDefault="0024007D" w:rsidP="0024007D">
      <w:pPr>
        <w:ind w:left="0"/>
        <w:rPr>
          <w:b/>
        </w:rPr>
      </w:pPr>
      <w:r w:rsidRPr="0024007D">
        <w:rPr>
          <w:b/>
        </w:rPr>
        <w:t xml:space="preserve">Artikel </w:t>
      </w:r>
      <w:r w:rsidR="008E0576">
        <w:rPr>
          <w:b/>
        </w:rPr>
        <w:t>200</w:t>
      </w:r>
    </w:p>
    <w:p w14:paraId="7F588B71" w14:textId="77777777" w:rsidR="0024007D" w:rsidRDefault="0024007D" w:rsidP="0024007D">
      <w:pPr>
        <w:ind w:left="0"/>
      </w:pPr>
      <w:r>
        <w:t>§ 1. Het bestuur beoordeelt de aanvraag en bezorgt het personeelslid binnen de maand volgend op de aanvraag een schriftelijk antwoord.</w:t>
      </w:r>
    </w:p>
    <w:p w14:paraId="02EA7680" w14:textId="2AADCD13" w:rsidR="0024007D" w:rsidRDefault="00A946BF" w:rsidP="0024007D">
      <w:pPr>
        <w:ind w:left="0"/>
      </w:pPr>
      <w:r w:rsidRPr="00FD7E2F">
        <w:t xml:space="preserve">De aanstellende overheid </w:t>
      </w:r>
      <w:r w:rsidR="0024007D" w:rsidRPr="00FD7E2F">
        <w:t>kan de</w:t>
      </w:r>
      <w:r w:rsidR="0024007D">
        <w:t xml:space="preserve"> aanvraag van het personeelslid inwilligen, weigeren of een met redenen omkleed tegenvoorstel doen bestaande uit een andere flexibele werkregeling of periode die beter aansluit bij zijn eigen behoeften.</w:t>
      </w:r>
    </w:p>
    <w:p w14:paraId="77D0B722" w14:textId="77777777" w:rsidR="0024007D" w:rsidRDefault="0024007D" w:rsidP="0024007D">
      <w:pPr>
        <w:ind w:left="0"/>
      </w:pPr>
      <w:r>
        <w:lastRenderedPageBreak/>
        <w:t>Indien het bestuur de aanvraag weigert, bevat deze weigering een omstandige motivering van deze beslissing. Daarbij wordt onder meer aangegeven op welke wijze bij de beoordeling van de aanvraag rekening werd gehouden met de eigen behoeften en die van het personeelslid.</w:t>
      </w:r>
    </w:p>
    <w:p w14:paraId="1D0E7AC2" w14:textId="77777777" w:rsidR="0024007D" w:rsidRDefault="0024007D" w:rsidP="0024007D">
      <w:pPr>
        <w:ind w:left="0"/>
      </w:pPr>
      <w:r>
        <w:t>§ 2. Het uitblijven van een antwoord van het bestuur wordt gelijkgesteld met een akkoord.</w:t>
      </w:r>
    </w:p>
    <w:p w14:paraId="4F882224" w14:textId="49ED78C6" w:rsidR="0024007D" w:rsidRDefault="0024007D" w:rsidP="0024007D">
      <w:pPr>
        <w:ind w:left="0"/>
      </w:pPr>
      <w:r>
        <w:t>§3. Het bestuur en het personeelslid kunnen in onderling akkoord een flexibele werkregeling overeenkomen voor een aaneengesloten periode van meer dan twaalf maanden.</w:t>
      </w:r>
    </w:p>
    <w:p w14:paraId="3492ABBA" w14:textId="54D507C2" w:rsidR="0024007D" w:rsidRPr="0024007D" w:rsidRDefault="0024007D" w:rsidP="0024007D">
      <w:pPr>
        <w:ind w:left="0"/>
        <w:rPr>
          <w:b/>
        </w:rPr>
      </w:pPr>
      <w:r w:rsidRPr="0024007D">
        <w:rPr>
          <w:b/>
        </w:rPr>
        <w:t xml:space="preserve">Artikel </w:t>
      </w:r>
      <w:r w:rsidR="008E0576">
        <w:rPr>
          <w:b/>
        </w:rPr>
        <w:t>201</w:t>
      </w:r>
    </w:p>
    <w:p w14:paraId="79D2C094" w14:textId="66FF053D" w:rsidR="0024007D" w:rsidRDefault="53AED54F" w:rsidP="0024007D">
      <w:pPr>
        <w:ind w:left="0"/>
      </w:pPr>
      <w:r>
        <w:t>§1. Uiterlijk op het moment dat de flexibele werkregeling een aanvang neemt, verstrekt het personeelslid het bestuur het document of de documenten tot staving van het ingeroepen zorgdoeleinde.</w:t>
      </w:r>
    </w:p>
    <w:p w14:paraId="2532EEF2" w14:textId="39011159" w:rsidR="0024007D" w:rsidRDefault="0024007D" w:rsidP="0024007D">
      <w:pPr>
        <w:ind w:left="0"/>
      </w:pPr>
      <w:r>
        <w:t>§2. Ingeval de aanvraag is ingediend met het oog op het verlenen van persoonlijke zorg of steun aan een welbepaald gezinslid of familielid dat om een ernstige medische reden behoefte heeft aan aanzienlijke zorg of steun wordt het bewijs hiervan geleverd aan de hand van een attest dat ten vroegste in het kalenderjaar van de aanvraag is afgeleverd door de behandelend arts van het betrokken gezinslid of familielid en waaruit blijkt dat dit gezinslid of familielid om een ernstige medische reden behoefte heeft aan aanzienlijke zorg of steun. Dit attest mag de medische reden zelf niet vermelden.</w:t>
      </w:r>
      <w:r w:rsidR="00A946BF">
        <w:t xml:space="preserve"> </w:t>
      </w:r>
    </w:p>
    <w:p w14:paraId="2E057316" w14:textId="5E368CA3" w:rsidR="0024007D" w:rsidRPr="0024007D" w:rsidRDefault="0024007D" w:rsidP="0024007D">
      <w:pPr>
        <w:ind w:left="0"/>
        <w:rPr>
          <w:b/>
        </w:rPr>
      </w:pPr>
      <w:r w:rsidRPr="0024007D">
        <w:rPr>
          <w:b/>
        </w:rPr>
        <w:t xml:space="preserve">Artikel </w:t>
      </w:r>
      <w:r w:rsidR="008E0576">
        <w:rPr>
          <w:b/>
        </w:rPr>
        <w:t>202</w:t>
      </w:r>
    </w:p>
    <w:p w14:paraId="221CDD2C" w14:textId="77777777" w:rsidR="0024007D" w:rsidRDefault="0024007D" w:rsidP="0024007D">
      <w:pPr>
        <w:ind w:left="0"/>
      </w:pPr>
      <w:r>
        <w:t>Het personeelslid heeft het recht om het bestuur tien werkdagen vooraf schriftelijk te verzoeken om de flexibele werkregeling vroegtijdig stop te zetten, teneinde zijn oorspronkelijk werkpatroon te hervatten.</w:t>
      </w:r>
    </w:p>
    <w:p w14:paraId="485DB414" w14:textId="77777777" w:rsidR="0024007D" w:rsidRDefault="0024007D" w:rsidP="0024007D">
      <w:pPr>
        <w:ind w:left="0"/>
      </w:pPr>
      <w:r>
        <w:t>Het bestuur beoordeelt dit verzoek en geeft er binnen de vijf werkdagen schriftelijk gevolg aan.</w:t>
      </w:r>
    </w:p>
    <w:p w14:paraId="1805C963" w14:textId="269ABC18" w:rsidR="0024007D" w:rsidRPr="0024007D" w:rsidRDefault="0024007D" w:rsidP="0024007D">
      <w:pPr>
        <w:ind w:left="0"/>
        <w:rPr>
          <w:b/>
        </w:rPr>
      </w:pPr>
      <w:r w:rsidRPr="0024007D">
        <w:rPr>
          <w:b/>
        </w:rPr>
        <w:t xml:space="preserve">Artikel </w:t>
      </w:r>
      <w:r w:rsidR="008E0576">
        <w:rPr>
          <w:b/>
        </w:rPr>
        <w:t>203</w:t>
      </w:r>
    </w:p>
    <w:p w14:paraId="33A1CD87" w14:textId="310B8779" w:rsidR="0060384A" w:rsidRPr="0060384A" w:rsidRDefault="0024007D" w:rsidP="0024007D">
      <w:pPr>
        <w:ind w:left="0"/>
      </w:pPr>
      <w:r>
        <w:t>Het personeelslid heeft het recht om na afloop van de flexibele werkregeling zijn oorspronkelijk werkpatroon te hervatten.</w:t>
      </w:r>
    </w:p>
    <w:p w14:paraId="007400FC" w14:textId="77777777" w:rsidR="00F4742F" w:rsidRDefault="00F4742F">
      <w:pPr>
        <w:spacing w:before="0" w:after="0"/>
        <w:ind w:left="0"/>
        <w:jc w:val="left"/>
        <w:rPr>
          <w:b/>
          <w:caps/>
          <w:sz w:val="16"/>
          <w:szCs w:val="16"/>
        </w:rPr>
      </w:pPr>
      <w:r>
        <w:br w:type="page"/>
      </w:r>
    </w:p>
    <w:p w14:paraId="7812BF02" w14:textId="67972A87" w:rsidR="00F4742F" w:rsidRDefault="00F4742F" w:rsidP="00B44CF7">
      <w:pPr>
        <w:pStyle w:val="Kop2"/>
      </w:pPr>
      <w:bookmarkStart w:id="256" w:name="_Toc215739043"/>
      <w:r>
        <w:lastRenderedPageBreak/>
        <w:t xml:space="preserve">hoofdstuk </w:t>
      </w:r>
      <w:r w:rsidR="00AD77E0">
        <w:t>xi: verlof om dwingende redenen</w:t>
      </w:r>
      <w:bookmarkEnd w:id="256"/>
    </w:p>
    <w:p w14:paraId="4C7D8E83" w14:textId="0EB86D19" w:rsidR="00AE71C0" w:rsidRPr="00AE71C0" w:rsidRDefault="00AE71C0" w:rsidP="00AE71C0">
      <w:pPr>
        <w:ind w:left="0"/>
        <w:rPr>
          <w:b/>
        </w:rPr>
      </w:pPr>
      <w:r w:rsidRPr="00AE71C0">
        <w:rPr>
          <w:b/>
        </w:rPr>
        <w:t xml:space="preserve">Artikel </w:t>
      </w:r>
      <w:r w:rsidR="008E0576">
        <w:rPr>
          <w:b/>
        </w:rPr>
        <w:t>204</w:t>
      </w:r>
    </w:p>
    <w:p w14:paraId="07D110AF" w14:textId="77777777" w:rsidR="00AE71C0" w:rsidRDefault="00AE71C0" w:rsidP="00AE71C0">
      <w:pPr>
        <w:ind w:left="0"/>
      </w:pPr>
      <w:r>
        <w:t>§1. Het personeelslid heeft het recht van het werk afwezig te zijn wegens dwingende redenen.</w:t>
      </w:r>
    </w:p>
    <w:p w14:paraId="7A79BBEC" w14:textId="77777777" w:rsidR="00AE71C0" w:rsidRDefault="00AE71C0" w:rsidP="00AE71C0">
      <w:pPr>
        <w:ind w:left="0"/>
      </w:pPr>
      <w:r>
        <w:t>§2. Onder dwingende reden wordt verstaan elke onvoorzienbare, los van het werk staande gebeurtenis die de dringende en noodzakelijke tussenkomst van de werknemer vereist, en dit voor zover de uitvoering van de dienstbetrekking/ arbeidsovereenkomst deze tussenkomst onmogelijk maakt.</w:t>
      </w:r>
    </w:p>
    <w:p w14:paraId="2B2B4F56" w14:textId="77777777" w:rsidR="00AE71C0" w:rsidRDefault="00AE71C0" w:rsidP="00AE71C0">
      <w:pPr>
        <w:ind w:left="0"/>
      </w:pPr>
      <w:r>
        <w:t xml:space="preserve">Worden bijvoorbeeld als dwingende reden beschouwd: </w:t>
      </w:r>
    </w:p>
    <w:p w14:paraId="378F60CC" w14:textId="5B222319" w:rsidR="00AE71C0" w:rsidRDefault="00AE71C0" w:rsidP="009D4C40">
      <w:pPr>
        <w:pStyle w:val="Lijstalinea"/>
        <w:numPr>
          <w:ilvl w:val="0"/>
          <w:numId w:val="98"/>
        </w:numPr>
      </w:pPr>
      <w:r>
        <w:t>ziekte, ongeval of hospitalisatie van een persoon die met de werknemer samenwoont;</w:t>
      </w:r>
    </w:p>
    <w:p w14:paraId="128141B0" w14:textId="54E47320" w:rsidR="00AE71C0" w:rsidRDefault="00AE71C0" w:rsidP="009D4C40">
      <w:pPr>
        <w:pStyle w:val="Lijstalinea"/>
        <w:numPr>
          <w:ilvl w:val="0"/>
          <w:numId w:val="98"/>
        </w:numPr>
      </w:pPr>
      <w:r>
        <w:t>schade aan de woning van de werknemer door een brand of een natuurramp;</w:t>
      </w:r>
    </w:p>
    <w:p w14:paraId="03C1ACAC" w14:textId="2206148E" w:rsidR="00AE71C0" w:rsidRDefault="00AE71C0" w:rsidP="009D4C40">
      <w:pPr>
        <w:pStyle w:val="Lijstalinea"/>
        <w:numPr>
          <w:ilvl w:val="0"/>
          <w:numId w:val="98"/>
        </w:numPr>
      </w:pPr>
      <w:r>
        <w:t>het bevel tot verschijning in persoon in een rechtszitting wanneer de werknemer partij is in het geding;</w:t>
      </w:r>
    </w:p>
    <w:p w14:paraId="3809EAA6" w14:textId="0C8ECA83" w:rsidR="00AE71C0" w:rsidRDefault="00AE71C0" w:rsidP="009D4C40">
      <w:pPr>
        <w:pStyle w:val="Lijstalinea"/>
        <w:numPr>
          <w:ilvl w:val="0"/>
          <w:numId w:val="98"/>
        </w:numPr>
      </w:pPr>
      <w:r>
        <w:t xml:space="preserve">elke andere gebeurtenis die de werkgever en werknemer in onderling akkoord beschouwen als een dwingende reden.   </w:t>
      </w:r>
    </w:p>
    <w:p w14:paraId="6F7BA391" w14:textId="374C7647" w:rsidR="00AE71C0" w:rsidRPr="00AE71C0" w:rsidRDefault="00AE71C0" w:rsidP="00AE71C0">
      <w:pPr>
        <w:ind w:left="0"/>
        <w:rPr>
          <w:b/>
        </w:rPr>
      </w:pPr>
      <w:r w:rsidRPr="00AE71C0">
        <w:rPr>
          <w:b/>
        </w:rPr>
        <w:t xml:space="preserve">Artikel </w:t>
      </w:r>
      <w:r w:rsidR="008E0576">
        <w:rPr>
          <w:b/>
        </w:rPr>
        <w:t>205</w:t>
      </w:r>
    </w:p>
    <w:p w14:paraId="753ED387" w14:textId="77777777" w:rsidR="00AE71C0" w:rsidRDefault="00AE71C0" w:rsidP="00AE71C0">
      <w:pPr>
        <w:ind w:left="0"/>
      </w:pPr>
      <w:r>
        <w:t>Het personeelslid mag afwezig zijn gedurende de tijd die nodig is om het hoofd te bieden aan zijn probleem, op voorwaarde dat hij het bestuur vooraf verwittigt, of indien dit niet mogelijk is, zo spoedig mogelijk. Het personeelslid moet het verlof gebruiken voor het doel waarvoor het is toegestaan. De werkgever kan de nodige bewijsstukken opvragen.</w:t>
      </w:r>
    </w:p>
    <w:p w14:paraId="0645EAF1" w14:textId="2A1D3FE7" w:rsidR="00AE71C0" w:rsidRPr="00AE71C0" w:rsidRDefault="00AE71C0" w:rsidP="00AE71C0">
      <w:pPr>
        <w:ind w:left="0"/>
        <w:rPr>
          <w:b/>
        </w:rPr>
      </w:pPr>
      <w:r w:rsidRPr="00AE71C0">
        <w:rPr>
          <w:b/>
        </w:rPr>
        <w:t xml:space="preserve">Artikel </w:t>
      </w:r>
      <w:r w:rsidR="008E0576">
        <w:rPr>
          <w:b/>
        </w:rPr>
        <w:t>206</w:t>
      </w:r>
    </w:p>
    <w:p w14:paraId="4352CDA2" w14:textId="41CF2D98" w:rsidR="00AE71C0" w:rsidRDefault="00AE71C0" w:rsidP="00AE71C0">
      <w:pPr>
        <w:ind w:left="0"/>
      </w:pPr>
      <w:r>
        <w:t xml:space="preserve">De duur van de afwezigheid mag 10 arbeidsdagen per kalenderjaar niet overschrijden. De dagen zorgverlof zoals </w:t>
      </w:r>
      <w:r w:rsidRPr="005C5B8A">
        <w:t xml:space="preserve">bepaald in artikel </w:t>
      </w:r>
      <w:r w:rsidR="00A61D4D">
        <w:t>209</w:t>
      </w:r>
      <w:r w:rsidRPr="005C5B8A">
        <w:t xml:space="preserve"> (max.</w:t>
      </w:r>
      <w:r>
        <w:t xml:space="preserve"> 5 dagen kalenderjaar) die het personeelslid tijdens het kalenderjaar opneemt, worden hiervan in mindering gebracht.  </w:t>
      </w:r>
    </w:p>
    <w:p w14:paraId="5AA78E86" w14:textId="15F11642" w:rsidR="00AE71C0" w:rsidRPr="00AE71C0" w:rsidRDefault="00AE71C0" w:rsidP="00AE71C0">
      <w:pPr>
        <w:ind w:left="0"/>
        <w:rPr>
          <w:b/>
        </w:rPr>
      </w:pPr>
      <w:r w:rsidRPr="00AE71C0">
        <w:rPr>
          <w:b/>
        </w:rPr>
        <w:t xml:space="preserve">Artikel </w:t>
      </w:r>
      <w:r w:rsidR="008E0576">
        <w:rPr>
          <w:b/>
        </w:rPr>
        <w:t>207</w:t>
      </w:r>
    </w:p>
    <w:p w14:paraId="6913A03D" w14:textId="77777777" w:rsidR="00AE71C0" w:rsidRDefault="00AE71C0" w:rsidP="00AE71C0">
      <w:pPr>
        <w:ind w:left="0"/>
      </w:pPr>
      <w:r>
        <w:t>Het verlof is onbezoldigd.</w:t>
      </w:r>
    </w:p>
    <w:p w14:paraId="30F74424" w14:textId="1A4F4E83" w:rsidR="00AE71C0" w:rsidRPr="00AE71C0" w:rsidRDefault="00AE71C0" w:rsidP="00AE71C0">
      <w:pPr>
        <w:ind w:left="0"/>
        <w:rPr>
          <w:b/>
        </w:rPr>
      </w:pPr>
      <w:r w:rsidRPr="00AE71C0">
        <w:rPr>
          <w:b/>
        </w:rPr>
        <w:t xml:space="preserve">Artikel </w:t>
      </w:r>
      <w:r w:rsidR="008E0576">
        <w:rPr>
          <w:b/>
        </w:rPr>
        <w:t>208</w:t>
      </w:r>
    </w:p>
    <w:p w14:paraId="18FDD5D9" w14:textId="77777777" w:rsidR="00AE71C0" w:rsidRDefault="00AE71C0" w:rsidP="00AE71C0">
      <w:pPr>
        <w:ind w:left="0"/>
      </w:pPr>
      <w:r>
        <w:t xml:space="preserve">Het personeelslid heeft het recht om, binnen het verlofkrediet van het verlof wegens dwingende redenen (10 dagen), van het werk afwezig te zijn gedurende maximaal vijf, al dan niet aaneensluitende, dagen per kalenderjaar met het oog op het verlenen van persoonlijke zorg of steun aan een gezinslid of een welbepaald familielid dat om een ernstige medische reden behoefte heeft aan aanzienlijke zorg of steun. </w:t>
      </w:r>
    </w:p>
    <w:p w14:paraId="5D01A538" w14:textId="77777777" w:rsidR="00AE71C0" w:rsidRDefault="00AE71C0" w:rsidP="00AE71C0">
      <w:pPr>
        <w:ind w:left="0"/>
      </w:pPr>
      <w:r>
        <w:t xml:space="preserve">Hierbij wordt verstaan onder: </w:t>
      </w:r>
    </w:p>
    <w:p w14:paraId="232C48CF" w14:textId="3255637B" w:rsidR="00AE71C0" w:rsidRDefault="00AE71C0" w:rsidP="009D4C40">
      <w:pPr>
        <w:pStyle w:val="Lijstalinea"/>
        <w:numPr>
          <w:ilvl w:val="4"/>
          <w:numId w:val="99"/>
        </w:numPr>
      </w:pPr>
      <w:r>
        <w:t xml:space="preserve">Gezinslid: elke persoon die samenwoont met de werknemer; </w:t>
      </w:r>
    </w:p>
    <w:p w14:paraId="74F20384" w14:textId="7E634ED5" w:rsidR="00AE71C0" w:rsidRDefault="00AE71C0" w:rsidP="009D4C40">
      <w:pPr>
        <w:pStyle w:val="Lijstalinea"/>
        <w:numPr>
          <w:ilvl w:val="4"/>
          <w:numId w:val="99"/>
        </w:numPr>
      </w:pPr>
      <w:r>
        <w:t>Familielid: de echtgenoot van de werknemer of de persoon met wie de werknemer wettelijk samenwoont (art</w:t>
      </w:r>
      <w:r w:rsidR="009841BF">
        <w:t>ikel</w:t>
      </w:r>
      <w:r>
        <w:t xml:space="preserve"> 1475 e.v. van het Oud Burgerlijk Wetboek), alsook de bloedverwanten tot de eerste graad van de werknemer (d.w.z. zijn ouders en kinderen); </w:t>
      </w:r>
    </w:p>
    <w:p w14:paraId="037DC263" w14:textId="0572A592" w:rsidR="00AE71C0" w:rsidRDefault="00AE71C0" w:rsidP="009D4C40">
      <w:pPr>
        <w:pStyle w:val="Lijstalinea"/>
        <w:numPr>
          <w:ilvl w:val="4"/>
          <w:numId w:val="99"/>
        </w:numPr>
      </w:pPr>
      <w:r>
        <w:t xml:space="preserve">Een ernstige medische reden als gevolg waarvan men behoefte heeft aan aanzienlijke zorg of steun: elke gezondheidstoestand, al dan niet het gevolg van een ziekte of medische ingreep, die door de behandelende arts als dusdanig wordt beschouwd en waarbij de arts oordeelt dat er behoefte is aan aanzienlijke zorg of steun; </w:t>
      </w:r>
    </w:p>
    <w:p w14:paraId="0A9704F1" w14:textId="34BE0B8F" w:rsidR="00AE71C0" w:rsidRDefault="00AE71C0" w:rsidP="009D4C40">
      <w:pPr>
        <w:pStyle w:val="Lijstalinea"/>
        <w:numPr>
          <w:ilvl w:val="4"/>
          <w:numId w:val="99"/>
        </w:numPr>
      </w:pPr>
      <w:r>
        <w:t xml:space="preserve">Zorg of steun: elke vorm van sociale, familiale of emotionele bijstand of verzorging. </w:t>
      </w:r>
    </w:p>
    <w:p w14:paraId="293E8779" w14:textId="77777777" w:rsidR="003E04C6" w:rsidRDefault="003E04C6" w:rsidP="00AE71C0">
      <w:pPr>
        <w:ind w:left="0"/>
        <w:rPr>
          <w:b/>
        </w:rPr>
      </w:pPr>
    </w:p>
    <w:p w14:paraId="5EA55522" w14:textId="07A6E8D2" w:rsidR="00AE71C0" w:rsidRPr="00AE71C0" w:rsidRDefault="00AE71C0" w:rsidP="00AE71C0">
      <w:pPr>
        <w:ind w:left="0"/>
        <w:rPr>
          <w:b/>
        </w:rPr>
      </w:pPr>
      <w:r w:rsidRPr="00AE71C0">
        <w:rPr>
          <w:b/>
        </w:rPr>
        <w:t>Artikel</w:t>
      </w:r>
      <w:r w:rsidR="00C94443">
        <w:rPr>
          <w:b/>
        </w:rPr>
        <w:t xml:space="preserve"> </w:t>
      </w:r>
      <w:r w:rsidR="008E0576">
        <w:rPr>
          <w:b/>
        </w:rPr>
        <w:t>209</w:t>
      </w:r>
    </w:p>
    <w:p w14:paraId="07BFF36A" w14:textId="5C043131" w:rsidR="00AE71C0" w:rsidRDefault="00AE71C0" w:rsidP="00AE71C0">
      <w:pPr>
        <w:ind w:left="0"/>
      </w:pPr>
      <w:r>
        <w:t xml:space="preserve">§1. Het personeelslid heeft per kalenderjaar recht op maximaal vijf dagen zorgverlof. Het is het personeelslid dat bepaalt op welke dagen hij dit verlof opneemt. Het zorgverlof kan zowel in losse dagen, als in een aaneengesloten periode worden opgenomen. Ook een combinatie van beide (d.w.z. een aantal afzonderlijke en een aantal aaneengesloten dagen) is mogelijk. Om gebruik te </w:t>
      </w:r>
      <w:r>
        <w:lastRenderedPageBreak/>
        <w:t xml:space="preserve">kunnen maken van het zorgverlof moet het personeelslid de formaliteiten naleven zoals bepaald in </w:t>
      </w:r>
      <w:r w:rsidRPr="005F3AD2">
        <w:t xml:space="preserve">artikel </w:t>
      </w:r>
      <w:r w:rsidR="00A61D4D">
        <w:t>209.</w:t>
      </w:r>
      <w:r w:rsidRPr="005F3AD2">
        <w:t xml:space="preserve"> Het personeelslid moet het zorgverlof gebruiken voor het doel waarvoor het werd ingesteld, nl. het verlenen</w:t>
      </w:r>
      <w:r>
        <w:t xml:space="preserve"> van zorg of steun aan een gezinslid of familielid dat om een ernstige medische reden behoefte heeft aan aanzienlijke zorg of steun. </w:t>
      </w:r>
    </w:p>
    <w:p w14:paraId="69E9D8DC" w14:textId="77777777" w:rsidR="00AE71C0" w:rsidRDefault="00AE71C0" w:rsidP="00AE71C0">
      <w:pPr>
        <w:ind w:left="0"/>
      </w:pPr>
      <w:r>
        <w:t xml:space="preserve">§2. De regeling van het zorgverlof is gekaderd binnen het verlof wegens dwingende redenen. De opgenomen dagen zorgverlof moeten worden aangerekend op het verlof wegens dwingende redenen. Dit betekent dat het verlofkrediet wegens dwingende redenen (tien dagen/kalenderjaar) wordt verminderd met de tijdens dat kalenderjaar opgenomen dagen zorgverlof. </w:t>
      </w:r>
    </w:p>
    <w:p w14:paraId="4B316855" w14:textId="32268BA9" w:rsidR="00AE71C0" w:rsidRPr="00AE71C0" w:rsidRDefault="00AE71C0" w:rsidP="00AE71C0">
      <w:pPr>
        <w:ind w:left="0"/>
        <w:rPr>
          <w:b/>
        </w:rPr>
      </w:pPr>
      <w:r w:rsidRPr="00AE71C0">
        <w:rPr>
          <w:b/>
        </w:rPr>
        <w:t xml:space="preserve">Artikel </w:t>
      </w:r>
      <w:r w:rsidR="008E0576">
        <w:rPr>
          <w:b/>
        </w:rPr>
        <w:t>210</w:t>
      </w:r>
    </w:p>
    <w:p w14:paraId="417C5ABF" w14:textId="77777777" w:rsidR="00AE71C0" w:rsidRDefault="00AE71C0" w:rsidP="00AE71C0">
      <w:pPr>
        <w:ind w:left="0"/>
      </w:pPr>
      <w:r>
        <w:t>§1. Het personeelslid dat gebruik wil maken van het recht op zorgverlof moet het bestuur hier vooraf van in schriftelijk in kennis stellen.</w:t>
      </w:r>
    </w:p>
    <w:p w14:paraId="5AB2315E" w14:textId="77777777" w:rsidR="00AE71C0" w:rsidRDefault="00AE71C0" w:rsidP="00AE71C0">
      <w:pPr>
        <w:ind w:left="0"/>
      </w:pPr>
      <w:r>
        <w:t xml:space="preserve">§2. Een voorafgaandelijke verwittiging houdt in dat het personeelslid het bestuur uiterlijk voor de start van zijn dagtaak moet laten weten dat hij die dag zorgverlof opneemt. </w:t>
      </w:r>
    </w:p>
    <w:p w14:paraId="011CD724" w14:textId="77777777" w:rsidR="00AE71C0" w:rsidRDefault="00AE71C0" w:rsidP="00AE71C0">
      <w:pPr>
        <w:ind w:left="0"/>
      </w:pPr>
      <w:r>
        <w:t xml:space="preserve">§3. Daarnaast moet het personeelslid het bestuur ter staving van zijn afwezigheid zo spoedig mogelijk een recent attest van de behandelende arts van het betrokken gezins- of familielid bezorgen waaruit blijkt dat de betrokkene om een ernstige medische reden behoefte heeft aan aanzienlijke zorg of steun. Dit attest mag de medische reden zelf niet vermelden. </w:t>
      </w:r>
    </w:p>
    <w:p w14:paraId="4A763A72" w14:textId="77777777" w:rsidR="00AE71C0" w:rsidRDefault="00AE71C0" w:rsidP="00AE71C0">
      <w:pPr>
        <w:ind w:left="0"/>
      </w:pPr>
      <w:r>
        <w:t xml:space="preserve">Het attest dient door de behandelende arts te zijn afgeleverd in het kalenderjaar waarin het zorgverlof wordt opgenomen. Bij een gespreide opname van de vijf dagen zorgverlof over het kalenderjaar moet het personeelslid slechts één attest indienen dat door de arts in dat kalenderjaar werd afgeleverd, m.n. bij de opname van de eerste dag zorgverlof in dat kalenderjaar. Het is niet vereist dat het personeelslid bij de eventuele opname van volgende dagen zorgverlof tijdens datzelfde kalenderjaar telkenmale een nieuw attest overmaakt aan het bestuur. </w:t>
      </w:r>
    </w:p>
    <w:p w14:paraId="34AD145D" w14:textId="77777777" w:rsidR="00AE71C0" w:rsidRDefault="00AE71C0" w:rsidP="00AE71C0">
      <w:pPr>
        <w:ind w:left="0"/>
      </w:pPr>
      <w:r>
        <w:t xml:space="preserve">De werknemer dient dit bewijsstuk zo spoedig mogelijk over te maken aan zijn werkgever. </w:t>
      </w:r>
    </w:p>
    <w:p w14:paraId="6EF2F6C5" w14:textId="2AA720F0" w:rsidR="00AE71C0" w:rsidRPr="00AE71C0" w:rsidRDefault="00AE71C0" w:rsidP="00AE71C0">
      <w:pPr>
        <w:ind w:left="0"/>
        <w:rPr>
          <w:b/>
        </w:rPr>
      </w:pPr>
      <w:r w:rsidRPr="00AE71C0">
        <w:rPr>
          <w:b/>
        </w:rPr>
        <w:t xml:space="preserve">Artikel </w:t>
      </w:r>
      <w:r w:rsidR="008E0576">
        <w:rPr>
          <w:b/>
        </w:rPr>
        <w:t>211</w:t>
      </w:r>
    </w:p>
    <w:p w14:paraId="79F1CC3D" w14:textId="77777777" w:rsidR="00AE71C0" w:rsidRDefault="00AE71C0" w:rsidP="00AE71C0">
      <w:pPr>
        <w:ind w:left="0"/>
      </w:pPr>
      <w:r>
        <w:t>Het verlof is onbezoldigd.</w:t>
      </w:r>
    </w:p>
    <w:p w14:paraId="4C3536EC" w14:textId="799F771C" w:rsidR="00AE71C0" w:rsidRPr="00AE71C0" w:rsidRDefault="00AE71C0" w:rsidP="00AE71C0">
      <w:pPr>
        <w:ind w:left="0"/>
        <w:rPr>
          <w:b/>
        </w:rPr>
      </w:pPr>
      <w:r w:rsidRPr="00AE71C0">
        <w:rPr>
          <w:b/>
        </w:rPr>
        <w:t xml:space="preserve">Artikel </w:t>
      </w:r>
      <w:r w:rsidR="008E0576">
        <w:rPr>
          <w:b/>
        </w:rPr>
        <w:t>212</w:t>
      </w:r>
    </w:p>
    <w:p w14:paraId="1BFA8D1C" w14:textId="3088D1D4" w:rsidR="00AD77E0" w:rsidRPr="00AD77E0" w:rsidRDefault="00AE71C0" w:rsidP="00AE71C0">
      <w:pPr>
        <w:ind w:left="0"/>
      </w:pPr>
      <w:r>
        <w:t>Het verlof om dwingende redenen (en zorgverlof) wordt in mindering gebracht van de 20 dagen onbetaald verlof als gunst die men per kalenderjaar kan opnemen.</w:t>
      </w:r>
    </w:p>
    <w:p w14:paraId="59F0D20D" w14:textId="77777777" w:rsidR="00AE71C0" w:rsidRDefault="00AE71C0">
      <w:pPr>
        <w:spacing w:before="0" w:after="0"/>
        <w:ind w:left="0"/>
        <w:jc w:val="left"/>
        <w:rPr>
          <w:b/>
          <w:caps/>
          <w:sz w:val="16"/>
          <w:szCs w:val="16"/>
        </w:rPr>
      </w:pPr>
      <w:r>
        <w:br w:type="page"/>
      </w:r>
    </w:p>
    <w:p w14:paraId="2DF88C2A" w14:textId="6253AC77" w:rsidR="003A11FB" w:rsidRPr="00037A46" w:rsidRDefault="003A11FB" w:rsidP="00B44CF7">
      <w:pPr>
        <w:pStyle w:val="Kop2"/>
      </w:pPr>
      <w:bookmarkStart w:id="257" w:name="_Toc215739044"/>
      <w:r w:rsidRPr="00037A46">
        <w:lastRenderedPageBreak/>
        <w:t>Hoofdstuk x</w:t>
      </w:r>
      <w:r w:rsidR="00891517">
        <w:t>ii</w:t>
      </w:r>
      <w:r w:rsidRPr="00037A46">
        <w:t>. loopbaanonderbreking</w:t>
      </w:r>
      <w:r w:rsidR="00A022DB" w:rsidRPr="00037A46">
        <w:t>/Vlaams zorgkrediet</w:t>
      </w:r>
      <w:bookmarkEnd w:id="254"/>
      <w:bookmarkEnd w:id="257"/>
    </w:p>
    <w:p w14:paraId="56AFE4AC" w14:textId="779D683D" w:rsidR="00621A1C" w:rsidRPr="00621A1C" w:rsidRDefault="00621A1C" w:rsidP="00621A1C">
      <w:pPr>
        <w:ind w:left="0"/>
        <w:rPr>
          <w:b/>
        </w:rPr>
      </w:pPr>
      <w:bookmarkStart w:id="258" w:name="_Toc110948236"/>
      <w:r w:rsidRPr="00621A1C">
        <w:rPr>
          <w:b/>
        </w:rPr>
        <w:t>Artikel</w:t>
      </w:r>
      <w:r w:rsidR="00C94443">
        <w:rPr>
          <w:b/>
        </w:rPr>
        <w:t xml:space="preserve"> </w:t>
      </w:r>
      <w:r w:rsidR="008E0576">
        <w:rPr>
          <w:b/>
        </w:rPr>
        <w:t>213</w:t>
      </w:r>
    </w:p>
    <w:p w14:paraId="34E49033" w14:textId="77777777" w:rsidR="00621A1C" w:rsidRPr="00621A1C" w:rsidRDefault="00621A1C" w:rsidP="00621A1C">
      <w:pPr>
        <w:ind w:left="0"/>
        <w:rPr>
          <w:bCs/>
        </w:rPr>
      </w:pPr>
      <w:r w:rsidRPr="00621A1C">
        <w:rPr>
          <w:bCs/>
        </w:rPr>
        <w:t>Volgende thematische verloven zijn van toepassing op de personeelsleden:</w:t>
      </w:r>
    </w:p>
    <w:p w14:paraId="3F7CB5B7" w14:textId="31AE217A" w:rsidR="00621A1C" w:rsidRPr="00621A1C" w:rsidRDefault="00621A1C" w:rsidP="009D4C40">
      <w:pPr>
        <w:pStyle w:val="Lijstalinea"/>
        <w:numPr>
          <w:ilvl w:val="0"/>
          <w:numId w:val="100"/>
        </w:numPr>
        <w:rPr>
          <w:bCs/>
        </w:rPr>
      </w:pPr>
      <w:r w:rsidRPr="00621A1C">
        <w:rPr>
          <w:bCs/>
        </w:rPr>
        <w:t>Het recht op ouderschapsverlof is van toepassing zoals bepaald in het koninklijk besluit van 29.10.1997 en het recht op onderbrekingsuitkeringen zoals voorzien in het koninklijk besluit van 02.01.1991.</w:t>
      </w:r>
    </w:p>
    <w:p w14:paraId="2E54085F" w14:textId="24283EC3" w:rsidR="00621A1C" w:rsidRPr="00621A1C" w:rsidRDefault="00621A1C" w:rsidP="009D4C40">
      <w:pPr>
        <w:pStyle w:val="Lijstalinea"/>
        <w:numPr>
          <w:ilvl w:val="0"/>
          <w:numId w:val="100"/>
        </w:numPr>
        <w:rPr>
          <w:bCs/>
        </w:rPr>
      </w:pPr>
      <w:r w:rsidRPr="00621A1C">
        <w:rPr>
          <w:bCs/>
        </w:rPr>
        <w:t>Het recht op palliatief verlof is van toepassing zoals bepaald in de artikelen 100bis en 102bis van de herstelwet van 22.01.1985 houdende sociale bepalingen en het recht op onderbrekingsuitkeringen zoals voorzien in het koninklijk besluit van 02.01.1991.</w:t>
      </w:r>
    </w:p>
    <w:p w14:paraId="68D1E4A6" w14:textId="004717BF" w:rsidR="00621A1C" w:rsidRPr="00621A1C" w:rsidRDefault="00621A1C" w:rsidP="009D4C40">
      <w:pPr>
        <w:pStyle w:val="Lijstalinea"/>
        <w:numPr>
          <w:ilvl w:val="0"/>
          <w:numId w:val="100"/>
        </w:numPr>
        <w:rPr>
          <w:bCs/>
        </w:rPr>
      </w:pPr>
      <w:r w:rsidRPr="00621A1C">
        <w:rPr>
          <w:bCs/>
        </w:rPr>
        <w:t>Het recht op verlof voor medische bijstand is van toepassing zoals bepaald in het koninklijk besluit van 10.08.1998 en het recht op onderbrekingsuitkeringen zoals voorzien in het koninklijk besluit van 02.01.1991.</w:t>
      </w:r>
    </w:p>
    <w:p w14:paraId="573DA0BA" w14:textId="40A4D9A0" w:rsidR="00621A1C" w:rsidRPr="00621A1C" w:rsidRDefault="4A366EB9" w:rsidP="009D4C40">
      <w:pPr>
        <w:pStyle w:val="Lijstalinea"/>
        <w:numPr>
          <w:ilvl w:val="0"/>
          <w:numId w:val="100"/>
        </w:numPr>
        <w:rPr>
          <w:bCs/>
        </w:rPr>
      </w:pPr>
      <w:r>
        <w:t>Het recht op mantelzorgverlof is van toepassing zoals bepaald in de artikelen 100ter en 102ter van de Herstelwet van 22 januari 1985 en het recht op onderbrekingsuitkeringen zoals voorzien in het koninklijk besluit van 02.01.1991.</w:t>
      </w:r>
    </w:p>
    <w:p w14:paraId="26D24FC1" w14:textId="4F1EF468" w:rsidR="0EB30E63" w:rsidRDefault="0EB30E63" w:rsidP="4FB77E70">
      <w:pPr>
        <w:ind w:left="0"/>
      </w:pPr>
      <w:r>
        <w:t>Het recht op ouderschapsverlof kan tevens opgenomen worden in een stelsel van 1/10de gedurende 40 maanden.</w:t>
      </w:r>
    </w:p>
    <w:p w14:paraId="3E8D7473" w14:textId="6C70C008" w:rsidR="0EB30E63" w:rsidRDefault="0EB30E63" w:rsidP="4FB77E70">
      <w:pPr>
        <w:ind w:left="0"/>
      </w:pPr>
      <w:r>
        <w:t>Het recht op voltijds ouderschapsverlof kan tevens opgenomen worden in weken (maximum 16 weken).</w:t>
      </w:r>
    </w:p>
    <w:p w14:paraId="3883919A" w14:textId="27135DFE" w:rsidR="0EB30E63" w:rsidRDefault="0EB30E63" w:rsidP="4FB77E70">
      <w:pPr>
        <w:ind w:left="0"/>
      </w:pPr>
      <w:r>
        <w:t xml:space="preserve">Het recht op voltijds verlof wegens medische bijstand kan tevens opgenomen worden in weken. </w:t>
      </w:r>
    </w:p>
    <w:p w14:paraId="42FE67DC" w14:textId="34E338CA" w:rsidR="00D12454" w:rsidRPr="00D12454" w:rsidRDefault="4A366EB9" w:rsidP="00621A1C">
      <w:pPr>
        <w:ind w:left="0"/>
      </w:pPr>
      <w:r>
        <w:t>Meer informatie omtrent deze verloven is terug te vinden op de website van de RVA.</w:t>
      </w:r>
    </w:p>
    <w:p w14:paraId="61EC0DCF" w14:textId="3AABFAEE" w:rsidR="00621A1C" w:rsidRPr="00621A1C" w:rsidRDefault="00621A1C" w:rsidP="00621A1C">
      <w:pPr>
        <w:ind w:left="0"/>
        <w:rPr>
          <w:b/>
        </w:rPr>
      </w:pPr>
      <w:r w:rsidRPr="00621A1C">
        <w:rPr>
          <w:b/>
        </w:rPr>
        <w:t xml:space="preserve">Artikel </w:t>
      </w:r>
      <w:r w:rsidR="008E0576">
        <w:rPr>
          <w:b/>
        </w:rPr>
        <w:t>214</w:t>
      </w:r>
    </w:p>
    <w:p w14:paraId="37DA9CAF" w14:textId="77777777" w:rsidR="00621A1C" w:rsidRPr="00621A1C" w:rsidRDefault="00621A1C" w:rsidP="00621A1C">
      <w:pPr>
        <w:ind w:left="0"/>
        <w:rPr>
          <w:bCs/>
        </w:rPr>
      </w:pPr>
      <w:r w:rsidRPr="00621A1C">
        <w:rPr>
          <w:bCs/>
        </w:rPr>
        <w:t>§1. De regeling inzake zorgkrediet, zoals vastgesteld door het besluit van de Vlaamse regering van 26 juli 2016 tot toekenning van onderbrekingsuitkeringen voor zorgkrediet, is van toepassing.</w:t>
      </w:r>
    </w:p>
    <w:p w14:paraId="58B9C149" w14:textId="77777777" w:rsidR="00621A1C" w:rsidRPr="00621A1C" w:rsidRDefault="00621A1C" w:rsidP="00621A1C">
      <w:pPr>
        <w:ind w:left="0"/>
        <w:rPr>
          <w:bCs/>
        </w:rPr>
      </w:pPr>
      <w:r w:rsidRPr="00621A1C">
        <w:rPr>
          <w:bCs/>
        </w:rPr>
        <w:t>§2. Het Vlaamse Zorgkrediet is een recht voor alle personeelsleden met uitzondering van de personeelsleden die met toepassing van artikel 99 van de Herstelwet houdende sociale bepalingen van 22 januari 1985 expliciet uitgesloten worden met name de algemeen en financieel directeur.</w:t>
      </w:r>
    </w:p>
    <w:p w14:paraId="6938F3F2" w14:textId="77777777" w:rsidR="00621A1C" w:rsidRPr="00621A1C" w:rsidRDefault="00621A1C" w:rsidP="00621A1C">
      <w:pPr>
        <w:ind w:left="0"/>
        <w:rPr>
          <w:bCs/>
        </w:rPr>
      </w:pPr>
      <w:r w:rsidRPr="00621A1C">
        <w:rPr>
          <w:bCs/>
        </w:rPr>
        <w:t xml:space="preserve">Individuele aanvragen kunnen worden ingewilligd indien dit de goeie werking van de dienst niet in gedrang brengt. </w:t>
      </w:r>
    </w:p>
    <w:p w14:paraId="48F3705E" w14:textId="770955E3" w:rsidR="00621A1C" w:rsidRPr="00621A1C" w:rsidRDefault="00621A1C" w:rsidP="00621A1C">
      <w:pPr>
        <w:ind w:left="0"/>
        <w:rPr>
          <w:bCs/>
        </w:rPr>
      </w:pPr>
      <w:r w:rsidRPr="00621A1C">
        <w:rPr>
          <w:bCs/>
        </w:rPr>
        <w:t xml:space="preserve">§3. Het personeelslid kan gebruik maken van het zorgkrediet omwille van één van volgende vijf </w:t>
      </w:r>
      <w:r w:rsidR="000B17AD" w:rsidRPr="00621A1C">
        <w:rPr>
          <w:bCs/>
        </w:rPr>
        <w:t>motieven:</w:t>
      </w:r>
    </w:p>
    <w:p w14:paraId="3E2A9DBD" w14:textId="0F1388AB" w:rsidR="00621A1C" w:rsidRPr="00621A1C" w:rsidRDefault="00621A1C" w:rsidP="009D4C40">
      <w:pPr>
        <w:pStyle w:val="Lijstalinea"/>
        <w:numPr>
          <w:ilvl w:val="2"/>
          <w:numId w:val="51"/>
        </w:numPr>
        <w:rPr>
          <w:bCs/>
        </w:rPr>
      </w:pPr>
      <w:r w:rsidRPr="00621A1C">
        <w:rPr>
          <w:bCs/>
        </w:rPr>
        <w:t>zorg voor een kind tot en met de leeftijd van twaalf jaar;</w:t>
      </w:r>
    </w:p>
    <w:p w14:paraId="03F24277" w14:textId="472995C1" w:rsidR="00621A1C" w:rsidRPr="00621A1C" w:rsidRDefault="00621A1C" w:rsidP="009D4C40">
      <w:pPr>
        <w:pStyle w:val="Lijstalinea"/>
        <w:numPr>
          <w:ilvl w:val="2"/>
          <w:numId w:val="51"/>
        </w:numPr>
        <w:rPr>
          <w:bCs/>
        </w:rPr>
      </w:pPr>
      <w:r w:rsidRPr="00621A1C">
        <w:rPr>
          <w:bCs/>
        </w:rPr>
        <w:t>bijstand of verzorging van een zwaar ziek gezins- of familielid;</w:t>
      </w:r>
    </w:p>
    <w:p w14:paraId="7FEC8ACB" w14:textId="6C5E7B80" w:rsidR="00621A1C" w:rsidRPr="00621A1C" w:rsidRDefault="00621A1C" w:rsidP="009D4C40">
      <w:pPr>
        <w:pStyle w:val="Lijstalinea"/>
        <w:numPr>
          <w:ilvl w:val="2"/>
          <w:numId w:val="51"/>
        </w:numPr>
        <w:rPr>
          <w:bCs/>
        </w:rPr>
      </w:pPr>
      <w:r w:rsidRPr="00621A1C">
        <w:rPr>
          <w:bCs/>
        </w:rPr>
        <w:t>palliatieve verzorging;</w:t>
      </w:r>
    </w:p>
    <w:p w14:paraId="30959D76" w14:textId="67B2F8A9" w:rsidR="00621A1C" w:rsidRPr="00621A1C" w:rsidRDefault="00621A1C" w:rsidP="009D4C40">
      <w:pPr>
        <w:pStyle w:val="Lijstalinea"/>
        <w:numPr>
          <w:ilvl w:val="2"/>
          <w:numId w:val="51"/>
        </w:numPr>
        <w:rPr>
          <w:bCs/>
        </w:rPr>
      </w:pPr>
      <w:r w:rsidRPr="00621A1C">
        <w:rPr>
          <w:bCs/>
        </w:rPr>
        <w:t>zorg voor een kind met een handicap;</w:t>
      </w:r>
    </w:p>
    <w:p w14:paraId="76C67A53" w14:textId="071ACB3E" w:rsidR="00621A1C" w:rsidRPr="00621A1C" w:rsidRDefault="00621A1C" w:rsidP="009D4C40">
      <w:pPr>
        <w:pStyle w:val="Lijstalinea"/>
        <w:numPr>
          <w:ilvl w:val="2"/>
          <w:numId w:val="51"/>
        </w:numPr>
        <w:rPr>
          <w:bCs/>
        </w:rPr>
      </w:pPr>
      <w:r w:rsidRPr="00621A1C">
        <w:rPr>
          <w:bCs/>
        </w:rPr>
        <w:t>opleiding.</w:t>
      </w:r>
    </w:p>
    <w:p w14:paraId="374FC6C7" w14:textId="77777777" w:rsidR="00621A1C" w:rsidRPr="00621A1C" w:rsidRDefault="00621A1C" w:rsidP="00621A1C">
      <w:pPr>
        <w:ind w:left="0"/>
        <w:rPr>
          <w:bCs/>
        </w:rPr>
      </w:pPr>
      <w:r w:rsidRPr="00621A1C">
        <w:rPr>
          <w:bCs/>
        </w:rPr>
        <w:t xml:space="preserve">§4. Het personeelslid ontvangt een onderbrekingsuitkering voor de onderbreking of vermindering van zijn arbeidsprestaties, met al dan niet opeenvolgende periodes, gedurende een van de volgende termijnen: </w:t>
      </w:r>
    </w:p>
    <w:p w14:paraId="0A898741" w14:textId="66BFB977" w:rsidR="00621A1C" w:rsidRPr="00621A1C" w:rsidRDefault="00621A1C" w:rsidP="009D4C40">
      <w:pPr>
        <w:pStyle w:val="Lijstalinea"/>
        <w:numPr>
          <w:ilvl w:val="2"/>
          <w:numId w:val="51"/>
        </w:numPr>
        <w:rPr>
          <w:bCs/>
        </w:rPr>
      </w:pPr>
      <w:r w:rsidRPr="00621A1C">
        <w:rPr>
          <w:bCs/>
        </w:rPr>
        <w:t>18 maanden in geval van volledige onderbreking van de arbeidsprestaties;</w:t>
      </w:r>
    </w:p>
    <w:p w14:paraId="59167C9D" w14:textId="5F64F0A6" w:rsidR="00621A1C" w:rsidRPr="00621A1C" w:rsidRDefault="00621A1C" w:rsidP="009D4C40">
      <w:pPr>
        <w:pStyle w:val="Lijstalinea"/>
        <w:numPr>
          <w:ilvl w:val="2"/>
          <w:numId w:val="51"/>
        </w:numPr>
        <w:rPr>
          <w:bCs/>
        </w:rPr>
      </w:pPr>
      <w:r w:rsidRPr="00621A1C">
        <w:rPr>
          <w:bCs/>
        </w:rPr>
        <w:t>36 maanden bij onderbreking tot de helft van een normale voltijdse arbeidsregeling;</w:t>
      </w:r>
    </w:p>
    <w:p w14:paraId="4EB76F1F" w14:textId="16658B1A" w:rsidR="00621A1C" w:rsidRPr="00621A1C" w:rsidRDefault="00621A1C" w:rsidP="009D4C40">
      <w:pPr>
        <w:pStyle w:val="Lijstalinea"/>
        <w:numPr>
          <w:ilvl w:val="2"/>
          <w:numId w:val="51"/>
        </w:numPr>
        <w:rPr>
          <w:bCs/>
        </w:rPr>
      </w:pPr>
      <w:r w:rsidRPr="00621A1C">
        <w:rPr>
          <w:bCs/>
        </w:rPr>
        <w:t>90 maanden bij onderbreking van de voltijdse arbeidsprestaties met een vijfde.</w:t>
      </w:r>
    </w:p>
    <w:p w14:paraId="6E2EDB2A" w14:textId="77777777" w:rsidR="00621A1C" w:rsidRPr="00621A1C" w:rsidRDefault="00621A1C" w:rsidP="00621A1C">
      <w:pPr>
        <w:ind w:left="0"/>
        <w:rPr>
          <w:bCs/>
        </w:rPr>
      </w:pPr>
      <w:r w:rsidRPr="00621A1C">
        <w:rPr>
          <w:bCs/>
        </w:rPr>
        <w:t>§5. Bij wijziging van opnamevorm moet er rekening mee gehouden worden dat één maand onderbreking van de arbeidsprestaties gelijk is aan twee maanden onderbreking tot de helft en vijf maanden onderbreking van de arbeidsprestaties met een vijfde. Bij berekening van het resterende krediet wordt er afgrond op de hogere maandeenheid.</w:t>
      </w:r>
    </w:p>
    <w:p w14:paraId="169AD179" w14:textId="77777777" w:rsidR="00621A1C" w:rsidRPr="00621A1C" w:rsidRDefault="00621A1C" w:rsidP="00621A1C">
      <w:pPr>
        <w:ind w:left="0"/>
        <w:rPr>
          <w:bCs/>
        </w:rPr>
      </w:pPr>
      <w:r w:rsidRPr="00621A1C">
        <w:rPr>
          <w:bCs/>
        </w:rPr>
        <w:lastRenderedPageBreak/>
        <w:t>§6. Om de maximale termijn van onderbreking, vermeld in §4, te bepalen wordt er gerekend vanaf 2 september 2016. Voor de berekening wordt geen rekening gehouden met eerder genoten thematische verloven of periodes van loopbaanonderbreking zoals vastgesteld door het koninklijk besluit van 2 januari 1991 betreffende de toekenning van onderbrekingsuitkeringen.</w:t>
      </w:r>
    </w:p>
    <w:p w14:paraId="4C62C222" w14:textId="1F657B14" w:rsidR="00621A1C" w:rsidRPr="00DA46AE" w:rsidRDefault="00621A1C" w:rsidP="00621A1C">
      <w:pPr>
        <w:ind w:left="0"/>
        <w:rPr>
          <w:bCs/>
        </w:rPr>
      </w:pPr>
      <w:r w:rsidRPr="00DA46AE">
        <w:rPr>
          <w:bCs/>
        </w:rPr>
        <w:t xml:space="preserve">§7. Het personeelslid met recht op zorgkrediet stelt de algemeen directeur en </w:t>
      </w:r>
      <w:r w:rsidR="00E0628E" w:rsidRPr="00DA46AE">
        <w:rPr>
          <w:bCs/>
        </w:rPr>
        <w:t xml:space="preserve">de teamverantwoordelijke </w:t>
      </w:r>
      <w:r w:rsidRPr="00DA46AE">
        <w:rPr>
          <w:bCs/>
        </w:rPr>
        <w:t>ten minste drie maanden voor het begin van de onderbreking schriftelijk op de hoogte van de periode waarvoor het zijn loopbaan zal onderbreken. De termijn van drie maanden kan evenwel op verzoek van het personeelslid worden ingekort.</w:t>
      </w:r>
    </w:p>
    <w:p w14:paraId="03BE6E84" w14:textId="77777777" w:rsidR="00621A1C" w:rsidRPr="00DA46AE" w:rsidRDefault="00621A1C" w:rsidP="00621A1C">
      <w:pPr>
        <w:ind w:left="0"/>
        <w:rPr>
          <w:bCs/>
        </w:rPr>
      </w:pPr>
      <w:r w:rsidRPr="00DA46AE">
        <w:rPr>
          <w:bCs/>
        </w:rPr>
        <w:t xml:space="preserve">§8. De algemeen en financieel directeur kunnen het Vlaamse zorgkrediet als gunst aanvragen. </w:t>
      </w:r>
    </w:p>
    <w:p w14:paraId="3BA28177" w14:textId="77777777" w:rsidR="00621A1C" w:rsidRPr="00DA46AE" w:rsidRDefault="00621A1C" w:rsidP="00621A1C">
      <w:pPr>
        <w:ind w:left="0"/>
        <w:rPr>
          <w:bCs/>
        </w:rPr>
      </w:pPr>
      <w:r w:rsidRPr="00DA46AE">
        <w:rPr>
          <w:bCs/>
        </w:rPr>
        <w:t>In voorkomend geval staat het college het Vlaamse zorgkrediet als gunst toe als en voor zover de goede werking van de dienst niet wordt verstoord.</w:t>
      </w:r>
    </w:p>
    <w:p w14:paraId="644D7EF5" w14:textId="77777777" w:rsidR="00621A1C" w:rsidRPr="00DA46AE" w:rsidRDefault="00621A1C" w:rsidP="00621A1C">
      <w:pPr>
        <w:ind w:left="0"/>
        <w:rPr>
          <w:bCs/>
        </w:rPr>
      </w:pPr>
      <w:r w:rsidRPr="00DA46AE">
        <w:rPr>
          <w:bCs/>
        </w:rPr>
        <w:t>§9. Het personeelslid kan het zorg- en opleidingskrediet aanvragen voor een periode van minimaal drie maanden en maximaal twaalf maanden. In afwijking hiervan kan het zorgkrediet voor palliatieve verzorging aangevraagd worden voor minimaal één en maximaal drie maanden.</w:t>
      </w:r>
    </w:p>
    <w:p w14:paraId="0C0C56D9" w14:textId="77777777" w:rsidR="00621A1C" w:rsidRPr="00DA46AE" w:rsidRDefault="00621A1C" w:rsidP="00621A1C">
      <w:pPr>
        <w:ind w:left="0"/>
        <w:rPr>
          <w:bCs/>
        </w:rPr>
      </w:pPr>
      <w:r w:rsidRPr="00DA46AE">
        <w:rPr>
          <w:bCs/>
        </w:rPr>
        <w:t>§10. Voor verlengingen of nieuwe aanvragen moet dezelfde termijn gerespecteerd worden.</w:t>
      </w:r>
    </w:p>
    <w:p w14:paraId="7B6A3FAF" w14:textId="506C6E24" w:rsidR="00420C8E" w:rsidRDefault="00621A1C" w:rsidP="00621A1C">
      <w:pPr>
        <w:ind w:left="0"/>
        <w:rPr>
          <w:bCs/>
        </w:rPr>
      </w:pPr>
      <w:r w:rsidRPr="00DA46AE">
        <w:rPr>
          <w:bCs/>
        </w:rPr>
        <w:t>§11. Het personeelslid dat verlof voor de opname van Vlaams zorgkrediet heeft gekregen kan vervroegd terugkeren na goedkeuring van de aanstellende overheid.</w:t>
      </w:r>
      <w:r w:rsidRPr="00621A1C">
        <w:rPr>
          <w:bCs/>
        </w:rPr>
        <w:t xml:space="preserve">  </w:t>
      </w:r>
    </w:p>
    <w:p w14:paraId="2D2A644A" w14:textId="33D04C44" w:rsidR="0092013C" w:rsidRPr="00FD7E2F" w:rsidRDefault="0092013C" w:rsidP="0092013C">
      <w:pPr>
        <w:ind w:left="0"/>
        <w:rPr>
          <w:bCs/>
          <w:lang w:val="nl-BE"/>
        </w:rPr>
      </w:pPr>
      <w:r w:rsidRPr="00FD7E2F">
        <w:rPr>
          <w:lang w:val="nl-BE"/>
        </w:rPr>
        <w:t>§12.</w:t>
      </w:r>
      <w:r w:rsidRPr="00FD7E2F">
        <w:rPr>
          <w:b/>
          <w:bCs/>
          <w:lang w:val="nl-BE"/>
        </w:rPr>
        <w:t xml:space="preserve"> </w:t>
      </w:r>
      <w:r w:rsidRPr="00FD7E2F">
        <w:rPr>
          <w:bCs/>
          <w:lang w:val="nl-BE"/>
        </w:rPr>
        <w:t xml:space="preserve">Het personeelslid dat wenst gebruik te maken van het Vlaams zorgkrediet stelt de algemeen directeur ten minste drie maanden voor de aanvang schriftelijk op de hoogte van de periode gedurende wanneer het Vlaams zorgkrediet opgenomen wordt. </w:t>
      </w:r>
    </w:p>
    <w:p w14:paraId="4E563D14" w14:textId="77777777" w:rsidR="0092013C" w:rsidRPr="00FD7E2F" w:rsidRDefault="0092013C" w:rsidP="0092013C">
      <w:pPr>
        <w:ind w:left="0"/>
        <w:rPr>
          <w:bCs/>
          <w:lang w:val="nl-BE"/>
        </w:rPr>
      </w:pPr>
      <w:r w:rsidRPr="00FD7E2F">
        <w:rPr>
          <w:bCs/>
          <w:lang w:val="nl-BE"/>
        </w:rPr>
        <w:t xml:space="preserve">De termijn van drie maand kan evenwel op verzoek van het personeelslid worden ingekort. </w:t>
      </w:r>
    </w:p>
    <w:p w14:paraId="5D720C12" w14:textId="77777777" w:rsidR="0092013C" w:rsidRPr="00FD7E2F" w:rsidRDefault="0092013C" w:rsidP="0092013C">
      <w:pPr>
        <w:ind w:left="0"/>
        <w:rPr>
          <w:bCs/>
          <w:lang w:val="nl-BE"/>
        </w:rPr>
      </w:pPr>
      <w:r w:rsidRPr="00FD7E2F">
        <w:rPr>
          <w:bCs/>
          <w:lang w:val="nl-BE"/>
        </w:rPr>
        <w:t xml:space="preserve">De algemeen directeur met recht op het Vlaams zorgkrediet stelt het college van burgemeester en schepenen ten minste drie maanden voor de aanvang schriftelijk op de hoogte van de periode gedurende wanneer het Vlaams zorgkrediet opgenomen wordt. </w:t>
      </w:r>
    </w:p>
    <w:p w14:paraId="416BD3FB" w14:textId="7B45E647" w:rsidR="0092013C" w:rsidRDefault="0092013C" w:rsidP="0092013C">
      <w:pPr>
        <w:ind w:left="0"/>
        <w:rPr>
          <w:bCs/>
        </w:rPr>
      </w:pPr>
      <w:r w:rsidRPr="00FD7E2F">
        <w:rPr>
          <w:bCs/>
          <w:lang w:val="nl-BE"/>
        </w:rPr>
        <w:t>De termijn van drie maand kan evenwel op verzoek van de algemeen directeur worden ingekort.</w:t>
      </w:r>
    </w:p>
    <w:p w14:paraId="04EDE4D3" w14:textId="77777777" w:rsidR="00DA46AE" w:rsidRDefault="00DA46AE" w:rsidP="00621A1C">
      <w:pPr>
        <w:ind w:left="0"/>
        <w:rPr>
          <w:bCs/>
        </w:rPr>
      </w:pPr>
    </w:p>
    <w:p w14:paraId="6871F0D3" w14:textId="170AA202" w:rsidR="00DC73D5" w:rsidRPr="00891517" w:rsidRDefault="003A11FB" w:rsidP="00891517">
      <w:pPr>
        <w:ind w:left="0"/>
        <w:rPr>
          <w:b/>
          <w:caps/>
          <w:sz w:val="16"/>
          <w:szCs w:val="16"/>
        </w:rPr>
      </w:pPr>
      <w:bookmarkStart w:id="259" w:name="_Toc110948242"/>
      <w:bookmarkEnd w:id="258"/>
      <w:r w:rsidRPr="00891517">
        <w:rPr>
          <w:b/>
          <w:caps/>
          <w:sz w:val="16"/>
          <w:szCs w:val="16"/>
        </w:rPr>
        <w:t>Hoofdstuk</w:t>
      </w:r>
      <w:r w:rsidR="00DC73D5" w:rsidRPr="00891517">
        <w:rPr>
          <w:b/>
          <w:caps/>
          <w:sz w:val="16"/>
          <w:szCs w:val="16"/>
        </w:rPr>
        <w:t xml:space="preserve"> x</w:t>
      </w:r>
      <w:r w:rsidR="00EE243E">
        <w:rPr>
          <w:b/>
          <w:caps/>
          <w:sz w:val="16"/>
          <w:szCs w:val="16"/>
        </w:rPr>
        <w:t>ii</w:t>
      </w:r>
      <w:r w:rsidR="00DC73D5" w:rsidRPr="00891517">
        <w:rPr>
          <w:b/>
          <w:caps/>
          <w:sz w:val="16"/>
          <w:szCs w:val="16"/>
        </w:rPr>
        <w:t>i</w:t>
      </w:r>
      <w:r w:rsidRPr="00891517">
        <w:rPr>
          <w:b/>
          <w:caps/>
          <w:sz w:val="16"/>
          <w:szCs w:val="16"/>
        </w:rPr>
        <w:t>. politiek verlof</w:t>
      </w:r>
      <w:bookmarkEnd w:id="259"/>
    </w:p>
    <w:p w14:paraId="7630C064" w14:textId="3C9F0884" w:rsidR="003A11FB" w:rsidRPr="00037A46" w:rsidRDefault="00F33791" w:rsidP="00334A21">
      <w:pPr>
        <w:spacing w:before="0" w:after="160" w:line="259" w:lineRule="auto"/>
        <w:ind w:left="0"/>
        <w:jc w:val="left"/>
        <w:rPr>
          <w:rFonts w:ascii="Calibri" w:eastAsia="Calibri" w:hAnsi="Calibri"/>
          <w:b/>
          <w:bCs/>
          <w:kern w:val="2"/>
          <w:sz w:val="22"/>
          <w:szCs w:val="22"/>
          <w:lang w:val="nl-BE" w:eastAsia="en-US"/>
          <w14:ligatures w14:val="standardContextual"/>
        </w:rPr>
      </w:pPr>
      <w:r w:rsidRPr="00037A46">
        <w:rPr>
          <w:rFonts w:ascii="Calibri" w:eastAsia="Calibri" w:hAnsi="Calibri"/>
          <w:b/>
          <w:bCs/>
          <w:kern w:val="2"/>
          <w:sz w:val="22"/>
          <w:szCs w:val="22"/>
          <w:lang w:val="nl-BE" w:eastAsia="en-US"/>
          <w14:ligatures w14:val="standardContextual"/>
        </w:rPr>
        <w:t xml:space="preserve">Artikel </w:t>
      </w:r>
      <w:r w:rsidR="008E0576">
        <w:rPr>
          <w:rFonts w:ascii="Calibri" w:eastAsia="Calibri" w:hAnsi="Calibri"/>
          <w:b/>
          <w:bCs/>
          <w:kern w:val="2"/>
          <w:sz w:val="22"/>
          <w:szCs w:val="22"/>
          <w:lang w:val="nl-BE" w:eastAsia="en-US"/>
          <w14:ligatures w14:val="standardContextual"/>
        </w:rPr>
        <w:t>215</w:t>
      </w:r>
    </w:p>
    <w:p w14:paraId="4751B231" w14:textId="78B1B426" w:rsidR="003A11FB" w:rsidRDefault="6575560A" w:rsidP="00677A80">
      <w:pPr>
        <w:pStyle w:val="StandaardUitvullen"/>
        <w:ind w:left="0"/>
        <w:rPr>
          <w:rFonts w:cs="Arial"/>
        </w:rPr>
      </w:pPr>
      <w:r>
        <w:t>Het politiek verlof wordt voor het personeel geregeld door het decreet van 14 maart 2003 (B.S. 24 april 2003)</w:t>
      </w:r>
      <w:r w:rsidRPr="4FB77E70">
        <w:rPr>
          <w:rFonts w:cs="Arial"/>
        </w:rPr>
        <w:t xml:space="preserve"> </w:t>
      </w:r>
      <w:r>
        <w:t>houdende regeling van het politiek verlof voor de personeelsleden van de provincies, gemeenten, de agglomeraties van gemeenten en openbare centra voor maatschappelijk welzijn, alsook de openbare instellingen publiekrechtelijke verenigingen die onder hun controle of toezicht vallen, inclusief latere wijzigingen.</w:t>
      </w:r>
      <w:r w:rsidRPr="4FB77E70">
        <w:rPr>
          <w:rFonts w:cs="Arial"/>
        </w:rPr>
        <w:t xml:space="preserve"> </w:t>
      </w:r>
    </w:p>
    <w:p w14:paraId="63830AD6" w14:textId="5935F2D9" w:rsidR="003A11FB" w:rsidRPr="00B44CF7" w:rsidRDefault="00DC73D5" w:rsidP="00B44CF7">
      <w:pPr>
        <w:pStyle w:val="Kop2"/>
      </w:pPr>
      <w:bookmarkStart w:id="260" w:name="_Toc110948243"/>
      <w:bookmarkStart w:id="261" w:name="_Toc215739045"/>
      <w:r w:rsidRPr="00B44CF7">
        <w:t>Hoofdstuk xi</w:t>
      </w:r>
      <w:r w:rsidR="00B44CF7" w:rsidRPr="00B44CF7">
        <w:t>v</w:t>
      </w:r>
      <w:r w:rsidR="003A11FB" w:rsidRPr="00B44CF7">
        <w:t>. vakbondsverlof</w:t>
      </w:r>
      <w:bookmarkEnd w:id="260"/>
      <w:bookmarkEnd w:id="261"/>
    </w:p>
    <w:p w14:paraId="35439214" w14:textId="790CA840" w:rsidR="003A11FB" w:rsidRPr="00037A46" w:rsidRDefault="00F33791" w:rsidP="00334A21">
      <w:pPr>
        <w:spacing w:before="0" w:after="160" w:line="259" w:lineRule="auto"/>
        <w:ind w:left="0"/>
        <w:jc w:val="left"/>
        <w:rPr>
          <w:rFonts w:ascii="Calibri" w:eastAsia="Calibri" w:hAnsi="Calibri"/>
          <w:b/>
          <w:bCs/>
          <w:kern w:val="2"/>
          <w:sz w:val="22"/>
          <w:szCs w:val="22"/>
          <w:lang w:val="nl-BE" w:eastAsia="en-US"/>
          <w14:ligatures w14:val="standardContextual"/>
        </w:rPr>
      </w:pPr>
      <w:r w:rsidRPr="00037A46">
        <w:rPr>
          <w:rFonts w:ascii="Calibri" w:eastAsia="Calibri" w:hAnsi="Calibri"/>
          <w:b/>
          <w:bCs/>
          <w:kern w:val="2"/>
          <w:sz w:val="22"/>
          <w:szCs w:val="22"/>
          <w:lang w:val="nl-BE" w:eastAsia="en-US"/>
          <w14:ligatures w14:val="standardContextual"/>
        </w:rPr>
        <w:t xml:space="preserve">Artikel </w:t>
      </w:r>
      <w:r w:rsidR="008E0576">
        <w:rPr>
          <w:rFonts w:ascii="Calibri" w:eastAsia="Calibri" w:hAnsi="Calibri"/>
          <w:b/>
          <w:bCs/>
          <w:kern w:val="2"/>
          <w:sz w:val="22"/>
          <w:szCs w:val="22"/>
          <w:lang w:val="nl-BE" w:eastAsia="en-US"/>
          <w14:ligatures w14:val="standardContextual"/>
        </w:rPr>
        <w:t>216</w:t>
      </w:r>
    </w:p>
    <w:p w14:paraId="7C47D70A" w14:textId="77777777" w:rsidR="003A11FB" w:rsidRPr="00037A46" w:rsidRDefault="003A11FB" w:rsidP="00677A80">
      <w:pPr>
        <w:ind w:left="0"/>
        <w:rPr>
          <w:rFonts w:cs="Arial"/>
        </w:rPr>
      </w:pPr>
      <w:r w:rsidRPr="00037A46">
        <w:t>Het vakbondsverlof wordt geregeld door de wet van 19 december 1974 tot regeling van de betrekkingen tussen de overheid en de vakbonden van haar personeel en het koninklijk besluit van 28 september 1984 tot de uitvoering ervan, inclusief latere wijzigingen.</w:t>
      </w:r>
      <w:r w:rsidRPr="00037A46">
        <w:rPr>
          <w:rFonts w:cs="Arial"/>
        </w:rPr>
        <w:t xml:space="preserve"> </w:t>
      </w:r>
    </w:p>
    <w:p w14:paraId="6B11894D" w14:textId="3AEBDE2F" w:rsidR="003A11FB" w:rsidRPr="00037A46" w:rsidRDefault="00053013" w:rsidP="00B44CF7">
      <w:pPr>
        <w:pStyle w:val="Kop2"/>
      </w:pPr>
      <w:r w:rsidRPr="00037A46">
        <w:br w:type="page"/>
      </w:r>
      <w:bookmarkStart w:id="262" w:name="_Toc110948244"/>
      <w:bookmarkStart w:id="263" w:name="_Toc215739046"/>
      <w:r w:rsidR="003A11FB" w:rsidRPr="00037A46">
        <w:lastRenderedPageBreak/>
        <w:t>Hoofdstuk x</w:t>
      </w:r>
      <w:r w:rsidR="00F06969">
        <w:t>v</w:t>
      </w:r>
      <w:r w:rsidR="003A11FB" w:rsidRPr="00037A46">
        <w:t>. de dienstvrijstellingen</w:t>
      </w:r>
      <w:bookmarkEnd w:id="262"/>
      <w:bookmarkEnd w:id="263"/>
    </w:p>
    <w:p w14:paraId="1ACD33C1" w14:textId="0EF2E00B" w:rsidR="003A11FB" w:rsidRPr="00037A46" w:rsidRDefault="006E6257" w:rsidP="00334A21">
      <w:pPr>
        <w:spacing w:before="0" w:after="160" w:line="259" w:lineRule="auto"/>
        <w:ind w:left="0"/>
        <w:jc w:val="left"/>
        <w:rPr>
          <w:rFonts w:ascii="Calibri" w:eastAsia="Calibri" w:hAnsi="Calibri"/>
          <w:b/>
          <w:bCs/>
          <w:kern w:val="2"/>
          <w:sz w:val="22"/>
          <w:szCs w:val="22"/>
          <w:lang w:val="nl-BE" w:eastAsia="en-US"/>
          <w14:ligatures w14:val="standardContextual"/>
        </w:rPr>
      </w:pPr>
      <w:r w:rsidRPr="00037A46">
        <w:rPr>
          <w:rFonts w:ascii="Calibri" w:eastAsia="Calibri" w:hAnsi="Calibri"/>
          <w:b/>
          <w:bCs/>
          <w:kern w:val="2"/>
          <w:sz w:val="22"/>
          <w:szCs w:val="22"/>
          <w:lang w:val="nl-BE" w:eastAsia="en-US"/>
          <w14:ligatures w14:val="standardContextual"/>
        </w:rPr>
        <w:t xml:space="preserve">Artikel </w:t>
      </w:r>
      <w:r w:rsidR="008E0576">
        <w:rPr>
          <w:rFonts w:ascii="Calibri" w:eastAsia="Calibri" w:hAnsi="Calibri"/>
          <w:b/>
          <w:bCs/>
          <w:kern w:val="2"/>
          <w:sz w:val="22"/>
          <w:szCs w:val="22"/>
          <w:lang w:val="nl-BE" w:eastAsia="en-US"/>
          <w14:ligatures w14:val="standardContextual"/>
        </w:rPr>
        <w:t>217</w:t>
      </w:r>
    </w:p>
    <w:p w14:paraId="4D47326D" w14:textId="1855192D" w:rsidR="00EA6A0A" w:rsidRPr="00E57000" w:rsidRDefault="00057DE7" w:rsidP="00677A80">
      <w:pPr>
        <w:ind w:left="0"/>
        <w:rPr>
          <w:bCs/>
        </w:rPr>
      </w:pPr>
      <w:r w:rsidRPr="00E57000">
        <w:rPr>
          <w:bCs/>
        </w:rPr>
        <w:t>§</w:t>
      </w:r>
      <w:r w:rsidR="003A11FB" w:rsidRPr="00E57000">
        <w:rPr>
          <w:bCs/>
        </w:rPr>
        <w:t>1</w:t>
      </w:r>
      <w:r w:rsidR="00E57000" w:rsidRPr="00E57000">
        <w:rPr>
          <w:bCs/>
        </w:rPr>
        <w:t>.</w:t>
      </w:r>
      <w:r w:rsidR="00367EFF" w:rsidRPr="00E57000">
        <w:rPr>
          <w:bCs/>
        </w:rPr>
        <w:t xml:space="preserve"> </w:t>
      </w:r>
      <w:r w:rsidR="00EA6A0A" w:rsidRPr="00E57000">
        <w:rPr>
          <w:bCs/>
        </w:rPr>
        <w:t xml:space="preserve">Het personeelslid heeft in de volgende </w:t>
      </w:r>
      <w:r w:rsidR="00A46CEF" w:rsidRPr="00E57000">
        <w:rPr>
          <w:bCs/>
        </w:rPr>
        <w:t>situaties</w:t>
      </w:r>
      <w:r w:rsidR="00EA6A0A" w:rsidRPr="00E57000">
        <w:rPr>
          <w:bCs/>
        </w:rPr>
        <w:t xml:space="preserve"> recht op vrijstelling van dienst voor de strikt nodige tijd (duur activiteit + verplaatsingstijd heen en terug van het werk): </w:t>
      </w:r>
    </w:p>
    <w:p w14:paraId="3F666C18" w14:textId="77777777" w:rsidR="00EA6A0A" w:rsidRPr="00E57000" w:rsidRDefault="00EA6A0A" w:rsidP="00EA6A0A">
      <w:pPr>
        <w:rPr>
          <w:bCs/>
        </w:rPr>
      </w:pPr>
      <w:r w:rsidRPr="00E57000">
        <w:rPr>
          <w:bCs/>
        </w:rPr>
        <w:t>1. als vrijwilliger van een brandweerkorps of korps voor burgerlijke bescherming, voor dringende hulpverlening;</w:t>
      </w:r>
    </w:p>
    <w:p w14:paraId="574DAF28" w14:textId="77777777" w:rsidR="00EA6A0A" w:rsidRPr="00E57000" w:rsidRDefault="00EA6A0A" w:rsidP="00EA6A0A">
      <w:pPr>
        <w:rPr>
          <w:bCs/>
        </w:rPr>
      </w:pPr>
      <w:r w:rsidRPr="00E57000">
        <w:rPr>
          <w:bCs/>
        </w:rPr>
        <w:t>2. als actieve vrijwilliger van het Rode Kruis of van het Vlaamse Kruis a rato van telkens maximaal vijf werkdagen per jaar;</w:t>
      </w:r>
    </w:p>
    <w:p w14:paraId="5A457496" w14:textId="77777777" w:rsidR="00EA6A0A" w:rsidRPr="00E57000" w:rsidRDefault="00EA6A0A" w:rsidP="00EA6A0A">
      <w:pPr>
        <w:rPr>
          <w:bCs/>
        </w:rPr>
      </w:pPr>
      <w:r w:rsidRPr="00E57000">
        <w:rPr>
          <w:bCs/>
        </w:rPr>
        <w:t xml:space="preserve">3. bij het afstaan van beenmerg a rato van maximaal </w:t>
      </w:r>
      <w:r w:rsidR="00954A97" w:rsidRPr="00E57000">
        <w:rPr>
          <w:bCs/>
        </w:rPr>
        <w:t>4</w:t>
      </w:r>
      <w:r w:rsidRPr="00E57000">
        <w:rPr>
          <w:bCs/>
        </w:rPr>
        <w:t xml:space="preserve"> werkdagen per afname;</w:t>
      </w:r>
    </w:p>
    <w:p w14:paraId="35967D47" w14:textId="77777777" w:rsidR="00EA6A0A" w:rsidRPr="00E57000" w:rsidRDefault="00EA6A0A" w:rsidP="00EA6A0A">
      <w:pPr>
        <w:rPr>
          <w:bCs/>
        </w:rPr>
      </w:pPr>
      <w:r w:rsidRPr="00E57000">
        <w:rPr>
          <w:bCs/>
        </w:rPr>
        <w:t>4. bij het afstaan van organen of weefsels voor de benodigde duur van de onderzoeken, de ziekenhuisopname en het herstel;</w:t>
      </w:r>
    </w:p>
    <w:p w14:paraId="6950DE03" w14:textId="77777777" w:rsidR="00EA6A0A" w:rsidRPr="00E57000" w:rsidRDefault="00EA6A0A" w:rsidP="00EA6A0A">
      <w:pPr>
        <w:rPr>
          <w:bCs/>
        </w:rPr>
      </w:pPr>
      <w:r w:rsidRPr="00E57000">
        <w:rPr>
          <w:bCs/>
        </w:rPr>
        <w:t>5. bij het geven van bloed, plasma of bloedplaatjes (maximaal 10 keer per jaar);</w:t>
      </w:r>
    </w:p>
    <w:p w14:paraId="5E621565" w14:textId="77777777" w:rsidR="00EA6A0A" w:rsidRPr="00E57000" w:rsidRDefault="00EA6A0A" w:rsidP="00EA6A0A">
      <w:pPr>
        <w:rPr>
          <w:bCs/>
        </w:rPr>
      </w:pPr>
      <w:r w:rsidRPr="00E57000">
        <w:rPr>
          <w:bCs/>
        </w:rPr>
        <w:t>6. bij het geven van borstvoeding op het werk a rato van de benodigde tijd;</w:t>
      </w:r>
    </w:p>
    <w:p w14:paraId="73DBAAA4" w14:textId="77777777" w:rsidR="00EA6A0A" w:rsidRPr="00E57000" w:rsidRDefault="00EA6A0A" w:rsidP="00EA6A0A">
      <w:pPr>
        <w:rPr>
          <w:bCs/>
        </w:rPr>
      </w:pPr>
      <w:r w:rsidRPr="00E57000">
        <w:rPr>
          <w:bCs/>
        </w:rPr>
        <w:t>7. het vrouwelijke personeelslid bij prenatale onderzoeken tijdens de diensturen gedurende de zwangerschap;</w:t>
      </w:r>
    </w:p>
    <w:p w14:paraId="4D2E4572" w14:textId="77777777" w:rsidR="00EA6A0A" w:rsidRPr="00E57000" w:rsidRDefault="00EA6A0A" w:rsidP="00EA6A0A">
      <w:pPr>
        <w:rPr>
          <w:bCs/>
        </w:rPr>
      </w:pPr>
      <w:r w:rsidRPr="00E57000">
        <w:rPr>
          <w:bCs/>
        </w:rPr>
        <w:t>8. deelname aan examens georganiseerd door het bestuur</w:t>
      </w:r>
      <w:r w:rsidR="00FD7DDD" w:rsidRPr="00E57000">
        <w:rPr>
          <w:bCs/>
        </w:rPr>
        <w:t xml:space="preserve"> (gemeente en OCMW)</w:t>
      </w:r>
      <w:r w:rsidRPr="00E57000">
        <w:rPr>
          <w:bCs/>
        </w:rPr>
        <w:t>;</w:t>
      </w:r>
    </w:p>
    <w:p w14:paraId="032B079A" w14:textId="77777777" w:rsidR="003A11FB" w:rsidRPr="00E57000" w:rsidRDefault="200C330F" w:rsidP="00EA6A0A">
      <w:pPr>
        <w:rPr>
          <w:bCs/>
        </w:rPr>
      </w:pPr>
      <w:r w:rsidRPr="00E57000">
        <w:rPr>
          <w:bCs/>
        </w:rPr>
        <w:t>9. oproeping voor wetgevende, provinciale of gemeentelijke verkiezingen</w:t>
      </w:r>
      <w:r w:rsidR="085C0B41" w:rsidRPr="00E57000">
        <w:rPr>
          <w:bCs/>
        </w:rPr>
        <w:t>;</w:t>
      </w:r>
    </w:p>
    <w:p w14:paraId="1C2CFB9D" w14:textId="57C7004A" w:rsidR="00B01394" w:rsidRPr="00E57000" w:rsidRDefault="00B01394" w:rsidP="00EA6A0A">
      <w:pPr>
        <w:rPr>
          <w:bCs/>
        </w:rPr>
      </w:pPr>
      <w:r w:rsidRPr="00E57000">
        <w:rPr>
          <w:bCs/>
        </w:rPr>
        <w:t>10. bij medische onderzoeken in kader van het bevolkingsonderzoek borstkanker</w:t>
      </w:r>
      <w:r w:rsidR="00F36553" w:rsidRPr="00E57000">
        <w:rPr>
          <w:bCs/>
        </w:rPr>
        <w:t>.</w:t>
      </w:r>
      <w:r w:rsidRPr="00E57000">
        <w:rPr>
          <w:bCs/>
        </w:rPr>
        <w:t xml:space="preserve"> </w:t>
      </w:r>
    </w:p>
    <w:p w14:paraId="24CF429D" w14:textId="6C0E1E61" w:rsidR="003A11FB" w:rsidRPr="00E57000" w:rsidRDefault="00057DE7" w:rsidP="00677A80">
      <w:pPr>
        <w:ind w:left="0"/>
        <w:rPr>
          <w:bCs/>
          <w:strike/>
        </w:rPr>
      </w:pPr>
      <w:r w:rsidRPr="00E57000">
        <w:rPr>
          <w:bCs/>
        </w:rPr>
        <w:t>§</w:t>
      </w:r>
      <w:r w:rsidR="003A11FB" w:rsidRPr="00E57000">
        <w:rPr>
          <w:bCs/>
        </w:rPr>
        <w:t>2</w:t>
      </w:r>
      <w:r w:rsidR="00E57000" w:rsidRPr="00E57000">
        <w:rPr>
          <w:bCs/>
        </w:rPr>
        <w:t>.</w:t>
      </w:r>
      <w:r w:rsidR="00367EFF" w:rsidRPr="00E57000">
        <w:rPr>
          <w:bCs/>
        </w:rPr>
        <w:t xml:space="preserve"> </w:t>
      </w:r>
      <w:r w:rsidR="003A11FB" w:rsidRPr="00E57000">
        <w:rPr>
          <w:rStyle w:val="Zwaar"/>
          <w:bCs/>
          <w:snapToGrid w:val="0"/>
        </w:rPr>
        <w:t>Het p</w:t>
      </w:r>
      <w:r w:rsidR="003A11FB" w:rsidRPr="00E57000">
        <w:rPr>
          <w:bCs/>
        </w:rPr>
        <w:t xml:space="preserve">ersoneelslid dat als voorzitter, bijzitter of </w:t>
      </w:r>
      <w:r w:rsidR="003474E1" w:rsidRPr="00E57000">
        <w:rPr>
          <w:bCs/>
        </w:rPr>
        <w:t>algemeen directeur</w:t>
      </w:r>
      <w:r w:rsidR="003A11FB" w:rsidRPr="00E57000">
        <w:rPr>
          <w:bCs/>
        </w:rPr>
        <w:t xml:space="preserve"> van een stembureau, een stemopnemingsbureau, of een hoofdstembureau optreedt bij de verkiezingen, heeft recht op dienstvrijstelling:</w:t>
      </w:r>
    </w:p>
    <w:p w14:paraId="3E3B4632" w14:textId="77777777" w:rsidR="003A11FB" w:rsidRPr="00E57000" w:rsidRDefault="003A11FB" w:rsidP="009D4C40">
      <w:pPr>
        <w:pStyle w:val="StandaardUitvullen"/>
        <w:numPr>
          <w:ilvl w:val="0"/>
          <w:numId w:val="18"/>
        </w:numPr>
        <w:rPr>
          <w:bCs/>
        </w:rPr>
      </w:pPr>
      <w:r w:rsidRPr="00E57000">
        <w:rPr>
          <w:bCs/>
        </w:rPr>
        <w:t>de dag van de verkiezingen, als hij dan moest werken;</w:t>
      </w:r>
    </w:p>
    <w:p w14:paraId="0300CFBF" w14:textId="77777777" w:rsidR="003A11FB" w:rsidRPr="00E57000" w:rsidRDefault="003A11FB" w:rsidP="009D4C40">
      <w:pPr>
        <w:pStyle w:val="StandaardUitvullen"/>
        <w:numPr>
          <w:ilvl w:val="0"/>
          <w:numId w:val="18"/>
        </w:numPr>
        <w:rPr>
          <w:bCs/>
        </w:rPr>
      </w:pPr>
      <w:r w:rsidRPr="00E57000">
        <w:rPr>
          <w:bCs/>
        </w:rPr>
        <w:t>als lid van een hoofdstembureau: de nodige tijd om de bij de kieswetgeving voorgeschreven vergaderingen van de hoofdbureaus bij te wonen;</w:t>
      </w:r>
    </w:p>
    <w:p w14:paraId="512E9539" w14:textId="2C8E17CE" w:rsidR="00E05C18" w:rsidRPr="00E57000" w:rsidRDefault="00057DE7" w:rsidP="00677A80">
      <w:pPr>
        <w:ind w:left="0"/>
        <w:rPr>
          <w:bCs/>
        </w:rPr>
      </w:pPr>
      <w:r w:rsidRPr="00E57000">
        <w:rPr>
          <w:bCs/>
        </w:rPr>
        <w:t>§</w:t>
      </w:r>
      <w:r w:rsidR="00A440FC" w:rsidRPr="00E57000">
        <w:rPr>
          <w:bCs/>
        </w:rPr>
        <w:t>3</w:t>
      </w:r>
      <w:r w:rsidR="00E57000" w:rsidRPr="00E57000">
        <w:rPr>
          <w:bCs/>
        </w:rPr>
        <w:t>.</w:t>
      </w:r>
      <w:r w:rsidR="00367EFF" w:rsidRPr="00E57000">
        <w:rPr>
          <w:bCs/>
        </w:rPr>
        <w:t xml:space="preserve"> </w:t>
      </w:r>
      <w:r w:rsidR="00E05C18" w:rsidRPr="00E57000">
        <w:rPr>
          <w:bCs/>
        </w:rPr>
        <w:t xml:space="preserve">Het personeelslid richt zijn aanvraag tot </w:t>
      </w:r>
      <w:r w:rsidR="0096136A" w:rsidRPr="00E57000">
        <w:rPr>
          <w:bCs/>
        </w:rPr>
        <w:t>de personeelsdienst</w:t>
      </w:r>
      <w:r w:rsidR="00E05C18" w:rsidRPr="00E57000">
        <w:rPr>
          <w:bCs/>
        </w:rPr>
        <w:t>.</w:t>
      </w:r>
    </w:p>
    <w:p w14:paraId="031F8674" w14:textId="02AA281C" w:rsidR="003A11FB" w:rsidRPr="00E57000" w:rsidRDefault="00057DE7" w:rsidP="00677A80">
      <w:pPr>
        <w:ind w:left="0"/>
        <w:rPr>
          <w:bCs/>
        </w:rPr>
      </w:pPr>
      <w:r w:rsidRPr="00E57000">
        <w:rPr>
          <w:bCs/>
        </w:rPr>
        <w:t>§</w:t>
      </w:r>
      <w:r w:rsidR="001802E8" w:rsidRPr="00E57000">
        <w:rPr>
          <w:bCs/>
        </w:rPr>
        <w:t>4</w:t>
      </w:r>
      <w:r w:rsidR="00E57000" w:rsidRPr="00E57000">
        <w:rPr>
          <w:bCs/>
        </w:rPr>
        <w:t>.</w:t>
      </w:r>
      <w:r w:rsidR="00367EFF" w:rsidRPr="00E57000">
        <w:rPr>
          <w:bCs/>
        </w:rPr>
        <w:t xml:space="preserve"> </w:t>
      </w:r>
      <w:r w:rsidR="00E05C18" w:rsidRPr="00E57000">
        <w:rPr>
          <w:bCs/>
        </w:rPr>
        <w:t>Elke afwezigheid met vrijstelling van dienst wordt gestaafd met een bewijsstuk of attest.</w:t>
      </w:r>
    </w:p>
    <w:p w14:paraId="6B75B2FB" w14:textId="023181EE" w:rsidR="00C95E10" w:rsidRPr="00E57000" w:rsidRDefault="00C95E10" w:rsidP="00677A80">
      <w:pPr>
        <w:ind w:left="0"/>
        <w:rPr>
          <w:bCs/>
        </w:rPr>
      </w:pPr>
      <w:r w:rsidRPr="00E57000">
        <w:rPr>
          <w:bCs/>
        </w:rPr>
        <w:t>§5</w:t>
      </w:r>
      <w:r w:rsidR="00E57000" w:rsidRPr="00E57000">
        <w:rPr>
          <w:bCs/>
        </w:rPr>
        <w:t>.</w:t>
      </w:r>
      <w:r w:rsidRPr="00E57000">
        <w:rPr>
          <w:bCs/>
        </w:rPr>
        <w:t xml:space="preserve"> Dienstvrijstelling wordt maximum tot de </w:t>
      </w:r>
      <w:proofErr w:type="spellStart"/>
      <w:r w:rsidRPr="00E57000">
        <w:rPr>
          <w:bCs/>
        </w:rPr>
        <w:t>dagnorm</w:t>
      </w:r>
      <w:proofErr w:type="spellEnd"/>
      <w:r w:rsidRPr="00E57000">
        <w:rPr>
          <w:bCs/>
        </w:rPr>
        <w:t xml:space="preserve"> toegekend</w:t>
      </w:r>
      <w:r w:rsidR="007F2E6D" w:rsidRPr="00E57000">
        <w:rPr>
          <w:bCs/>
        </w:rPr>
        <w:t>, t</w:t>
      </w:r>
      <w:r w:rsidRPr="00E57000">
        <w:rPr>
          <w:bCs/>
        </w:rPr>
        <w:t>enzij anders beslist door de algemeen directeur.</w:t>
      </w:r>
    </w:p>
    <w:p w14:paraId="1D6032C9" w14:textId="020A93A2" w:rsidR="003A11FB" w:rsidRPr="00037A46" w:rsidRDefault="003A11FB" w:rsidP="00334A21">
      <w:pPr>
        <w:spacing w:before="0" w:after="160" w:line="259" w:lineRule="auto"/>
        <w:ind w:left="0"/>
        <w:jc w:val="left"/>
        <w:rPr>
          <w:rFonts w:ascii="Calibri" w:eastAsia="Calibri" w:hAnsi="Calibri"/>
          <w:b/>
          <w:bCs/>
          <w:kern w:val="2"/>
          <w:sz w:val="22"/>
          <w:szCs w:val="22"/>
          <w:lang w:val="nl-BE" w:eastAsia="en-US"/>
          <w14:ligatures w14:val="standardContextual"/>
        </w:rPr>
      </w:pPr>
      <w:bookmarkStart w:id="264" w:name="OLE_LINK13"/>
      <w:bookmarkStart w:id="265" w:name="OLE_LINK20"/>
      <w:r w:rsidRPr="00037A46">
        <w:rPr>
          <w:rFonts w:ascii="Calibri" w:eastAsia="Calibri" w:hAnsi="Calibri"/>
          <w:b/>
          <w:bCs/>
          <w:kern w:val="2"/>
          <w:sz w:val="22"/>
          <w:szCs w:val="22"/>
          <w:lang w:val="nl-BE" w:eastAsia="en-US"/>
          <w14:ligatures w14:val="standardContextual"/>
        </w:rPr>
        <w:t xml:space="preserve">Artikel </w:t>
      </w:r>
      <w:r w:rsidR="008E0576">
        <w:rPr>
          <w:rFonts w:ascii="Calibri" w:eastAsia="Calibri" w:hAnsi="Calibri"/>
          <w:b/>
          <w:bCs/>
          <w:kern w:val="2"/>
          <w:sz w:val="22"/>
          <w:szCs w:val="22"/>
          <w:lang w:val="nl-BE" w:eastAsia="en-US"/>
          <w14:ligatures w14:val="standardContextual"/>
        </w:rPr>
        <w:t>218</w:t>
      </w:r>
    </w:p>
    <w:bookmarkEnd w:id="264"/>
    <w:bookmarkEnd w:id="265"/>
    <w:p w14:paraId="0E890D48" w14:textId="11BC83C7" w:rsidR="003A11FB" w:rsidRPr="00037A46" w:rsidRDefault="6575560A" w:rsidP="00677A80">
      <w:pPr>
        <w:pStyle w:val="StandaardUitvullen"/>
        <w:ind w:left="0"/>
      </w:pPr>
      <w:r>
        <w:t>Tijdens een dienstvrijstelling is een personeelslid tijdens de diensturen afwezig, met behoud van alle rechten</w:t>
      </w:r>
      <w:r w:rsidR="09E3A7C9">
        <w:t xml:space="preserve"> (behalve maaltijdcheques)</w:t>
      </w:r>
      <w:r>
        <w:t>. De afwezigheid wordt gelijkgesteld met een periode van dienstactiviteit.</w:t>
      </w:r>
    </w:p>
    <w:p w14:paraId="1FDDFE0A" w14:textId="09BAB3D0" w:rsidR="009B2E56" w:rsidRPr="00037A46" w:rsidRDefault="009B2E56" w:rsidP="00B44CF7">
      <w:pPr>
        <w:pStyle w:val="Kop2"/>
      </w:pPr>
      <w:r>
        <w:br w:type="page"/>
      </w:r>
      <w:bookmarkStart w:id="266" w:name="_Toc110948245"/>
      <w:bookmarkStart w:id="267" w:name="_Toc215739047"/>
      <w:r w:rsidR="10845828">
        <w:lastRenderedPageBreak/>
        <w:t xml:space="preserve">Hoofdstuk </w:t>
      </w:r>
      <w:r w:rsidR="3FAE51D8">
        <w:t>x</w:t>
      </w:r>
      <w:r w:rsidR="0CC10CB3">
        <w:t>vi</w:t>
      </w:r>
      <w:r w:rsidR="3FAE51D8">
        <w:t>.</w:t>
      </w:r>
      <w:r w:rsidR="10845828">
        <w:t xml:space="preserve"> de vrijstelling van arbeidsprestaties </w:t>
      </w:r>
      <w:r w:rsidR="4B6F44EC">
        <w:t>in het kader van de eindeloopbaanproblematiek</w:t>
      </w:r>
      <w:bookmarkEnd w:id="266"/>
      <w:bookmarkEnd w:id="267"/>
      <w:r w:rsidR="49E0EC5B">
        <w:t xml:space="preserve"> </w:t>
      </w:r>
    </w:p>
    <w:p w14:paraId="226785A0" w14:textId="40C13CB8" w:rsidR="009743CE" w:rsidRPr="00037A46" w:rsidRDefault="009743CE" w:rsidP="009743CE">
      <w:pPr>
        <w:pStyle w:val="Kop3"/>
        <w:rPr>
          <w:bCs/>
        </w:rPr>
      </w:pPr>
      <w:bookmarkStart w:id="268" w:name="_Toc110948246"/>
      <w:bookmarkStart w:id="269" w:name="_Toc215739048"/>
      <w:r w:rsidRPr="00037A46">
        <w:rPr>
          <w:bCs/>
        </w:rPr>
        <w:t>Afdeling 1. algemene bepalingen</w:t>
      </w:r>
      <w:bookmarkEnd w:id="268"/>
      <w:bookmarkEnd w:id="269"/>
    </w:p>
    <w:p w14:paraId="787E033E" w14:textId="3320310C" w:rsidR="009743CE" w:rsidRPr="00037A46" w:rsidRDefault="009743CE" w:rsidP="009743CE">
      <w:pPr>
        <w:pStyle w:val="Kop5"/>
      </w:pPr>
      <w:r w:rsidRPr="00037A46">
        <w:t xml:space="preserve">Artikel </w:t>
      </w:r>
      <w:r w:rsidR="008E0576">
        <w:t>219</w:t>
      </w:r>
    </w:p>
    <w:p w14:paraId="154F639A" w14:textId="77777777" w:rsidR="009743CE" w:rsidRPr="00037A46" w:rsidRDefault="009743CE" w:rsidP="00677A80">
      <w:pPr>
        <w:ind w:left="0"/>
      </w:pPr>
      <w:r w:rsidRPr="00037A46">
        <w:t xml:space="preserve">Het akkoord inzake de vrijstelling van arbeidsprestaties in het kader van de eindeloopbaanproblematiek is van toepassing op de werkgevers en werknemers, met uitzondering van de artsen, van: </w:t>
      </w:r>
    </w:p>
    <w:p w14:paraId="21ACCB03" w14:textId="77777777" w:rsidR="009743CE" w:rsidRPr="00037A46" w:rsidRDefault="009743CE" w:rsidP="009D4C40">
      <w:pPr>
        <w:numPr>
          <w:ilvl w:val="0"/>
          <w:numId w:val="39"/>
        </w:numPr>
      </w:pPr>
      <w:r w:rsidRPr="00037A46">
        <w:t>de psychiatrische verzorgingstehuizen;</w:t>
      </w:r>
    </w:p>
    <w:p w14:paraId="7CF4F12D" w14:textId="77777777" w:rsidR="009743CE" w:rsidRPr="00037A46" w:rsidRDefault="009743CE" w:rsidP="009D4C40">
      <w:pPr>
        <w:numPr>
          <w:ilvl w:val="0"/>
          <w:numId w:val="39"/>
        </w:numPr>
      </w:pPr>
      <w:r w:rsidRPr="00037A46">
        <w:t xml:space="preserve">de samenwerkingsverbanden voor de oprichting en het beheer van initiatieven van beschut wonen- de rusthuizen voor bejaarden, de rust- en verzorgingstehuizen en de dagverzorgingscentra </w:t>
      </w:r>
    </w:p>
    <w:p w14:paraId="5BD5494D" w14:textId="77777777" w:rsidR="009743CE" w:rsidRPr="00037A46" w:rsidRDefault="009743CE" w:rsidP="009D4C40">
      <w:pPr>
        <w:numPr>
          <w:ilvl w:val="0"/>
          <w:numId w:val="39"/>
        </w:numPr>
      </w:pPr>
      <w:r w:rsidRPr="00037A46">
        <w:t>de revalidatiecentra;</w:t>
      </w:r>
    </w:p>
    <w:p w14:paraId="2069F5DA" w14:textId="77777777" w:rsidR="009743CE" w:rsidRPr="00037A46" w:rsidRDefault="009743CE" w:rsidP="009D4C40">
      <w:pPr>
        <w:numPr>
          <w:ilvl w:val="0"/>
          <w:numId w:val="39"/>
        </w:numPr>
      </w:pPr>
      <w:r w:rsidRPr="00037A46">
        <w:t>de thuisverpleging;</w:t>
      </w:r>
    </w:p>
    <w:p w14:paraId="1C096EBC" w14:textId="77777777" w:rsidR="009743CE" w:rsidRPr="00037A46" w:rsidRDefault="009743CE" w:rsidP="009D4C40">
      <w:pPr>
        <w:numPr>
          <w:ilvl w:val="0"/>
          <w:numId w:val="39"/>
        </w:numPr>
      </w:pPr>
      <w:r w:rsidRPr="00037A46">
        <w:t xml:space="preserve">de geïntegreerde diensten voor thuisverzorging </w:t>
      </w:r>
    </w:p>
    <w:p w14:paraId="30E9E12A" w14:textId="77777777" w:rsidR="009743CE" w:rsidRPr="00037A46" w:rsidRDefault="009743CE" w:rsidP="009D4C40">
      <w:pPr>
        <w:numPr>
          <w:ilvl w:val="0"/>
          <w:numId w:val="39"/>
        </w:numPr>
      </w:pPr>
      <w:r w:rsidRPr="00037A46">
        <w:t>de diensten voor het bloed van het Rode Kruis van België;</w:t>
      </w:r>
    </w:p>
    <w:p w14:paraId="176FCAF2" w14:textId="77777777" w:rsidR="009743CE" w:rsidRPr="00037A46" w:rsidRDefault="009743CE" w:rsidP="009D4C40">
      <w:pPr>
        <w:numPr>
          <w:ilvl w:val="0"/>
          <w:numId w:val="39"/>
        </w:numPr>
      </w:pPr>
      <w:r w:rsidRPr="00037A46">
        <w:t xml:space="preserve">de medisch-pediatrische centra; </w:t>
      </w:r>
    </w:p>
    <w:p w14:paraId="36C972B7" w14:textId="77777777" w:rsidR="009743CE" w:rsidRPr="00037A46" w:rsidRDefault="009743CE" w:rsidP="009D4C40">
      <w:pPr>
        <w:numPr>
          <w:ilvl w:val="0"/>
          <w:numId w:val="39"/>
        </w:numPr>
      </w:pPr>
      <w:r w:rsidRPr="00037A46">
        <w:t xml:space="preserve">de wijkgezondheidscentra. </w:t>
      </w:r>
    </w:p>
    <w:p w14:paraId="6942B749" w14:textId="77777777" w:rsidR="009743CE" w:rsidRPr="00037A46" w:rsidRDefault="009743CE" w:rsidP="009743CE">
      <w:pPr>
        <w:pStyle w:val="StandaardUitvullen"/>
        <w:rPr>
          <w:rFonts w:cs="Arial"/>
        </w:rPr>
      </w:pPr>
      <w:r w:rsidRPr="00037A46">
        <w:rPr>
          <w:rFonts w:cs="Arial"/>
        </w:rPr>
        <w:t>Onder werknemers wordt verstaan: het mannelijk en vrouwelijk, statutaire en contractuele, arbeiders- en bediendepersoneel.</w:t>
      </w:r>
    </w:p>
    <w:p w14:paraId="3F7E5F6F" w14:textId="357787E9" w:rsidR="009743CE" w:rsidRPr="00037A46" w:rsidRDefault="009743CE" w:rsidP="009743CE">
      <w:pPr>
        <w:pStyle w:val="Kop5"/>
      </w:pPr>
      <w:r w:rsidRPr="00037A46">
        <w:t xml:space="preserve">Artikel </w:t>
      </w:r>
      <w:r w:rsidR="008E0576">
        <w:t>220</w:t>
      </w:r>
    </w:p>
    <w:p w14:paraId="6E1FFF16" w14:textId="77777777" w:rsidR="009743CE" w:rsidRPr="00037A46" w:rsidRDefault="009743CE" w:rsidP="00677A80">
      <w:pPr>
        <w:pStyle w:val="StandaardUitvullen"/>
        <w:ind w:left="0"/>
        <w:rPr>
          <w:rFonts w:cs="Arial"/>
          <w:b/>
          <w:u w:val="single"/>
        </w:rPr>
      </w:pPr>
      <w:r w:rsidRPr="00037A46">
        <w:rPr>
          <w:rFonts w:cs="Arial"/>
        </w:rPr>
        <w:t xml:space="preserve">Dit akkoord geeft uitvoering aan de punten 4 en 5 van het sociaal akkoord betreffende de federale gezondheidssectoren (publieke sector) van 18 juli 2005. </w:t>
      </w:r>
    </w:p>
    <w:p w14:paraId="5C89E00F" w14:textId="723CD55A" w:rsidR="009743CE" w:rsidRPr="00037A46" w:rsidRDefault="009743CE" w:rsidP="009743CE">
      <w:pPr>
        <w:pStyle w:val="Kop3"/>
        <w:rPr>
          <w:bCs/>
        </w:rPr>
      </w:pPr>
      <w:bookmarkStart w:id="270" w:name="_Toc110948247"/>
      <w:bookmarkStart w:id="271" w:name="_Toc215739049"/>
      <w:r w:rsidRPr="00037A46">
        <w:rPr>
          <w:bCs/>
        </w:rPr>
        <w:t>Afdeling 2. Vrijstelling van arbeidsprestaties</w:t>
      </w:r>
      <w:bookmarkEnd w:id="270"/>
      <w:bookmarkEnd w:id="271"/>
      <w:r w:rsidRPr="00037A46">
        <w:rPr>
          <w:bCs/>
        </w:rPr>
        <w:t xml:space="preserve"> </w:t>
      </w:r>
    </w:p>
    <w:p w14:paraId="30657D09" w14:textId="33899C03" w:rsidR="009743CE" w:rsidRPr="00037A46" w:rsidRDefault="009743CE" w:rsidP="009743CE">
      <w:pPr>
        <w:pStyle w:val="Kop5"/>
      </w:pPr>
      <w:r w:rsidRPr="00037A46">
        <w:t xml:space="preserve">Artikel </w:t>
      </w:r>
      <w:r w:rsidR="008E0576">
        <w:t>221</w:t>
      </w:r>
    </w:p>
    <w:p w14:paraId="407A9717" w14:textId="77777777" w:rsidR="009743CE" w:rsidRPr="00037A46" w:rsidRDefault="00313CCA" w:rsidP="00677A80">
      <w:pPr>
        <w:pStyle w:val="StandaardUitvullen"/>
        <w:ind w:left="0"/>
        <w:rPr>
          <w:rFonts w:cs="Arial"/>
        </w:rPr>
      </w:pPr>
      <w:r w:rsidRPr="00037A46">
        <w:rPr>
          <w:rFonts w:cs="Arial"/>
        </w:rPr>
        <w:t>Volgende categorieën v</w:t>
      </w:r>
      <w:r w:rsidR="009743CE" w:rsidRPr="00037A46">
        <w:rPr>
          <w:rFonts w:cs="Arial"/>
        </w:rPr>
        <w:t>allen onder de toepassing van de regeling vrij</w:t>
      </w:r>
      <w:r w:rsidRPr="00037A46">
        <w:rPr>
          <w:rFonts w:cs="Arial"/>
        </w:rPr>
        <w:t>stelling van arbeidsprestaties:</w:t>
      </w:r>
    </w:p>
    <w:p w14:paraId="3A031882" w14:textId="16214CE7" w:rsidR="009743CE" w:rsidRPr="00FD7E2F" w:rsidRDefault="009743CE" w:rsidP="00677A80">
      <w:pPr>
        <w:pStyle w:val="StandaardUitvullen"/>
        <w:ind w:left="0"/>
        <w:rPr>
          <w:rFonts w:cs="Arial"/>
          <w:bCs/>
        </w:rPr>
      </w:pPr>
      <w:r w:rsidRPr="00FD7E2F">
        <w:rPr>
          <w:rFonts w:cs="Arial"/>
          <w:bCs/>
        </w:rPr>
        <w:t>§1</w:t>
      </w:r>
      <w:r w:rsidR="00FD7E2F" w:rsidRPr="00FD7E2F">
        <w:rPr>
          <w:rFonts w:cs="Arial"/>
          <w:bCs/>
        </w:rPr>
        <w:t>.</w:t>
      </w:r>
      <w:r w:rsidRPr="00FD7E2F">
        <w:rPr>
          <w:rFonts w:cs="Arial"/>
          <w:bCs/>
        </w:rPr>
        <w:t xml:space="preserve"> Personeel behorend tot volgende groepen heeft ambtshalve recht op vrijstelling van arbeidsprestaties zoals omschreven in de artikelen 4 tot en met 6 van het desbetreffend akkoord, op voorwaarde dat ze effectief de vermelde functie uitoefenen: </w:t>
      </w:r>
    </w:p>
    <w:p w14:paraId="23D01430" w14:textId="77777777" w:rsidR="009743CE" w:rsidRPr="00FD7E2F" w:rsidRDefault="009743CE" w:rsidP="009D4C40">
      <w:pPr>
        <w:pStyle w:val="StandaardUitvullen"/>
        <w:numPr>
          <w:ilvl w:val="0"/>
          <w:numId w:val="40"/>
        </w:numPr>
        <w:rPr>
          <w:rFonts w:cs="Arial"/>
          <w:bCs/>
        </w:rPr>
      </w:pPr>
      <w:r w:rsidRPr="00FD7E2F">
        <w:rPr>
          <w:rFonts w:cs="Arial"/>
          <w:bCs/>
        </w:rPr>
        <w:t>het verpleegkundig personeel en het verzorgend personeel:</w:t>
      </w:r>
    </w:p>
    <w:p w14:paraId="00A32A91" w14:textId="77777777" w:rsidR="009743CE" w:rsidRPr="00FD7E2F" w:rsidRDefault="009743CE" w:rsidP="009D4C40">
      <w:pPr>
        <w:pStyle w:val="StandaardUitvullen"/>
        <w:numPr>
          <w:ilvl w:val="0"/>
          <w:numId w:val="40"/>
        </w:numPr>
        <w:rPr>
          <w:rFonts w:cs="Arial"/>
          <w:bCs/>
        </w:rPr>
      </w:pPr>
      <w:r w:rsidRPr="00FD7E2F">
        <w:rPr>
          <w:rFonts w:cs="Arial"/>
          <w:bCs/>
        </w:rPr>
        <w:t>de ambulanciers van de spoeddiensten die deel uitmaken van het personeel van de instellingen bedoeld in het meerjarenplan van de federale gezondheidssectoren en dit zonder belang aan de kostenplaats waaronder het personeel is opgenomen;</w:t>
      </w:r>
    </w:p>
    <w:p w14:paraId="0EA4A7D6" w14:textId="77777777" w:rsidR="009743CE" w:rsidRPr="00FD7E2F" w:rsidRDefault="009743CE" w:rsidP="009D4C40">
      <w:pPr>
        <w:pStyle w:val="StandaardUitvullen"/>
        <w:numPr>
          <w:ilvl w:val="0"/>
          <w:numId w:val="40"/>
        </w:numPr>
        <w:rPr>
          <w:rFonts w:cs="Arial"/>
          <w:bCs/>
        </w:rPr>
      </w:pPr>
      <w:r w:rsidRPr="00FD7E2F">
        <w:rPr>
          <w:rFonts w:cs="Arial"/>
          <w:bCs/>
        </w:rPr>
        <w:t>de kinesitherapeuten, ergotherapeuten, logopedisten en diëtisten;</w:t>
      </w:r>
    </w:p>
    <w:p w14:paraId="5DC78832" w14:textId="77777777" w:rsidR="009743CE" w:rsidRPr="00FD7E2F" w:rsidRDefault="009743CE" w:rsidP="009D4C40">
      <w:pPr>
        <w:pStyle w:val="StandaardUitvullen"/>
        <w:numPr>
          <w:ilvl w:val="0"/>
          <w:numId w:val="40"/>
        </w:numPr>
        <w:rPr>
          <w:rFonts w:cs="Arial"/>
          <w:bCs/>
        </w:rPr>
      </w:pPr>
      <w:r w:rsidRPr="00FD7E2F">
        <w:rPr>
          <w:rFonts w:cs="Arial"/>
          <w:bCs/>
        </w:rPr>
        <w:t>de laboratoriumtechnologen;</w:t>
      </w:r>
    </w:p>
    <w:p w14:paraId="4AC0C822" w14:textId="77777777" w:rsidR="009743CE" w:rsidRPr="00FD7E2F" w:rsidRDefault="009743CE" w:rsidP="009D4C40">
      <w:pPr>
        <w:pStyle w:val="StandaardUitvullen"/>
        <w:numPr>
          <w:ilvl w:val="0"/>
          <w:numId w:val="40"/>
        </w:numPr>
        <w:rPr>
          <w:rFonts w:cs="Arial"/>
          <w:bCs/>
        </w:rPr>
      </w:pPr>
      <w:r w:rsidRPr="00FD7E2F">
        <w:rPr>
          <w:rFonts w:cs="Arial"/>
          <w:bCs/>
        </w:rPr>
        <w:t xml:space="preserve">de technologen van medische beeldvorming; </w:t>
      </w:r>
    </w:p>
    <w:p w14:paraId="60CA99F7" w14:textId="77777777" w:rsidR="009743CE" w:rsidRPr="00FD7E2F" w:rsidRDefault="009743CE" w:rsidP="009D4C40">
      <w:pPr>
        <w:pStyle w:val="StandaardUitvullen"/>
        <w:numPr>
          <w:ilvl w:val="0"/>
          <w:numId w:val="40"/>
        </w:numPr>
        <w:rPr>
          <w:rFonts w:cs="Arial"/>
          <w:bCs/>
        </w:rPr>
      </w:pPr>
      <w:r w:rsidRPr="00FD7E2F">
        <w:rPr>
          <w:rFonts w:cs="Arial"/>
          <w:bCs/>
        </w:rPr>
        <w:t xml:space="preserve">de technici van medisch materiaal (inzonderheid in de sterilisatiediensten); </w:t>
      </w:r>
    </w:p>
    <w:p w14:paraId="57817BDC" w14:textId="77777777" w:rsidR="009743CE" w:rsidRPr="00FD7E2F" w:rsidRDefault="009743CE" w:rsidP="009D4C40">
      <w:pPr>
        <w:pStyle w:val="StandaardUitvullen"/>
        <w:numPr>
          <w:ilvl w:val="0"/>
          <w:numId w:val="40"/>
        </w:numPr>
        <w:rPr>
          <w:rFonts w:cs="Arial"/>
          <w:bCs/>
        </w:rPr>
      </w:pPr>
      <w:r w:rsidRPr="00FD7E2F">
        <w:rPr>
          <w:rFonts w:cs="Arial"/>
          <w:bCs/>
        </w:rPr>
        <w:t>de medewerkers patiëntenvervoer;</w:t>
      </w:r>
    </w:p>
    <w:p w14:paraId="1D798CAD" w14:textId="77777777" w:rsidR="009743CE" w:rsidRPr="00FD7E2F" w:rsidRDefault="009743CE" w:rsidP="009D4C40">
      <w:pPr>
        <w:pStyle w:val="StandaardUitvullen"/>
        <w:numPr>
          <w:ilvl w:val="0"/>
          <w:numId w:val="40"/>
        </w:numPr>
        <w:rPr>
          <w:rFonts w:cs="Arial"/>
          <w:bCs/>
        </w:rPr>
      </w:pPr>
      <w:r w:rsidRPr="00FD7E2F">
        <w:rPr>
          <w:rFonts w:cs="Arial"/>
          <w:bCs/>
        </w:rPr>
        <w:t xml:space="preserve">de opvoeders en het begeleidend personeel geïntegreerd in de zorgteams; </w:t>
      </w:r>
    </w:p>
    <w:p w14:paraId="5B1695F3" w14:textId="77777777" w:rsidR="009743CE" w:rsidRPr="00FD7E2F" w:rsidRDefault="009743CE" w:rsidP="009D4C40">
      <w:pPr>
        <w:pStyle w:val="StandaardUitvullen"/>
        <w:numPr>
          <w:ilvl w:val="0"/>
          <w:numId w:val="40"/>
        </w:numPr>
        <w:rPr>
          <w:rFonts w:cs="Arial"/>
          <w:bCs/>
        </w:rPr>
      </w:pPr>
      <w:r w:rsidRPr="00FD7E2F">
        <w:rPr>
          <w:rFonts w:cs="Arial"/>
          <w:bCs/>
        </w:rPr>
        <w:t>de sociaal verpleegkundigen;</w:t>
      </w:r>
    </w:p>
    <w:p w14:paraId="0C836199" w14:textId="77777777" w:rsidR="009743CE" w:rsidRPr="00FD7E2F" w:rsidRDefault="009743CE" w:rsidP="009D4C40">
      <w:pPr>
        <w:pStyle w:val="StandaardUitvullen"/>
        <w:numPr>
          <w:ilvl w:val="0"/>
          <w:numId w:val="40"/>
        </w:numPr>
        <w:rPr>
          <w:rFonts w:cs="Arial"/>
          <w:bCs/>
        </w:rPr>
      </w:pPr>
      <w:r w:rsidRPr="00FD7E2F">
        <w:rPr>
          <w:rFonts w:cs="Arial"/>
          <w:bCs/>
        </w:rPr>
        <w:lastRenderedPageBreak/>
        <w:t xml:space="preserve">de logistieke assistenten; </w:t>
      </w:r>
    </w:p>
    <w:p w14:paraId="2743E7A7" w14:textId="77777777" w:rsidR="009743CE" w:rsidRPr="00FD7E2F" w:rsidRDefault="009743CE" w:rsidP="009D4C40">
      <w:pPr>
        <w:pStyle w:val="StandaardUitvullen"/>
        <w:numPr>
          <w:ilvl w:val="0"/>
          <w:numId w:val="40"/>
        </w:numPr>
        <w:rPr>
          <w:rFonts w:cs="Arial"/>
          <w:bCs/>
        </w:rPr>
      </w:pPr>
      <w:r w:rsidRPr="00FD7E2F">
        <w:rPr>
          <w:rFonts w:cs="Arial"/>
          <w:bCs/>
        </w:rPr>
        <w:t>de maatschappelijk assistenten en psychologische assistenten tewerkgesteld in de zorgteams of geïntegreerd in het therapeutisch programma;</w:t>
      </w:r>
    </w:p>
    <w:p w14:paraId="731AA691" w14:textId="77777777" w:rsidR="009743CE" w:rsidRPr="00FD7E2F" w:rsidRDefault="009743CE" w:rsidP="009D4C40">
      <w:pPr>
        <w:pStyle w:val="StandaardUitvullen"/>
        <w:numPr>
          <w:ilvl w:val="0"/>
          <w:numId w:val="40"/>
        </w:numPr>
        <w:rPr>
          <w:rFonts w:cs="Arial"/>
          <w:bCs/>
        </w:rPr>
      </w:pPr>
      <w:r w:rsidRPr="00FD7E2F">
        <w:rPr>
          <w:rFonts w:cs="Arial"/>
          <w:bCs/>
        </w:rPr>
        <w:t>de ziekenhuisassistenten;</w:t>
      </w:r>
    </w:p>
    <w:p w14:paraId="6074EBA8" w14:textId="77777777" w:rsidR="009743CE" w:rsidRPr="00FD7E2F" w:rsidRDefault="009743CE" w:rsidP="009D4C40">
      <w:pPr>
        <w:pStyle w:val="StandaardUitvullen"/>
        <w:numPr>
          <w:ilvl w:val="0"/>
          <w:numId w:val="40"/>
        </w:numPr>
        <w:rPr>
          <w:rFonts w:cs="Arial"/>
          <w:bCs/>
        </w:rPr>
      </w:pPr>
      <w:r w:rsidRPr="00FD7E2F">
        <w:rPr>
          <w:rFonts w:cs="Arial"/>
          <w:bCs/>
        </w:rPr>
        <w:t>de werknemers bedoeld in de artikelen 54bis en 54ter van het koninklijk besluit nr. 78 van 10 november 1967;</w:t>
      </w:r>
    </w:p>
    <w:p w14:paraId="008163ED" w14:textId="77777777" w:rsidR="009743CE" w:rsidRPr="00FD7E2F" w:rsidRDefault="009743CE" w:rsidP="009D4C40">
      <w:pPr>
        <w:pStyle w:val="StandaardUitvullen"/>
        <w:numPr>
          <w:ilvl w:val="0"/>
          <w:numId w:val="40"/>
        </w:numPr>
        <w:rPr>
          <w:rFonts w:cs="Arial"/>
          <w:bCs/>
        </w:rPr>
      </w:pPr>
      <w:r w:rsidRPr="00FD7E2F">
        <w:rPr>
          <w:rFonts w:cs="Arial"/>
          <w:bCs/>
        </w:rPr>
        <w:t>de psychologen, orthopedagogen en pedagogen tewerkgesteld in de zorgteams of geïntegreerd in het therapeutisch programma.</w:t>
      </w:r>
    </w:p>
    <w:p w14:paraId="6CDD6ACE" w14:textId="29511BD9" w:rsidR="009743CE" w:rsidRPr="00037A46" w:rsidRDefault="009743CE" w:rsidP="00677A80">
      <w:pPr>
        <w:pStyle w:val="StandaardUitvullen"/>
        <w:ind w:left="0"/>
        <w:rPr>
          <w:rFonts w:cs="Arial"/>
        </w:rPr>
      </w:pPr>
      <w:r w:rsidRPr="00FD7E2F">
        <w:rPr>
          <w:rFonts w:cs="Arial"/>
          <w:bCs/>
        </w:rPr>
        <w:t>§2</w:t>
      </w:r>
      <w:r w:rsidR="00FD7E2F" w:rsidRPr="00FD7E2F">
        <w:rPr>
          <w:rFonts w:cs="Arial"/>
          <w:bCs/>
        </w:rPr>
        <w:t>.</w:t>
      </w:r>
      <w:r w:rsidRPr="00037A46">
        <w:rPr>
          <w:rFonts w:cs="Arial"/>
        </w:rPr>
        <w:t xml:space="preserve"> Het gelijkgesteld personeel </w:t>
      </w:r>
    </w:p>
    <w:p w14:paraId="0557574D" w14:textId="77777777" w:rsidR="009743CE" w:rsidRPr="00037A46" w:rsidRDefault="009743CE" w:rsidP="00677A80">
      <w:pPr>
        <w:pStyle w:val="StandaardUitvullen"/>
        <w:ind w:left="0"/>
        <w:rPr>
          <w:rFonts w:cs="Arial"/>
        </w:rPr>
      </w:pPr>
      <w:r w:rsidRPr="00037A46">
        <w:rPr>
          <w:rFonts w:cs="Arial"/>
        </w:rPr>
        <w:t xml:space="preserve">Onder gelijkgesteld personeel wordt verstaan, de werknemers die niet behoren tot bovenstaande lijst en gedurende de referentieperiode van 24 maanden die voorafgaat aan de maand waarin zij de leeftijd van 45, 50 of 55 jaar bereiken, minstens 200 uren prestaties hebben verricht bij dezelfde werkgever, in één of meerdere functies, waarvoor een vergoeding voor onregelmatige prestaties (zondag, zaterdag, feestdag, nachtdienst of onderbroken diensten), of een andere bij akkoord vastgelegde vergoeding werd betaald of de overeenstemmende compensatierust werd toegekend. </w:t>
      </w:r>
    </w:p>
    <w:p w14:paraId="02BCDF32" w14:textId="5D2AE504" w:rsidR="009743CE" w:rsidRPr="00BD4A15" w:rsidRDefault="009743CE" w:rsidP="00677A80">
      <w:pPr>
        <w:pStyle w:val="StandaardUitvullen"/>
        <w:ind w:left="0"/>
        <w:rPr>
          <w:rFonts w:cs="Arial"/>
        </w:rPr>
      </w:pPr>
      <w:r w:rsidRPr="00037A46">
        <w:rPr>
          <w:rFonts w:cs="Arial"/>
        </w:rPr>
        <w:t xml:space="preserve">De werknemer die geen 200 uren onregelmatige prestaties heeft verricht bij dezelfde werkgever, op het ogenblik dat hij 45, 50 of 55 jaar wordt, verwerft het statuut van gelijkgesteld personeel en dus het recht op de vrijstelling van arbeidsprestaties, van zodra hij alsnog binnen elke periode van 24 maanden deze 200 uren heeft verricht, volgens de modaliteiten bepaald </w:t>
      </w:r>
      <w:r w:rsidRPr="00BD4A15">
        <w:rPr>
          <w:rFonts w:cs="Arial"/>
        </w:rPr>
        <w:t xml:space="preserve">in artikel </w:t>
      </w:r>
      <w:r w:rsidR="00A61D4D" w:rsidRPr="00BD4A15">
        <w:rPr>
          <w:rFonts w:cs="Arial"/>
        </w:rPr>
        <w:t>241</w:t>
      </w:r>
      <w:r w:rsidRPr="00BD4A15">
        <w:rPr>
          <w:rFonts w:cs="Arial"/>
        </w:rPr>
        <w:t xml:space="preserve"> § 3. </w:t>
      </w:r>
    </w:p>
    <w:p w14:paraId="22CB39D0" w14:textId="77777777" w:rsidR="009743CE" w:rsidRPr="00BD4A15" w:rsidRDefault="009743CE" w:rsidP="00677A80">
      <w:pPr>
        <w:pStyle w:val="StandaardUitvullen"/>
        <w:ind w:left="0"/>
        <w:rPr>
          <w:rFonts w:cs="Arial"/>
        </w:rPr>
      </w:pPr>
      <w:r w:rsidRPr="00BD4A15">
        <w:rPr>
          <w:rFonts w:cs="Arial"/>
        </w:rPr>
        <w:t xml:space="preserve">Voor de deeltijds tewerkgestelde werknemers worden deze 200 uren onregelmatige prestaties berekend naar rata van de arbeidsduur voorzien door het statuut of het contract op het ogenblik dat het recht geopend wordt. </w:t>
      </w:r>
    </w:p>
    <w:p w14:paraId="6975A054" w14:textId="6FDB832C" w:rsidR="009743CE" w:rsidRPr="00BD4A15" w:rsidRDefault="00CD010E" w:rsidP="009743CE">
      <w:pPr>
        <w:pStyle w:val="Kop5"/>
      </w:pPr>
      <w:r w:rsidRPr="00BD4A15">
        <w:t xml:space="preserve">Artikel </w:t>
      </w:r>
      <w:r w:rsidR="008E0576" w:rsidRPr="00BD4A15">
        <w:t>222</w:t>
      </w:r>
    </w:p>
    <w:p w14:paraId="60949719" w14:textId="17481E63" w:rsidR="009743CE" w:rsidRPr="00831F5A" w:rsidRDefault="009743CE" w:rsidP="00677A80">
      <w:pPr>
        <w:pStyle w:val="StandaardUitvullen"/>
        <w:ind w:left="0"/>
        <w:rPr>
          <w:rFonts w:cs="Arial"/>
          <w:bCs/>
        </w:rPr>
      </w:pPr>
      <w:r w:rsidRPr="00831F5A">
        <w:rPr>
          <w:rFonts w:cs="Arial"/>
          <w:bCs/>
        </w:rPr>
        <w:t>§1</w:t>
      </w:r>
      <w:r w:rsidR="00831F5A" w:rsidRPr="00831F5A">
        <w:rPr>
          <w:rFonts w:cs="Arial"/>
          <w:bCs/>
        </w:rPr>
        <w:t>.</w:t>
      </w:r>
      <w:r w:rsidRPr="00831F5A">
        <w:rPr>
          <w:rFonts w:cs="Arial"/>
          <w:bCs/>
        </w:rPr>
        <w:t xml:space="preserve"> Het voltijds personeel, bedoeld in artikel </w:t>
      </w:r>
      <w:r w:rsidR="00A61D4D" w:rsidRPr="00831F5A">
        <w:rPr>
          <w:rFonts w:cs="Arial"/>
          <w:bCs/>
        </w:rPr>
        <w:t>221</w:t>
      </w:r>
      <w:r w:rsidRPr="00831F5A">
        <w:rPr>
          <w:rFonts w:cs="Arial"/>
          <w:bCs/>
        </w:rPr>
        <w:t xml:space="preserve">, dat de leeftijd van 45 jaar heeft bereikt, heeft recht op toekenning van vrijstelling van prestaties van zijn gemiddelde wekelijkse arbeidstijd onder de vorm van 96 betaalde uren van vrijstelling van prestaties per jaar, toegekend volgens de modaliteiten van artikel </w:t>
      </w:r>
      <w:r w:rsidR="00A61D4D" w:rsidRPr="00831F5A">
        <w:rPr>
          <w:rFonts w:cs="Arial"/>
          <w:bCs/>
        </w:rPr>
        <w:t>226</w:t>
      </w:r>
      <w:r w:rsidRPr="00831F5A">
        <w:rPr>
          <w:rFonts w:cs="Arial"/>
          <w:bCs/>
        </w:rPr>
        <w:t xml:space="preserve">. </w:t>
      </w:r>
    </w:p>
    <w:p w14:paraId="3F757917" w14:textId="49A191CB" w:rsidR="009743CE" w:rsidRPr="00831F5A" w:rsidRDefault="009743CE" w:rsidP="009743CE">
      <w:pPr>
        <w:pStyle w:val="StandaardUitvullen"/>
        <w:rPr>
          <w:rFonts w:cs="Arial"/>
          <w:bCs/>
        </w:rPr>
      </w:pPr>
      <w:r w:rsidRPr="00831F5A">
        <w:rPr>
          <w:rFonts w:cs="Arial"/>
          <w:bCs/>
        </w:rPr>
        <w:t xml:space="preserve">Voor het deeltijds personeel, bedoeld in artikel </w:t>
      </w:r>
      <w:r w:rsidR="00A61D4D" w:rsidRPr="00831F5A">
        <w:rPr>
          <w:rFonts w:cs="Arial"/>
          <w:bCs/>
        </w:rPr>
        <w:t>221</w:t>
      </w:r>
      <w:r w:rsidRPr="00831F5A">
        <w:rPr>
          <w:rFonts w:cs="Arial"/>
          <w:bCs/>
        </w:rPr>
        <w:t xml:space="preserve">, dat de leeftijd van 45 jaar heeft bereikt, wordt het aantal uren vrijstelling van prestaties berekend volgens de formule: </w:t>
      </w:r>
    </w:p>
    <w:p w14:paraId="18B34D7C" w14:textId="77777777" w:rsidR="009743CE" w:rsidRPr="00831F5A" w:rsidRDefault="009743CE" w:rsidP="009743CE">
      <w:pPr>
        <w:pStyle w:val="StandaardUitvullen"/>
        <w:rPr>
          <w:rFonts w:cs="Arial"/>
          <w:bCs/>
        </w:rPr>
      </w:pPr>
      <w:r w:rsidRPr="00831F5A">
        <w:rPr>
          <w:rFonts w:cs="Arial"/>
          <w:bCs/>
        </w:rPr>
        <w:t xml:space="preserve">X = 96 x Y/Z </w:t>
      </w:r>
    </w:p>
    <w:p w14:paraId="31B057A1" w14:textId="77777777" w:rsidR="009743CE" w:rsidRPr="00831F5A" w:rsidRDefault="009743CE" w:rsidP="009743CE">
      <w:pPr>
        <w:pStyle w:val="StandaardUitvullen"/>
        <w:rPr>
          <w:rFonts w:cs="Arial"/>
          <w:bCs/>
        </w:rPr>
      </w:pPr>
      <w:r w:rsidRPr="00831F5A">
        <w:rPr>
          <w:rFonts w:cs="Arial"/>
          <w:bCs/>
        </w:rPr>
        <w:t xml:space="preserve">waarbij: </w:t>
      </w:r>
    </w:p>
    <w:p w14:paraId="551E7D33" w14:textId="77777777" w:rsidR="009743CE" w:rsidRPr="00831F5A" w:rsidRDefault="009743CE" w:rsidP="009743CE">
      <w:pPr>
        <w:pStyle w:val="StandaardUitvullen"/>
        <w:rPr>
          <w:rFonts w:cs="Arial"/>
          <w:bCs/>
        </w:rPr>
      </w:pPr>
      <w:r w:rsidRPr="00831F5A">
        <w:rPr>
          <w:rFonts w:cs="Arial"/>
          <w:bCs/>
        </w:rPr>
        <w:t xml:space="preserve">X = het aantal uren vrijstelling van prestaties </w:t>
      </w:r>
    </w:p>
    <w:p w14:paraId="0DB5F2D5" w14:textId="77777777" w:rsidR="009743CE" w:rsidRPr="00831F5A" w:rsidRDefault="009743CE" w:rsidP="009743CE">
      <w:pPr>
        <w:pStyle w:val="StandaardUitvullen"/>
        <w:rPr>
          <w:rFonts w:cs="Arial"/>
          <w:bCs/>
        </w:rPr>
      </w:pPr>
      <w:r w:rsidRPr="00831F5A">
        <w:rPr>
          <w:rFonts w:cs="Arial"/>
          <w:bCs/>
        </w:rPr>
        <w:t>Y = de contractuele of statutaire wekelijkse arbeidsduur van de werknemer</w:t>
      </w:r>
    </w:p>
    <w:p w14:paraId="257A6508" w14:textId="143FCF57" w:rsidR="009743CE" w:rsidRPr="00831F5A" w:rsidRDefault="73CF23D8" w:rsidP="4FB77E70">
      <w:pPr>
        <w:pStyle w:val="StandaardUitvullen"/>
        <w:rPr>
          <w:rFonts w:cs="Arial"/>
          <w:bCs/>
        </w:rPr>
      </w:pPr>
      <w:r w:rsidRPr="00831F5A">
        <w:rPr>
          <w:rFonts w:cs="Arial"/>
          <w:bCs/>
        </w:rPr>
        <w:t xml:space="preserve">Z = de contractuele of statutaire wekelijkse arbeidsduur voor een voltijdse werknemer in de instelling. </w:t>
      </w:r>
    </w:p>
    <w:p w14:paraId="4A921F76" w14:textId="2D224717" w:rsidR="009743CE" w:rsidRPr="00037A46" w:rsidRDefault="73CF23D8" w:rsidP="00677A80">
      <w:pPr>
        <w:pStyle w:val="StandaardUitvullen"/>
        <w:ind w:left="0"/>
        <w:rPr>
          <w:rFonts w:cs="Arial"/>
        </w:rPr>
      </w:pPr>
      <w:r w:rsidRPr="00831F5A">
        <w:rPr>
          <w:rFonts w:cs="Arial"/>
          <w:bCs/>
        </w:rPr>
        <w:t>§2</w:t>
      </w:r>
      <w:r w:rsidR="00831F5A" w:rsidRPr="00831F5A">
        <w:rPr>
          <w:rFonts w:cs="Arial"/>
          <w:bCs/>
        </w:rPr>
        <w:t>.</w:t>
      </w:r>
      <w:r w:rsidRPr="00831F5A">
        <w:rPr>
          <w:rFonts w:cs="Arial"/>
          <w:bCs/>
        </w:rPr>
        <w:t xml:space="preserve"> Het personeel, bedoeld in artikel </w:t>
      </w:r>
      <w:r w:rsidR="00A61D4D" w:rsidRPr="00831F5A">
        <w:rPr>
          <w:rFonts w:cs="Arial"/>
          <w:bCs/>
        </w:rPr>
        <w:t>221</w:t>
      </w:r>
      <w:r w:rsidRPr="00831F5A">
        <w:rPr>
          <w:rFonts w:cs="Arial"/>
          <w:bCs/>
        </w:rPr>
        <w:t>, kan evenwel opteren voor het behoud van prestaties conform zijn wekelijkse arbeidstijd voorzien door het statuut of het contract. Als tegenwaarde hiervan heeft het personeelslid recht op een premie, gelijk aan 5,26 %, berekend op zijn loon. Vanaf de datum bedoeld in artikel 15 hebben</w:t>
      </w:r>
      <w:r w:rsidRPr="00BD4A15">
        <w:rPr>
          <w:rFonts w:cs="Arial"/>
        </w:rPr>
        <w:t xml:space="preserve"> de werknemers geen mogelijkheid meer om te opteren voor de premie van 5,26 % en het behoud van prestaties, met uitzondering van het verpleegkundig personeel, evenals de verpleegkundige </w:t>
      </w:r>
      <w:r w:rsidR="00D350B6" w:rsidRPr="00BD4A15">
        <w:rPr>
          <w:rFonts w:cs="Arial"/>
        </w:rPr>
        <w:t>teamverantwoordelijk</w:t>
      </w:r>
      <w:r w:rsidRPr="00BD4A15">
        <w:rPr>
          <w:rFonts w:cs="Arial"/>
        </w:rPr>
        <w:t>en en adjunct-</w:t>
      </w:r>
      <w:r w:rsidR="00D350B6" w:rsidRPr="00BD4A15">
        <w:rPr>
          <w:rFonts w:cs="Arial"/>
        </w:rPr>
        <w:t>teamverantwoordelijke</w:t>
      </w:r>
      <w:r w:rsidRPr="00BD4A15">
        <w:rPr>
          <w:rFonts w:cs="Arial"/>
        </w:rPr>
        <w:t xml:space="preserve">n, zoals bedoeld in artikel </w:t>
      </w:r>
      <w:r w:rsidR="00A61D4D" w:rsidRPr="00BD4A15">
        <w:rPr>
          <w:rFonts w:cs="Arial"/>
        </w:rPr>
        <w:t>221</w:t>
      </w:r>
      <w:r w:rsidRPr="00BD4A15">
        <w:rPr>
          <w:rFonts w:cs="Arial"/>
        </w:rPr>
        <w:t>.</w:t>
      </w:r>
      <w:r w:rsidRPr="4FB77E70">
        <w:rPr>
          <w:rFonts w:cs="Arial"/>
        </w:rPr>
        <w:t xml:space="preserve"> </w:t>
      </w:r>
    </w:p>
    <w:p w14:paraId="62CDBBE5" w14:textId="382DED2C" w:rsidR="009743CE" w:rsidRPr="00037A46" w:rsidRDefault="009743CE" w:rsidP="00677A80">
      <w:pPr>
        <w:pStyle w:val="StandaardUitvullen"/>
        <w:ind w:left="0"/>
        <w:rPr>
          <w:rFonts w:cs="Arial"/>
        </w:rPr>
      </w:pPr>
      <w:r w:rsidRPr="00037A46">
        <w:rPr>
          <w:rFonts w:cs="Arial"/>
        </w:rPr>
        <w:t>Evenwel behoudt het personeel dat</w:t>
      </w:r>
      <w:r w:rsidR="00F87511" w:rsidRPr="00037A46">
        <w:rPr>
          <w:rFonts w:cs="Arial"/>
        </w:rPr>
        <w:t>,</w:t>
      </w:r>
      <w:r w:rsidRPr="00037A46">
        <w:rPr>
          <w:rFonts w:cs="Arial"/>
        </w:rPr>
        <w:t xml:space="preserve"> voor de datum </w:t>
      </w:r>
      <w:r w:rsidRPr="00C94728">
        <w:rPr>
          <w:rFonts w:cs="Arial"/>
        </w:rPr>
        <w:t xml:space="preserve">bedoeld in artikel </w:t>
      </w:r>
      <w:r w:rsidR="00A61D4D">
        <w:rPr>
          <w:rFonts w:cs="Arial"/>
        </w:rPr>
        <w:t>232</w:t>
      </w:r>
      <w:r w:rsidR="00F87511" w:rsidRPr="00C94728">
        <w:rPr>
          <w:rFonts w:cs="Arial"/>
        </w:rPr>
        <w:t>,</w:t>
      </w:r>
      <w:r w:rsidRPr="00C94728">
        <w:rPr>
          <w:rFonts w:cs="Arial"/>
        </w:rPr>
        <w:t xml:space="preserve"> ressorteerde</w:t>
      </w:r>
      <w:r w:rsidRPr="00037A46">
        <w:rPr>
          <w:rFonts w:cs="Arial"/>
        </w:rPr>
        <w:t xml:space="preserve"> onder het toepassingsgebied van het sectoraal akkoord van 29 juni 2001 over de uitvoering van het federaal meerjarenplan voor de openbare gezondheidssector wat betreft de maatregelen inzake vrijstelling van </w:t>
      </w:r>
      <w:r w:rsidRPr="00037A46">
        <w:rPr>
          <w:rFonts w:cs="Arial"/>
        </w:rPr>
        <w:lastRenderedPageBreak/>
        <w:t xml:space="preserve">arbeidsprestaties en eindeloopbaan en dat heeft gekozen voor de premie bedoeld in voormeld akkoord, het recht op deze premie. </w:t>
      </w:r>
    </w:p>
    <w:p w14:paraId="09AE2BB8" w14:textId="184B972B" w:rsidR="009743CE" w:rsidRPr="00831F5A" w:rsidRDefault="009743CE" w:rsidP="00677A80">
      <w:pPr>
        <w:pStyle w:val="StandaardUitvullen"/>
        <w:ind w:left="0"/>
        <w:rPr>
          <w:rFonts w:cs="Arial"/>
          <w:bCs/>
        </w:rPr>
      </w:pPr>
      <w:r w:rsidRPr="00831F5A">
        <w:rPr>
          <w:rFonts w:cs="Arial"/>
          <w:bCs/>
        </w:rPr>
        <w:t>§3</w:t>
      </w:r>
      <w:r w:rsidR="00831F5A" w:rsidRPr="00831F5A">
        <w:rPr>
          <w:rFonts w:cs="Arial"/>
          <w:bCs/>
        </w:rPr>
        <w:t>.</w:t>
      </w:r>
      <w:r w:rsidRPr="00831F5A">
        <w:rPr>
          <w:rFonts w:cs="Arial"/>
          <w:bCs/>
        </w:rPr>
        <w:t xml:space="preserve"> De voltijdse werknemers die in uitvoering van dit akkoord vrijgesteld zijn van prestaties, blijven steeds beschouwd als werknemers met een voltijdse arbeidsovereenkomst of voltijdse statutaire aanstelling. </w:t>
      </w:r>
    </w:p>
    <w:p w14:paraId="79CFD80E" w14:textId="77777777" w:rsidR="009743CE" w:rsidRPr="00831F5A" w:rsidRDefault="009743CE" w:rsidP="00677A80">
      <w:pPr>
        <w:pStyle w:val="StandaardUitvullen"/>
        <w:ind w:left="0"/>
        <w:rPr>
          <w:rFonts w:cs="Arial"/>
          <w:bCs/>
        </w:rPr>
      </w:pPr>
      <w:r w:rsidRPr="00831F5A">
        <w:rPr>
          <w:rFonts w:cs="Arial"/>
          <w:bCs/>
        </w:rPr>
        <w:t xml:space="preserve">De deeltijdse werknemers die in uitvoering van dit akkoord vrijgesteld zijn van prestaties, blijven beschouwd als werknemers die hun arbeidstijd voorzien door het statuut of het contract behouden. </w:t>
      </w:r>
    </w:p>
    <w:p w14:paraId="35A0835A" w14:textId="54A68305" w:rsidR="009743CE" w:rsidRPr="00037A46" w:rsidRDefault="009743CE" w:rsidP="00677A80">
      <w:pPr>
        <w:pStyle w:val="StandaardUitvullen"/>
        <w:ind w:left="0"/>
        <w:rPr>
          <w:rFonts w:cs="Arial"/>
        </w:rPr>
      </w:pPr>
      <w:r w:rsidRPr="00831F5A">
        <w:rPr>
          <w:rFonts w:cs="Arial"/>
          <w:bCs/>
        </w:rPr>
        <w:t>§4</w:t>
      </w:r>
      <w:r w:rsidR="00831F5A" w:rsidRPr="00831F5A">
        <w:rPr>
          <w:rFonts w:cs="Arial"/>
          <w:bCs/>
        </w:rPr>
        <w:t>.</w:t>
      </w:r>
      <w:r w:rsidRPr="00831F5A">
        <w:rPr>
          <w:rFonts w:cs="Arial"/>
          <w:bCs/>
        </w:rPr>
        <w:t xml:space="preserve"> In onderling akkoord tussen de werknemer en de werkgever kan voor de deeltijds tewerkgestelde werknemer</w:t>
      </w:r>
      <w:r w:rsidRPr="00831F5A">
        <w:rPr>
          <w:rFonts w:cs="Arial"/>
        </w:rPr>
        <w:t xml:space="preserve"> de vastgelegde arbeidsduur voorzien door het contract of de benoemingsakte worden verhoogd</w:t>
      </w:r>
      <w:r w:rsidRPr="00037A46">
        <w:rPr>
          <w:rFonts w:cs="Arial"/>
        </w:rPr>
        <w:t xml:space="preserve"> met het aantal uren vrijstelling van prestaties waarvan de deeltijdse werknemer kan genieten op basis van de oorspronkelijke arbeidstijd voorzien door het contract of de benoemingsakte. </w:t>
      </w:r>
    </w:p>
    <w:p w14:paraId="69DBEDAF" w14:textId="381AF41D" w:rsidR="009743CE" w:rsidRPr="00037A46" w:rsidRDefault="00CD010E" w:rsidP="009743CE">
      <w:pPr>
        <w:pStyle w:val="Kop5"/>
      </w:pPr>
      <w:r w:rsidRPr="00037A46">
        <w:t xml:space="preserve">Artikel </w:t>
      </w:r>
      <w:r w:rsidR="008E0576">
        <w:t>223</w:t>
      </w:r>
    </w:p>
    <w:p w14:paraId="353A322F" w14:textId="55DB73C9" w:rsidR="009743CE" w:rsidRPr="00831F5A" w:rsidRDefault="00F107B4" w:rsidP="00677A80">
      <w:pPr>
        <w:pStyle w:val="StandaardUitvullen"/>
        <w:ind w:left="0"/>
        <w:rPr>
          <w:rFonts w:cs="Arial"/>
          <w:bCs/>
        </w:rPr>
      </w:pPr>
      <w:r w:rsidRPr="00831F5A">
        <w:rPr>
          <w:rFonts w:cs="Arial"/>
          <w:bCs/>
        </w:rPr>
        <w:t>§1</w:t>
      </w:r>
      <w:r w:rsidR="00831F5A" w:rsidRPr="00831F5A">
        <w:rPr>
          <w:rFonts w:cs="Arial"/>
          <w:bCs/>
        </w:rPr>
        <w:t>.</w:t>
      </w:r>
      <w:r w:rsidR="009743CE" w:rsidRPr="00831F5A">
        <w:rPr>
          <w:rFonts w:cs="Arial"/>
          <w:bCs/>
        </w:rPr>
        <w:t xml:space="preserve"> Het voltijds personeel, bedoeld in artikel </w:t>
      </w:r>
      <w:r w:rsidR="00A61D4D" w:rsidRPr="00831F5A">
        <w:rPr>
          <w:rFonts w:cs="Arial"/>
          <w:bCs/>
        </w:rPr>
        <w:t>221</w:t>
      </w:r>
      <w:r w:rsidR="009743CE" w:rsidRPr="00831F5A">
        <w:rPr>
          <w:rFonts w:cs="Arial"/>
          <w:bCs/>
        </w:rPr>
        <w:t xml:space="preserve">, dat de leeftijd van 50 jaar heeft bereikt, heeft recht op toekenning van vrijstelling van prestaties van zijn gemiddelde wekelijkse arbeidstijd onder de vorm van 192 betaalde uren van vrijstelling van prestaties per jaar, met inbegrip van de uren vrijstelling van prestaties bedoeld in artikel </w:t>
      </w:r>
      <w:r w:rsidR="00A61D4D" w:rsidRPr="00831F5A">
        <w:rPr>
          <w:rFonts w:cs="Arial"/>
          <w:bCs/>
        </w:rPr>
        <w:t>222</w:t>
      </w:r>
      <w:r w:rsidR="009743CE" w:rsidRPr="00831F5A">
        <w:rPr>
          <w:rFonts w:cs="Arial"/>
          <w:bCs/>
        </w:rPr>
        <w:t xml:space="preserve"> en toegekend volgens de modaliteiten van artikel </w:t>
      </w:r>
      <w:r w:rsidR="00A61D4D" w:rsidRPr="00831F5A">
        <w:rPr>
          <w:rFonts w:cs="Arial"/>
          <w:bCs/>
        </w:rPr>
        <w:t>226</w:t>
      </w:r>
      <w:r w:rsidR="009743CE" w:rsidRPr="00831F5A">
        <w:rPr>
          <w:rFonts w:cs="Arial"/>
          <w:bCs/>
        </w:rPr>
        <w:t xml:space="preserve">. </w:t>
      </w:r>
    </w:p>
    <w:p w14:paraId="14A40639" w14:textId="46076B51" w:rsidR="009743CE" w:rsidRPr="00831F5A" w:rsidRDefault="009743CE" w:rsidP="009743CE">
      <w:pPr>
        <w:pStyle w:val="StandaardUitvullen"/>
        <w:rPr>
          <w:rFonts w:cs="Arial"/>
          <w:bCs/>
        </w:rPr>
      </w:pPr>
      <w:r w:rsidRPr="00831F5A">
        <w:rPr>
          <w:rFonts w:cs="Arial"/>
          <w:bCs/>
        </w:rPr>
        <w:t xml:space="preserve">Voor het deeltijds personeel, bedoeld in artikel </w:t>
      </w:r>
      <w:r w:rsidR="00A61D4D" w:rsidRPr="00831F5A">
        <w:rPr>
          <w:rFonts w:cs="Arial"/>
          <w:bCs/>
        </w:rPr>
        <w:t>221</w:t>
      </w:r>
      <w:r w:rsidRPr="00831F5A">
        <w:rPr>
          <w:rFonts w:cs="Arial"/>
          <w:bCs/>
        </w:rPr>
        <w:t xml:space="preserve">, dat de leeftijd van 50 jaar heeft bereikt, wordt het aantal uren vrijstelling van prestaties berekend volgens de formule: </w:t>
      </w:r>
    </w:p>
    <w:p w14:paraId="738F87AE" w14:textId="77777777" w:rsidR="009743CE" w:rsidRPr="00831F5A" w:rsidRDefault="009743CE" w:rsidP="009743CE">
      <w:pPr>
        <w:pStyle w:val="StandaardUitvullen"/>
        <w:rPr>
          <w:rFonts w:cs="Arial"/>
          <w:bCs/>
        </w:rPr>
      </w:pPr>
      <w:r w:rsidRPr="00831F5A">
        <w:rPr>
          <w:rFonts w:cs="Arial"/>
          <w:bCs/>
        </w:rPr>
        <w:t xml:space="preserve">X = 192 x Y/Z </w:t>
      </w:r>
    </w:p>
    <w:p w14:paraId="64550948" w14:textId="77777777" w:rsidR="009743CE" w:rsidRPr="00831F5A" w:rsidRDefault="009743CE" w:rsidP="009743CE">
      <w:pPr>
        <w:pStyle w:val="StandaardUitvullen"/>
        <w:rPr>
          <w:rFonts w:cs="Arial"/>
          <w:bCs/>
        </w:rPr>
      </w:pPr>
      <w:r w:rsidRPr="00831F5A">
        <w:rPr>
          <w:rFonts w:cs="Arial"/>
          <w:bCs/>
        </w:rPr>
        <w:t xml:space="preserve">waarbij: </w:t>
      </w:r>
    </w:p>
    <w:p w14:paraId="2D51FEBA" w14:textId="77777777" w:rsidR="009743CE" w:rsidRPr="00831F5A" w:rsidRDefault="009743CE" w:rsidP="009743CE">
      <w:pPr>
        <w:pStyle w:val="StandaardUitvullen"/>
        <w:rPr>
          <w:rFonts w:cs="Arial"/>
          <w:bCs/>
        </w:rPr>
      </w:pPr>
      <w:r w:rsidRPr="00831F5A">
        <w:rPr>
          <w:rFonts w:cs="Arial"/>
          <w:bCs/>
        </w:rPr>
        <w:t xml:space="preserve">X = het aantal uren vrijstelling van prestaties </w:t>
      </w:r>
    </w:p>
    <w:p w14:paraId="3DA5EACE" w14:textId="77777777" w:rsidR="009743CE" w:rsidRPr="00831F5A" w:rsidRDefault="009743CE" w:rsidP="009743CE">
      <w:pPr>
        <w:pStyle w:val="StandaardUitvullen"/>
        <w:rPr>
          <w:rFonts w:cs="Arial"/>
          <w:bCs/>
        </w:rPr>
      </w:pPr>
      <w:r w:rsidRPr="00831F5A">
        <w:rPr>
          <w:rFonts w:cs="Arial"/>
          <w:bCs/>
        </w:rPr>
        <w:t>Y = de contractuele of statutaire wekelijkse arbeidsduur van de werknemer</w:t>
      </w:r>
    </w:p>
    <w:p w14:paraId="212DB462" w14:textId="77777777" w:rsidR="009743CE" w:rsidRPr="00831F5A" w:rsidRDefault="009743CE" w:rsidP="009743CE">
      <w:pPr>
        <w:pStyle w:val="StandaardUitvullen"/>
        <w:rPr>
          <w:rFonts w:cs="Arial"/>
          <w:bCs/>
        </w:rPr>
      </w:pPr>
      <w:r w:rsidRPr="00831F5A">
        <w:rPr>
          <w:rFonts w:cs="Arial"/>
          <w:bCs/>
        </w:rPr>
        <w:t xml:space="preserve">Z = de contractuele of statutaire wekelijkse arbeidsduur voor een voltijdse werknemer in de instelling. </w:t>
      </w:r>
    </w:p>
    <w:p w14:paraId="716DDB61" w14:textId="40523D8F" w:rsidR="009743CE" w:rsidRPr="00831F5A" w:rsidRDefault="009743CE" w:rsidP="00E57000">
      <w:pPr>
        <w:pStyle w:val="StandaardUitvullen"/>
        <w:ind w:left="0"/>
        <w:rPr>
          <w:rFonts w:cs="Arial"/>
          <w:bCs/>
        </w:rPr>
      </w:pPr>
    </w:p>
    <w:p w14:paraId="1E8618E4" w14:textId="1460F183" w:rsidR="009743CE" w:rsidRPr="00831F5A" w:rsidRDefault="73CF23D8" w:rsidP="00677A80">
      <w:pPr>
        <w:pStyle w:val="StandaardUitvullen"/>
        <w:ind w:left="0"/>
        <w:rPr>
          <w:rFonts w:cs="Arial"/>
          <w:bCs/>
        </w:rPr>
      </w:pPr>
      <w:r w:rsidRPr="00831F5A">
        <w:rPr>
          <w:rFonts w:cs="Arial"/>
          <w:bCs/>
        </w:rPr>
        <w:t>§2</w:t>
      </w:r>
      <w:r w:rsidR="00831F5A" w:rsidRPr="00831F5A">
        <w:rPr>
          <w:rFonts w:cs="Arial"/>
          <w:bCs/>
        </w:rPr>
        <w:t>.</w:t>
      </w:r>
      <w:r w:rsidRPr="00831F5A">
        <w:rPr>
          <w:rFonts w:cs="Arial"/>
          <w:bCs/>
        </w:rPr>
        <w:t xml:space="preserve"> Het personeel, bedoeld in artikel </w:t>
      </w:r>
      <w:r w:rsidR="00A61D4D" w:rsidRPr="00831F5A">
        <w:rPr>
          <w:rFonts w:cs="Arial"/>
          <w:bCs/>
        </w:rPr>
        <w:t>221</w:t>
      </w:r>
      <w:r w:rsidRPr="00831F5A">
        <w:rPr>
          <w:rFonts w:cs="Arial"/>
          <w:bCs/>
        </w:rPr>
        <w:t xml:space="preserve">, kan evenwel opteren voor het behoud van prestaties conform </w:t>
      </w:r>
      <w:r w:rsidR="000B17AD" w:rsidRPr="00831F5A">
        <w:rPr>
          <w:rFonts w:cs="Arial"/>
          <w:bCs/>
        </w:rPr>
        <w:t>zijn wekelijkse</w:t>
      </w:r>
      <w:r w:rsidRPr="00831F5A">
        <w:rPr>
          <w:rFonts w:cs="Arial"/>
          <w:bCs/>
        </w:rPr>
        <w:t xml:space="preserve"> arbeidstijd voorzien door het statuut of het contract. Als tegenwaarde hiervan heeft het personeelslid recht op een premie, gelijk aan 10,52 %, berekend op zijn loon. Vanaf de datum bedoeld in artikel </w:t>
      </w:r>
      <w:r w:rsidR="00A61D4D" w:rsidRPr="00831F5A">
        <w:rPr>
          <w:rFonts w:cs="Arial"/>
          <w:bCs/>
        </w:rPr>
        <w:t>233</w:t>
      </w:r>
      <w:r w:rsidRPr="00831F5A">
        <w:rPr>
          <w:rFonts w:cs="Arial"/>
          <w:bCs/>
        </w:rPr>
        <w:t xml:space="preserve"> hebben de werknemers geen mogelijkheid meer om te opteren voor de premie van 10,52 % en het behoud van prestaties, met uitzondering van het verpleegkundig personeel, evenals de verpleegkundige </w:t>
      </w:r>
      <w:r w:rsidR="00D350B6" w:rsidRPr="00831F5A">
        <w:rPr>
          <w:rFonts w:cs="Arial"/>
          <w:bCs/>
        </w:rPr>
        <w:t>teamverantwoordelijke</w:t>
      </w:r>
      <w:r w:rsidRPr="00831F5A">
        <w:rPr>
          <w:rFonts w:cs="Arial"/>
          <w:bCs/>
        </w:rPr>
        <w:t>n en adjunct-</w:t>
      </w:r>
      <w:r w:rsidR="00D350B6" w:rsidRPr="00831F5A">
        <w:rPr>
          <w:rFonts w:cs="Arial"/>
          <w:bCs/>
        </w:rPr>
        <w:t>teamverantwoordelijke</w:t>
      </w:r>
      <w:r w:rsidRPr="00831F5A">
        <w:rPr>
          <w:rFonts w:cs="Arial"/>
          <w:bCs/>
        </w:rPr>
        <w:t xml:space="preserve">n, zoals bedoeld in artikel </w:t>
      </w:r>
      <w:r w:rsidR="00A61D4D" w:rsidRPr="00831F5A">
        <w:rPr>
          <w:rFonts w:cs="Arial"/>
          <w:bCs/>
        </w:rPr>
        <w:t>221</w:t>
      </w:r>
      <w:r w:rsidRPr="00831F5A">
        <w:rPr>
          <w:rFonts w:cs="Arial"/>
          <w:bCs/>
        </w:rPr>
        <w:t xml:space="preserve">. </w:t>
      </w:r>
    </w:p>
    <w:p w14:paraId="1975B806" w14:textId="02FAFB47" w:rsidR="009743CE" w:rsidRPr="00831F5A" w:rsidRDefault="73CF23D8" w:rsidP="00677A80">
      <w:pPr>
        <w:pStyle w:val="StandaardUitvullen"/>
        <w:ind w:left="0"/>
        <w:rPr>
          <w:rFonts w:cs="Arial"/>
          <w:bCs/>
        </w:rPr>
      </w:pPr>
      <w:r w:rsidRPr="00831F5A">
        <w:rPr>
          <w:rFonts w:cs="Arial"/>
          <w:bCs/>
        </w:rPr>
        <w:t xml:space="preserve">Evenwel behoudt het personeel dat voor de datum bedoeld in artikel </w:t>
      </w:r>
      <w:r w:rsidR="00A61D4D" w:rsidRPr="00831F5A">
        <w:rPr>
          <w:rFonts w:cs="Arial"/>
          <w:bCs/>
        </w:rPr>
        <w:t>233</w:t>
      </w:r>
      <w:r w:rsidR="393457B9" w:rsidRPr="00831F5A">
        <w:rPr>
          <w:rFonts w:cs="Arial"/>
          <w:bCs/>
        </w:rPr>
        <w:t xml:space="preserve"> ressorteerde</w:t>
      </w:r>
      <w:r w:rsidR="00B01394" w:rsidRPr="00831F5A">
        <w:rPr>
          <w:rFonts w:cs="Arial"/>
          <w:bCs/>
        </w:rPr>
        <w:t xml:space="preserve"> </w:t>
      </w:r>
      <w:r w:rsidRPr="00831F5A">
        <w:rPr>
          <w:rFonts w:cs="Arial"/>
          <w:bCs/>
        </w:rPr>
        <w:t xml:space="preserve">onder het toepassingsgebied van het sectoraal akkoord van 29 juni 2001 over de uitvoering van het federaal meerjarenplan voor de openbare gezondheidssector wat betreft de maatregelen inzake vrijstelling van arbeidsprestaties en eindeloopbaan en dat heeft gekozen voor de premie bedoeld in voormelde akkoord, het recht op deze premie. </w:t>
      </w:r>
    </w:p>
    <w:p w14:paraId="542185CF" w14:textId="23DDF332" w:rsidR="009743CE" w:rsidRPr="00831F5A" w:rsidRDefault="009743CE" w:rsidP="00677A80">
      <w:pPr>
        <w:pStyle w:val="StandaardUitvullen"/>
        <w:ind w:left="0"/>
        <w:rPr>
          <w:rFonts w:cs="Arial"/>
          <w:bCs/>
        </w:rPr>
      </w:pPr>
      <w:r w:rsidRPr="00831F5A">
        <w:rPr>
          <w:rFonts w:cs="Arial"/>
          <w:bCs/>
        </w:rPr>
        <w:t>§3</w:t>
      </w:r>
      <w:r w:rsidR="00831F5A" w:rsidRPr="00831F5A">
        <w:rPr>
          <w:rFonts w:cs="Arial"/>
          <w:bCs/>
        </w:rPr>
        <w:t>.</w:t>
      </w:r>
      <w:r w:rsidRPr="00831F5A">
        <w:rPr>
          <w:rFonts w:cs="Arial"/>
          <w:bCs/>
        </w:rPr>
        <w:t xml:space="preserve"> De voltijdse werknemers die in uitvoering van dit akkoord vrijgesteld zijn van prestaties, blijven steeds beschouwd als werknemers met een voltijdse arbeidsovereenkomst of voltijdse statutaire aanstelling.</w:t>
      </w:r>
    </w:p>
    <w:p w14:paraId="251748EB" w14:textId="77777777" w:rsidR="009743CE" w:rsidRPr="00831F5A" w:rsidRDefault="009743CE" w:rsidP="00677A80">
      <w:pPr>
        <w:pStyle w:val="StandaardUitvullen"/>
        <w:ind w:left="0"/>
        <w:rPr>
          <w:rFonts w:cs="Arial"/>
          <w:bCs/>
        </w:rPr>
      </w:pPr>
      <w:r w:rsidRPr="00831F5A">
        <w:rPr>
          <w:rFonts w:cs="Arial"/>
          <w:bCs/>
        </w:rPr>
        <w:t xml:space="preserve">De deeltijdse werknemers die in uitvoering van dit akkoord vrijgesteld zijn van prestaties, blijven beschouwd als werknemers die hun arbeidstijd voorzien door het statuut of het contract behouden </w:t>
      </w:r>
    </w:p>
    <w:p w14:paraId="0955165F" w14:textId="441E353B" w:rsidR="009743CE" w:rsidRPr="00037A46" w:rsidRDefault="009743CE" w:rsidP="00677A80">
      <w:pPr>
        <w:pStyle w:val="StandaardUitvullen"/>
        <w:ind w:left="0"/>
        <w:rPr>
          <w:rFonts w:cs="Arial"/>
        </w:rPr>
      </w:pPr>
      <w:r w:rsidRPr="00831F5A">
        <w:rPr>
          <w:rFonts w:cs="Arial"/>
          <w:bCs/>
        </w:rPr>
        <w:t>§4</w:t>
      </w:r>
      <w:r w:rsidR="00831F5A" w:rsidRPr="00831F5A">
        <w:rPr>
          <w:rFonts w:cs="Arial"/>
          <w:bCs/>
        </w:rPr>
        <w:t>.</w:t>
      </w:r>
      <w:r w:rsidRPr="00037A46">
        <w:rPr>
          <w:rFonts w:cs="Arial"/>
        </w:rPr>
        <w:t xml:space="preserve"> In onderling akkoord tussen de werknemer en de werkgever kan voor de deeltijds tewerkgestelde werknemer de vastgelegde arbeidsduur voorzien door het contract of de benoemingsakte worden verhoogd met het aantal uren vrijstelling van prestaties die de deeltijdse werknemer kan genieten op basis van de oorspronkelijke arbeidstijd voorzien door het contract of de benoemingsakte.</w:t>
      </w:r>
    </w:p>
    <w:p w14:paraId="2047FA6E" w14:textId="78CE8353" w:rsidR="009743CE" w:rsidRPr="00037A46" w:rsidRDefault="009743CE" w:rsidP="009743CE">
      <w:pPr>
        <w:pStyle w:val="Kop5"/>
      </w:pPr>
      <w:r w:rsidRPr="00037A46">
        <w:lastRenderedPageBreak/>
        <w:t>Art</w:t>
      </w:r>
      <w:r w:rsidRPr="00037A46">
        <w:rPr>
          <w:rStyle w:val="Kop5Char"/>
        </w:rPr>
        <w:t>i</w:t>
      </w:r>
      <w:r w:rsidR="00CD010E" w:rsidRPr="00037A46">
        <w:t xml:space="preserve">kel </w:t>
      </w:r>
      <w:r w:rsidR="008E0576">
        <w:t>224</w:t>
      </w:r>
    </w:p>
    <w:p w14:paraId="045EFF1E" w14:textId="7FFA235F" w:rsidR="009743CE" w:rsidRPr="00831F5A" w:rsidRDefault="00F107B4" w:rsidP="00677A80">
      <w:pPr>
        <w:pStyle w:val="StandaardUitvullen"/>
        <w:ind w:left="0"/>
        <w:rPr>
          <w:rFonts w:cs="Arial"/>
          <w:bCs/>
        </w:rPr>
      </w:pPr>
      <w:r w:rsidRPr="00831F5A">
        <w:rPr>
          <w:rFonts w:cs="Arial"/>
          <w:bCs/>
        </w:rPr>
        <w:t>§1</w:t>
      </w:r>
      <w:r w:rsidR="00831F5A" w:rsidRPr="00831F5A">
        <w:rPr>
          <w:rFonts w:cs="Arial"/>
          <w:bCs/>
        </w:rPr>
        <w:t>.</w:t>
      </w:r>
      <w:r w:rsidR="009743CE" w:rsidRPr="00831F5A">
        <w:rPr>
          <w:rFonts w:cs="Arial"/>
          <w:bCs/>
        </w:rPr>
        <w:t xml:space="preserve"> Het voltijds personeel, bedoeld in artikel </w:t>
      </w:r>
      <w:r w:rsidR="00A61D4D" w:rsidRPr="00831F5A">
        <w:rPr>
          <w:rFonts w:cs="Arial"/>
          <w:bCs/>
        </w:rPr>
        <w:t>221</w:t>
      </w:r>
      <w:r w:rsidR="009743CE" w:rsidRPr="00831F5A">
        <w:rPr>
          <w:rFonts w:cs="Arial"/>
          <w:bCs/>
        </w:rPr>
        <w:t xml:space="preserve">, dat de leeftijd van 55 jaar heeft bereikt, heeft recht op toekenning van vrijstelling van prestaties van zijn gemiddelde wekelijkse arbeidstijd onder de vorm van 288 betaalde uren van vrijstelling van prestaties per jaar, met inbegrip van de uren vrijstelling van prestaties bedoeld in artikel </w:t>
      </w:r>
      <w:r w:rsidR="00A61D4D" w:rsidRPr="00831F5A">
        <w:rPr>
          <w:rFonts w:cs="Arial"/>
          <w:bCs/>
        </w:rPr>
        <w:t>222</w:t>
      </w:r>
      <w:r w:rsidR="009743CE" w:rsidRPr="00831F5A">
        <w:rPr>
          <w:rFonts w:cs="Arial"/>
          <w:bCs/>
        </w:rPr>
        <w:t xml:space="preserve"> en </w:t>
      </w:r>
      <w:r w:rsidR="00ED4882" w:rsidRPr="00831F5A">
        <w:rPr>
          <w:rFonts w:cs="Arial"/>
          <w:bCs/>
        </w:rPr>
        <w:t>223</w:t>
      </w:r>
      <w:r w:rsidR="009743CE" w:rsidRPr="00831F5A">
        <w:rPr>
          <w:rFonts w:cs="Arial"/>
          <w:bCs/>
        </w:rPr>
        <w:t xml:space="preserve"> en toegekend volgens de modaliteiten van artikel </w:t>
      </w:r>
      <w:r w:rsidR="00A61D4D" w:rsidRPr="00831F5A">
        <w:rPr>
          <w:rFonts w:cs="Arial"/>
          <w:bCs/>
        </w:rPr>
        <w:t>226</w:t>
      </w:r>
      <w:r w:rsidR="009743CE" w:rsidRPr="00831F5A">
        <w:rPr>
          <w:rFonts w:cs="Arial"/>
          <w:bCs/>
        </w:rPr>
        <w:t xml:space="preserve">. </w:t>
      </w:r>
    </w:p>
    <w:p w14:paraId="4B6DDB5E" w14:textId="7C7816E5" w:rsidR="009743CE" w:rsidRPr="00831F5A" w:rsidRDefault="009743CE" w:rsidP="009743CE">
      <w:pPr>
        <w:pStyle w:val="StandaardUitvullen"/>
        <w:rPr>
          <w:rFonts w:cs="Arial"/>
          <w:bCs/>
        </w:rPr>
      </w:pPr>
      <w:r w:rsidRPr="00831F5A">
        <w:rPr>
          <w:rFonts w:cs="Arial"/>
          <w:bCs/>
        </w:rPr>
        <w:t xml:space="preserve">Voor het deeltijds personeel, bedoeld in artikel </w:t>
      </w:r>
      <w:r w:rsidR="00A61D4D" w:rsidRPr="00831F5A">
        <w:rPr>
          <w:rFonts w:cs="Arial"/>
          <w:bCs/>
        </w:rPr>
        <w:t>221</w:t>
      </w:r>
      <w:r w:rsidRPr="00831F5A">
        <w:rPr>
          <w:rFonts w:cs="Arial"/>
          <w:bCs/>
        </w:rPr>
        <w:t>, dat de leeftijd van 55 jaar heeft bereikt, wordt het aantal uren vrijstelling van prestaties berekend volgens de formule:</w:t>
      </w:r>
    </w:p>
    <w:p w14:paraId="50858B33" w14:textId="77777777" w:rsidR="009743CE" w:rsidRPr="00831F5A" w:rsidRDefault="009743CE" w:rsidP="009743CE">
      <w:pPr>
        <w:pStyle w:val="StandaardUitvullen"/>
        <w:rPr>
          <w:rFonts w:cs="Arial"/>
          <w:bCs/>
        </w:rPr>
      </w:pPr>
      <w:r w:rsidRPr="00831F5A">
        <w:rPr>
          <w:rFonts w:cs="Arial"/>
          <w:bCs/>
        </w:rPr>
        <w:t xml:space="preserve">X = 288 x Y/Z </w:t>
      </w:r>
    </w:p>
    <w:p w14:paraId="2E3A0C81" w14:textId="77777777" w:rsidR="009743CE" w:rsidRPr="00831F5A" w:rsidRDefault="009743CE" w:rsidP="009743CE">
      <w:pPr>
        <w:pStyle w:val="StandaardUitvullen"/>
        <w:rPr>
          <w:rFonts w:cs="Arial"/>
          <w:bCs/>
        </w:rPr>
      </w:pPr>
      <w:r w:rsidRPr="00831F5A">
        <w:rPr>
          <w:rFonts w:cs="Arial"/>
          <w:bCs/>
        </w:rPr>
        <w:t xml:space="preserve">waarbij: </w:t>
      </w:r>
    </w:p>
    <w:p w14:paraId="03FE76B3" w14:textId="77777777" w:rsidR="009743CE" w:rsidRPr="00831F5A" w:rsidRDefault="009743CE" w:rsidP="009743CE">
      <w:pPr>
        <w:pStyle w:val="StandaardUitvullen"/>
        <w:rPr>
          <w:rFonts w:cs="Arial"/>
          <w:bCs/>
        </w:rPr>
      </w:pPr>
      <w:r w:rsidRPr="00831F5A">
        <w:rPr>
          <w:rFonts w:cs="Arial"/>
          <w:bCs/>
        </w:rPr>
        <w:t xml:space="preserve">X = het aantal uren vrijstelling van prestaties </w:t>
      </w:r>
    </w:p>
    <w:p w14:paraId="541C6F97" w14:textId="77777777" w:rsidR="009743CE" w:rsidRPr="00831F5A" w:rsidRDefault="009743CE" w:rsidP="009743CE">
      <w:pPr>
        <w:pStyle w:val="StandaardUitvullen"/>
        <w:rPr>
          <w:rFonts w:cs="Arial"/>
          <w:bCs/>
        </w:rPr>
      </w:pPr>
      <w:r w:rsidRPr="00831F5A">
        <w:rPr>
          <w:rFonts w:cs="Arial"/>
          <w:bCs/>
        </w:rPr>
        <w:t xml:space="preserve">Y = de contractuele of statutaire wekelijkse arbeidsduur van de werknemer </w:t>
      </w:r>
    </w:p>
    <w:p w14:paraId="61F1E765" w14:textId="77777777" w:rsidR="009743CE" w:rsidRPr="00831F5A" w:rsidRDefault="009743CE" w:rsidP="009743CE">
      <w:pPr>
        <w:pStyle w:val="StandaardUitvullen"/>
        <w:rPr>
          <w:rFonts w:cs="Arial"/>
          <w:bCs/>
        </w:rPr>
      </w:pPr>
      <w:r w:rsidRPr="00831F5A">
        <w:rPr>
          <w:rFonts w:cs="Arial"/>
          <w:bCs/>
        </w:rPr>
        <w:t xml:space="preserve">Z = de contractuele of statutaire wekelijkse arbeidsduur voor een voltijdse werknemer in de instelling. </w:t>
      </w:r>
    </w:p>
    <w:p w14:paraId="1846EAFB" w14:textId="42DB491B" w:rsidR="009743CE" w:rsidRPr="00831F5A" w:rsidRDefault="009743CE" w:rsidP="00677A80">
      <w:pPr>
        <w:pStyle w:val="StandaardUitvullen"/>
        <w:ind w:left="0"/>
        <w:rPr>
          <w:rFonts w:cs="Arial"/>
          <w:bCs/>
        </w:rPr>
      </w:pPr>
      <w:r w:rsidRPr="00831F5A">
        <w:rPr>
          <w:rFonts w:cs="Arial"/>
          <w:bCs/>
        </w:rPr>
        <w:t>§2</w:t>
      </w:r>
      <w:r w:rsidR="00831F5A" w:rsidRPr="00831F5A">
        <w:rPr>
          <w:rFonts w:cs="Arial"/>
          <w:bCs/>
        </w:rPr>
        <w:t>.</w:t>
      </w:r>
      <w:r w:rsidRPr="00831F5A">
        <w:rPr>
          <w:rFonts w:cs="Arial"/>
          <w:bCs/>
        </w:rPr>
        <w:t xml:space="preserve"> Het personeel, bedoeld in artikel </w:t>
      </w:r>
      <w:r w:rsidR="00A61D4D" w:rsidRPr="00831F5A">
        <w:rPr>
          <w:rFonts w:cs="Arial"/>
          <w:bCs/>
        </w:rPr>
        <w:t>221</w:t>
      </w:r>
      <w:r w:rsidRPr="00831F5A">
        <w:rPr>
          <w:rFonts w:cs="Arial"/>
          <w:bCs/>
        </w:rPr>
        <w:t xml:space="preserve">, kan evenwel opteren voor het behoud van prestaties conform zijn wekelijkse arbeidstijd voorzien door het statuut of het contract. Als tegenwaarde hiervan heeft het personeelslid recht op een premie, gelijk aan 15,78 %, berekend op zijn loon. Vanaf de datum bedoeld in artikel </w:t>
      </w:r>
      <w:r w:rsidR="00A61D4D" w:rsidRPr="00831F5A">
        <w:rPr>
          <w:rFonts w:cs="Arial"/>
          <w:bCs/>
        </w:rPr>
        <w:t>233</w:t>
      </w:r>
      <w:r w:rsidRPr="00831F5A">
        <w:rPr>
          <w:rFonts w:cs="Arial"/>
          <w:bCs/>
        </w:rPr>
        <w:t xml:space="preserve"> hebben de werknemers geen mogelijkheid meer om te opteren voor de premie van 15,78 % en het behoud van prestaties, met uitzondering van het verpleegkundig personeel, evenals de verpleegkundige </w:t>
      </w:r>
      <w:r w:rsidR="00D350B6" w:rsidRPr="00831F5A">
        <w:rPr>
          <w:rFonts w:cs="Arial"/>
          <w:bCs/>
        </w:rPr>
        <w:t>teamverantwoordelijke</w:t>
      </w:r>
      <w:r w:rsidRPr="00831F5A">
        <w:rPr>
          <w:rFonts w:cs="Arial"/>
          <w:bCs/>
        </w:rPr>
        <w:t>n en adjunct-</w:t>
      </w:r>
      <w:r w:rsidR="00D350B6" w:rsidRPr="00831F5A">
        <w:rPr>
          <w:rFonts w:cs="Arial"/>
          <w:bCs/>
        </w:rPr>
        <w:t>teamverantwoordelijk</w:t>
      </w:r>
      <w:r w:rsidRPr="00831F5A">
        <w:rPr>
          <w:rFonts w:cs="Arial"/>
          <w:bCs/>
        </w:rPr>
        <w:t xml:space="preserve">en, zoals bedoeld in artikel </w:t>
      </w:r>
      <w:r w:rsidR="00A61D4D" w:rsidRPr="00831F5A">
        <w:rPr>
          <w:rFonts w:cs="Arial"/>
          <w:bCs/>
        </w:rPr>
        <w:t>221</w:t>
      </w:r>
      <w:r w:rsidRPr="00831F5A">
        <w:rPr>
          <w:rFonts w:cs="Arial"/>
          <w:bCs/>
        </w:rPr>
        <w:t xml:space="preserve">. </w:t>
      </w:r>
    </w:p>
    <w:p w14:paraId="73B15820" w14:textId="2ED7F97C" w:rsidR="009743CE" w:rsidRPr="00831F5A" w:rsidRDefault="009743CE" w:rsidP="00677A80">
      <w:pPr>
        <w:pStyle w:val="StandaardUitvullen"/>
        <w:ind w:left="0"/>
        <w:rPr>
          <w:rFonts w:cs="Arial"/>
          <w:bCs/>
        </w:rPr>
      </w:pPr>
      <w:r w:rsidRPr="00831F5A">
        <w:rPr>
          <w:rFonts w:cs="Arial"/>
          <w:bCs/>
        </w:rPr>
        <w:t xml:space="preserve">Evenwel behoudt het personeel dat voor de datum bedoeld in artikel </w:t>
      </w:r>
      <w:r w:rsidR="00A61D4D" w:rsidRPr="00831F5A">
        <w:rPr>
          <w:rFonts w:cs="Arial"/>
          <w:bCs/>
        </w:rPr>
        <w:t>232</w:t>
      </w:r>
      <w:r w:rsidRPr="00831F5A">
        <w:rPr>
          <w:rFonts w:cs="Arial"/>
          <w:bCs/>
        </w:rPr>
        <w:t xml:space="preserve"> ressorteerde onder het toepassingsgebied </w:t>
      </w:r>
      <w:r w:rsidR="000B17AD" w:rsidRPr="00831F5A">
        <w:rPr>
          <w:rFonts w:cs="Arial"/>
          <w:bCs/>
        </w:rPr>
        <w:t>van het</w:t>
      </w:r>
      <w:r w:rsidRPr="00831F5A">
        <w:rPr>
          <w:rFonts w:cs="Arial"/>
          <w:bCs/>
        </w:rPr>
        <w:t xml:space="preserve"> sectoraal akkoord van 29 juni 2001 over de uitvoering van het federaal meerjarenplan voor de openbare gezondheidssector wat betreft de maatregelen inzake vrijstelling van arbeidsprestaties en eindeloopbaan en dat heeft gekozen voor de premie bedoeld in voormelde overeenkomst, het recht op deze premie. </w:t>
      </w:r>
    </w:p>
    <w:p w14:paraId="758EC59F" w14:textId="4E99F9FB" w:rsidR="009743CE" w:rsidRPr="00831F5A" w:rsidRDefault="009743CE" w:rsidP="00677A80">
      <w:pPr>
        <w:pStyle w:val="StandaardUitvullen"/>
        <w:ind w:left="0"/>
        <w:rPr>
          <w:rFonts w:cs="Arial"/>
          <w:bCs/>
        </w:rPr>
      </w:pPr>
      <w:r w:rsidRPr="00831F5A">
        <w:rPr>
          <w:rFonts w:cs="Arial"/>
          <w:bCs/>
        </w:rPr>
        <w:t>§3</w:t>
      </w:r>
      <w:r w:rsidR="00831F5A" w:rsidRPr="00831F5A">
        <w:rPr>
          <w:rFonts w:cs="Arial"/>
          <w:bCs/>
        </w:rPr>
        <w:t>.</w:t>
      </w:r>
      <w:r w:rsidRPr="00831F5A">
        <w:rPr>
          <w:rFonts w:cs="Arial"/>
          <w:bCs/>
        </w:rPr>
        <w:t xml:space="preserve"> De voltijdse werknemers die in uitvoering van dit akkoord vrijgesteld zijn van prestaties, blijven steeds beschouwd als werknemers met een voltijdse arbeidsovereenkomst of voltijdse statutaire aanstelling.</w:t>
      </w:r>
    </w:p>
    <w:p w14:paraId="01406AAA" w14:textId="77777777" w:rsidR="009743CE" w:rsidRPr="00831F5A" w:rsidRDefault="009743CE" w:rsidP="00677A80">
      <w:pPr>
        <w:pStyle w:val="StandaardUitvullen"/>
        <w:ind w:left="0"/>
        <w:rPr>
          <w:rFonts w:cs="Arial"/>
          <w:bCs/>
        </w:rPr>
      </w:pPr>
      <w:r w:rsidRPr="00831F5A">
        <w:rPr>
          <w:rFonts w:cs="Arial"/>
          <w:bCs/>
        </w:rPr>
        <w:t xml:space="preserve">De deeltijdse werknemers die in uitvoering van dit akkoord vrijgesteld zijn van prestaties, blijven beschouwd als werknemers die hun arbeidstijd voorzien door het statuut of het contract behouden. </w:t>
      </w:r>
    </w:p>
    <w:p w14:paraId="1F489FA7" w14:textId="2710D979" w:rsidR="009743CE" w:rsidRPr="00037A46" w:rsidRDefault="009743CE" w:rsidP="00677A80">
      <w:pPr>
        <w:pStyle w:val="StandaardUitvullen"/>
        <w:ind w:left="0"/>
        <w:rPr>
          <w:rFonts w:cs="Arial"/>
        </w:rPr>
      </w:pPr>
      <w:r w:rsidRPr="00831F5A">
        <w:rPr>
          <w:rFonts w:cs="Arial"/>
          <w:bCs/>
        </w:rPr>
        <w:t>§4</w:t>
      </w:r>
      <w:r w:rsidR="00831F5A" w:rsidRPr="00831F5A">
        <w:rPr>
          <w:rFonts w:cs="Arial"/>
          <w:bCs/>
        </w:rPr>
        <w:t>.</w:t>
      </w:r>
      <w:r w:rsidRPr="00831F5A">
        <w:rPr>
          <w:rFonts w:cs="Arial"/>
          <w:bCs/>
        </w:rPr>
        <w:t xml:space="preserve"> In onderling akkoord tussen de werknemer en de werkgever kan voor de deeltijds tewerkgestelde werknemer de arbeidsduur voorzien door het contract of de benoemingsakte worden verhoogd met het aantal</w:t>
      </w:r>
      <w:r w:rsidRPr="00037A46">
        <w:rPr>
          <w:rFonts w:cs="Arial"/>
        </w:rPr>
        <w:t xml:space="preserve"> uren vrijstelling van prestaties die de deeltijdse werknemer kan genieten op basis van de oorspronkelijke arbeidstijd voorzien door het contract of de benoemingsakte. </w:t>
      </w:r>
    </w:p>
    <w:p w14:paraId="40217D5F" w14:textId="0A22D590" w:rsidR="009743CE" w:rsidRPr="00037A46" w:rsidRDefault="009743CE" w:rsidP="009743CE">
      <w:pPr>
        <w:pStyle w:val="Kop5"/>
      </w:pPr>
      <w:r w:rsidRPr="00037A46">
        <w:t xml:space="preserve">Artikel </w:t>
      </w:r>
      <w:r w:rsidR="008E0576">
        <w:t>225</w:t>
      </w:r>
    </w:p>
    <w:p w14:paraId="5FD3713A" w14:textId="0CCB7116" w:rsidR="009743CE" w:rsidRPr="00831F5A" w:rsidRDefault="00F107B4" w:rsidP="00677A80">
      <w:pPr>
        <w:pStyle w:val="StandaardUitvullen"/>
        <w:ind w:left="0"/>
        <w:rPr>
          <w:rFonts w:cs="Arial"/>
          <w:bCs/>
        </w:rPr>
      </w:pPr>
      <w:r w:rsidRPr="00831F5A">
        <w:rPr>
          <w:rFonts w:cs="Arial"/>
          <w:bCs/>
        </w:rPr>
        <w:t>§1</w:t>
      </w:r>
      <w:r w:rsidR="00831F5A" w:rsidRPr="00831F5A">
        <w:rPr>
          <w:rFonts w:cs="Arial"/>
          <w:bCs/>
        </w:rPr>
        <w:t>.</w:t>
      </w:r>
      <w:r w:rsidR="009743CE" w:rsidRPr="00831F5A">
        <w:rPr>
          <w:rFonts w:cs="Arial"/>
          <w:bCs/>
        </w:rPr>
        <w:t xml:space="preserve"> De werkgever moet aan het verpleegkundig personeel evenals de verpleegkundige </w:t>
      </w:r>
      <w:r w:rsidR="00D350B6" w:rsidRPr="00831F5A">
        <w:rPr>
          <w:rFonts w:cs="Arial"/>
          <w:bCs/>
        </w:rPr>
        <w:t>teamverantwoordelijke</w:t>
      </w:r>
      <w:r w:rsidR="009743CE" w:rsidRPr="00831F5A">
        <w:rPr>
          <w:rFonts w:cs="Arial"/>
          <w:bCs/>
        </w:rPr>
        <w:t>n en adjunct-</w:t>
      </w:r>
      <w:r w:rsidR="00D350B6" w:rsidRPr="00831F5A">
        <w:rPr>
          <w:rFonts w:cs="Arial"/>
          <w:bCs/>
        </w:rPr>
        <w:t>teamverantwoordelijk</w:t>
      </w:r>
      <w:r w:rsidR="009743CE" w:rsidRPr="00831F5A">
        <w:rPr>
          <w:rFonts w:cs="Arial"/>
          <w:bCs/>
        </w:rPr>
        <w:t xml:space="preserve">en die hen omkaderen, zoals bedoeld in artikel </w:t>
      </w:r>
      <w:r w:rsidR="00A61D4D" w:rsidRPr="00831F5A">
        <w:rPr>
          <w:rFonts w:cs="Arial"/>
          <w:bCs/>
        </w:rPr>
        <w:t>221</w:t>
      </w:r>
      <w:r w:rsidR="009743CE" w:rsidRPr="00831F5A">
        <w:rPr>
          <w:rFonts w:cs="Arial"/>
          <w:bCs/>
        </w:rPr>
        <w:t xml:space="preserve">, in de loop van de 3e maand voorafgaand aan de maand waarin de werknemer de leeftijd van respectievelijk 45, 50 of 55 jaar bereikt, de keuze, zoals voorzien in de artikelen </w:t>
      </w:r>
      <w:r w:rsidR="00ED4882" w:rsidRPr="00831F5A">
        <w:rPr>
          <w:rFonts w:cs="Arial"/>
          <w:bCs/>
        </w:rPr>
        <w:t>210</w:t>
      </w:r>
      <w:r w:rsidR="009743CE" w:rsidRPr="00831F5A">
        <w:rPr>
          <w:rFonts w:cs="Arial"/>
          <w:bCs/>
        </w:rPr>
        <w:t xml:space="preserve"> § 2, </w:t>
      </w:r>
      <w:r w:rsidR="00ED4882" w:rsidRPr="00831F5A">
        <w:rPr>
          <w:rFonts w:cs="Arial"/>
          <w:bCs/>
        </w:rPr>
        <w:t>222</w:t>
      </w:r>
      <w:r w:rsidR="009743CE" w:rsidRPr="00831F5A">
        <w:rPr>
          <w:rFonts w:cs="Arial"/>
          <w:bCs/>
        </w:rPr>
        <w:t xml:space="preserve"> § 2 en </w:t>
      </w:r>
      <w:r w:rsidR="00ED4882" w:rsidRPr="00831F5A">
        <w:rPr>
          <w:rFonts w:cs="Arial"/>
          <w:bCs/>
        </w:rPr>
        <w:t>212</w:t>
      </w:r>
      <w:r w:rsidR="009743CE" w:rsidRPr="00831F5A">
        <w:rPr>
          <w:rFonts w:cs="Arial"/>
          <w:bCs/>
        </w:rPr>
        <w:t xml:space="preserve"> § 2 voorleggen. </w:t>
      </w:r>
    </w:p>
    <w:p w14:paraId="4DAB99C8" w14:textId="77777777" w:rsidR="009743CE" w:rsidRPr="00831F5A" w:rsidRDefault="009743CE" w:rsidP="00677A80">
      <w:pPr>
        <w:pStyle w:val="StandaardUitvullen"/>
        <w:ind w:left="0"/>
        <w:rPr>
          <w:rFonts w:cs="Arial"/>
          <w:bCs/>
        </w:rPr>
      </w:pPr>
      <w:r w:rsidRPr="00831F5A">
        <w:rPr>
          <w:rFonts w:cs="Arial"/>
          <w:bCs/>
        </w:rPr>
        <w:t>De werknemer heeft één maand tijd om zijn keuze aan zijn werkgever mee te delen. De vrijstelling van prestaties of de toekenning van de premie gaat in vanaf de 1e dag van de maand waarin de voornoemde leeftijden worden bereikt. De werknemer heeft het recht om bij elke leeftijdssprong (50 en 55 jaar) zijn keuze te bepalen. De optie vrijstelling van prestaties is steeds definitief. De optie uitkering van een premie kan op elk ogenblik omgezet worden in vrijstelling van prestaties met inachtneming van een opzeggingstermijn van 3 maanden. Wanneer de optie vrijstelling van prestaties gevraagd wordt in de loop van een maand kan deze optie maar effectief ingaan vanaf de eerste dag van de maand volgend op het verstrijken van de opzeggingstermijn.</w:t>
      </w:r>
    </w:p>
    <w:p w14:paraId="4B377415" w14:textId="77777777" w:rsidR="009743CE" w:rsidRPr="00831F5A" w:rsidRDefault="009743CE" w:rsidP="00677A80">
      <w:pPr>
        <w:pStyle w:val="StandaardUitvullen"/>
        <w:ind w:left="0"/>
        <w:rPr>
          <w:rFonts w:cs="Arial"/>
          <w:bCs/>
        </w:rPr>
      </w:pPr>
      <w:r w:rsidRPr="00831F5A">
        <w:rPr>
          <w:rFonts w:cs="Arial"/>
          <w:bCs/>
        </w:rPr>
        <w:lastRenderedPageBreak/>
        <w:t xml:space="preserve">Vanaf 50 jaar is een combinatie van vrijstelling van prestaties en uitkering van een premie mogelijk. </w:t>
      </w:r>
    </w:p>
    <w:p w14:paraId="296D2F15" w14:textId="77777777" w:rsidR="009743CE" w:rsidRPr="00831F5A" w:rsidRDefault="009743CE" w:rsidP="00677A80">
      <w:pPr>
        <w:pStyle w:val="StandaardUitvullen"/>
        <w:ind w:left="0"/>
        <w:rPr>
          <w:rFonts w:cs="Arial"/>
          <w:bCs/>
        </w:rPr>
      </w:pPr>
      <w:r w:rsidRPr="00831F5A">
        <w:rPr>
          <w:rFonts w:cs="Arial"/>
          <w:bCs/>
        </w:rPr>
        <w:t xml:space="preserve">Voor de werknemers op een tussenliggende leeftijd, dient de keuze te worden voorgelegd door de werkgever van zodra de werknemer aan alle voorwaarden voldoet. De werknemer heeft één maand de tijd om zijn keuze mee te delen. De vrijstelling of premie dient toegekend vanaf de eerste dag van de maand volgend op de bekendmaking van de keuze. </w:t>
      </w:r>
    </w:p>
    <w:p w14:paraId="5CB41038" w14:textId="3EE536E3" w:rsidR="009743CE" w:rsidRPr="00831F5A" w:rsidRDefault="009743CE" w:rsidP="00677A80">
      <w:pPr>
        <w:pStyle w:val="StandaardUitvullen"/>
        <w:ind w:left="0"/>
        <w:rPr>
          <w:rFonts w:cs="Arial"/>
          <w:bCs/>
        </w:rPr>
      </w:pPr>
      <w:r w:rsidRPr="00831F5A">
        <w:rPr>
          <w:rFonts w:cs="Arial"/>
          <w:bCs/>
        </w:rPr>
        <w:t>§2</w:t>
      </w:r>
      <w:r w:rsidR="00831F5A" w:rsidRPr="00831F5A">
        <w:rPr>
          <w:rFonts w:cs="Arial"/>
          <w:bCs/>
        </w:rPr>
        <w:t>.</w:t>
      </w:r>
      <w:r w:rsidRPr="00831F5A">
        <w:rPr>
          <w:rFonts w:cs="Arial"/>
          <w:bCs/>
        </w:rPr>
        <w:t xml:space="preserve"> Voor alle andere personeelsgroepen gaat de vrijstelling van arbeidsprestaties automatisch in de eerste dag van de maand waarin de werknemer 45, 50 of 55 jaar wordt. </w:t>
      </w:r>
    </w:p>
    <w:p w14:paraId="02DF1B26" w14:textId="772451D3" w:rsidR="009743CE" w:rsidRPr="00831F5A" w:rsidRDefault="009743CE" w:rsidP="00677A80">
      <w:pPr>
        <w:pStyle w:val="StandaardUitvullen"/>
        <w:ind w:left="0"/>
        <w:rPr>
          <w:rFonts w:cs="Arial"/>
          <w:bCs/>
        </w:rPr>
      </w:pPr>
      <w:r w:rsidRPr="00831F5A">
        <w:rPr>
          <w:rFonts w:cs="Arial"/>
          <w:bCs/>
        </w:rPr>
        <w:t xml:space="preserve">Voor de werknemer bedoeld in artikel </w:t>
      </w:r>
      <w:r w:rsidR="00A61D4D" w:rsidRPr="00831F5A">
        <w:rPr>
          <w:rFonts w:cs="Arial"/>
          <w:bCs/>
        </w:rPr>
        <w:t>221</w:t>
      </w:r>
      <w:r w:rsidRPr="00831F5A">
        <w:rPr>
          <w:rFonts w:cs="Arial"/>
          <w:bCs/>
        </w:rPr>
        <w:t>, §</w:t>
      </w:r>
      <w:r w:rsidR="00F87511" w:rsidRPr="00831F5A">
        <w:rPr>
          <w:rFonts w:cs="Arial"/>
          <w:bCs/>
        </w:rPr>
        <w:t xml:space="preserve"> </w:t>
      </w:r>
      <w:r w:rsidRPr="00831F5A">
        <w:rPr>
          <w:rFonts w:cs="Arial"/>
          <w:bCs/>
        </w:rPr>
        <w:t xml:space="preserve">1 op een tussenliggende leeftijd gaat de vrijstelling in de eerste dag van de maand volgend op deze waarin de werknemer aan alle voorwaarden voldoet. </w:t>
      </w:r>
    </w:p>
    <w:p w14:paraId="44213C5F" w14:textId="77777777" w:rsidR="009743CE" w:rsidRPr="00831F5A" w:rsidRDefault="009743CE" w:rsidP="00677A80">
      <w:pPr>
        <w:pStyle w:val="StandaardUitvullen"/>
        <w:ind w:left="0"/>
        <w:rPr>
          <w:rFonts w:cs="Arial"/>
          <w:bCs/>
        </w:rPr>
      </w:pPr>
      <w:r w:rsidRPr="00831F5A">
        <w:rPr>
          <w:rFonts w:cs="Arial"/>
          <w:bCs/>
        </w:rPr>
        <w:t>De optie uitkering van een premie kan op elk ogenblik omgezet worden in vrijstelling van prestaties met inachtneming van een opzeggingstermijn van 3 maanden.</w:t>
      </w:r>
    </w:p>
    <w:p w14:paraId="4A15F1DD" w14:textId="53C63B12" w:rsidR="009743CE" w:rsidRPr="00037A46" w:rsidRDefault="3247F623" w:rsidP="00677A80">
      <w:pPr>
        <w:pStyle w:val="StandaardUitvullen"/>
        <w:ind w:left="0"/>
        <w:rPr>
          <w:rFonts w:cs="Arial"/>
        </w:rPr>
      </w:pPr>
      <w:r w:rsidRPr="00831F5A">
        <w:rPr>
          <w:rFonts w:cs="Arial"/>
          <w:bCs/>
        </w:rPr>
        <w:t>§3</w:t>
      </w:r>
      <w:r w:rsidR="00831F5A" w:rsidRPr="00831F5A">
        <w:rPr>
          <w:rFonts w:cs="Arial"/>
          <w:bCs/>
        </w:rPr>
        <w:t>.</w:t>
      </w:r>
      <w:r w:rsidR="73CF23D8" w:rsidRPr="00831F5A">
        <w:rPr>
          <w:rFonts w:cs="Arial"/>
          <w:bCs/>
        </w:rPr>
        <w:t xml:space="preserve"> De werknemer die geen 200 uren onregelmatige prestaties heeft verricht, op het ogenblik waarop hij 45</w:t>
      </w:r>
      <w:r w:rsidR="73CF23D8" w:rsidRPr="4FB77E70">
        <w:rPr>
          <w:rFonts w:cs="Arial"/>
        </w:rPr>
        <w:t>, 50 of 55 jaar wordt, verwerft het statuut van gelijkgesteld personeel en geniet dus van de vrijstelling van arbeidsprestaties, van zodra hij alsnog binnen elke periode van 24 maanden bedoelde 200 uren heeft verricht. De werkgever verwittigt de werknemer van zodra de werknemer het quotum van 200 uren heeft bereikt. De vrijstelling van de arbeidsprestaties gaat in de eerste dag van de tweede maand die volgt op de maand tijdens welke de werknemer die voorwaarde vervult.</w:t>
      </w:r>
    </w:p>
    <w:p w14:paraId="7AA7CF33" w14:textId="3C03EF61" w:rsidR="009743CE" w:rsidRPr="00037A46" w:rsidRDefault="00F107B4" w:rsidP="00F107B4">
      <w:pPr>
        <w:pStyle w:val="Kop3"/>
      </w:pPr>
      <w:bookmarkStart w:id="272" w:name="_Toc110948248"/>
      <w:bookmarkStart w:id="273" w:name="_Toc215739050"/>
      <w:r w:rsidRPr="00037A46">
        <w:t>Afdeling 3</w:t>
      </w:r>
      <w:r w:rsidR="00714410">
        <w:t>.</w:t>
      </w:r>
      <w:r w:rsidR="009743CE" w:rsidRPr="00037A46">
        <w:t xml:space="preserve"> Toepassingsmodaliteiten</w:t>
      </w:r>
      <w:bookmarkEnd w:id="272"/>
      <w:bookmarkEnd w:id="273"/>
    </w:p>
    <w:p w14:paraId="12C4CDC4" w14:textId="7F98A4BD" w:rsidR="009743CE" w:rsidRPr="00037A46" w:rsidRDefault="00CD010E" w:rsidP="009743CE">
      <w:pPr>
        <w:pStyle w:val="Kop5"/>
      </w:pPr>
      <w:r w:rsidRPr="00037A46">
        <w:t xml:space="preserve">Artikel </w:t>
      </w:r>
      <w:r w:rsidR="008E0576">
        <w:t>226</w:t>
      </w:r>
    </w:p>
    <w:p w14:paraId="2316A3F5" w14:textId="62D0D483" w:rsidR="009743CE" w:rsidRPr="00831F5A" w:rsidRDefault="009743CE" w:rsidP="00677A80">
      <w:pPr>
        <w:pStyle w:val="StandaardUitvullen"/>
        <w:ind w:left="0"/>
        <w:rPr>
          <w:rFonts w:cs="Arial"/>
          <w:bCs/>
        </w:rPr>
      </w:pPr>
      <w:r w:rsidRPr="00831F5A">
        <w:rPr>
          <w:rFonts w:cs="Arial"/>
          <w:bCs/>
        </w:rPr>
        <w:t>§</w:t>
      </w:r>
      <w:r w:rsidR="000B17AD" w:rsidRPr="00831F5A">
        <w:rPr>
          <w:rFonts w:cs="Arial"/>
          <w:bCs/>
        </w:rPr>
        <w:t>1</w:t>
      </w:r>
      <w:r w:rsidR="00831F5A" w:rsidRPr="00831F5A">
        <w:rPr>
          <w:rFonts w:cs="Arial"/>
          <w:bCs/>
        </w:rPr>
        <w:t>.</w:t>
      </w:r>
      <w:r w:rsidR="000B17AD" w:rsidRPr="00831F5A">
        <w:rPr>
          <w:rFonts w:cs="Arial"/>
          <w:bCs/>
        </w:rPr>
        <w:t xml:space="preserve"> De</w:t>
      </w:r>
      <w:r w:rsidRPr="00831F5A">
        <w:rPr>
          <w:rFonts w:cs="Arial"/>
          <w:bCs/>
        </w:rPr>
        <w:t xml:space="preserve"> vrijstelling van prestaties, voortvloeiend uit dit akkoord wordt gerealiseerd onder de vorm van compensatiedagen. Een </w:t>
      </w:r>
      <w:proofErr w:type="spellStart"/>
      <w:r w:rsidRPr="00831F5A">
        <w:rPr>
          <w:rFonts w:cs="Arial"/>
          <w:bCs/>
        </w:rPr>
        <w:t>compensatiedag</w:t>
      </w:r>
      <w:proofErr w:type="spellEnd"/>
      <w:r w:rsidRPr="00831F5A">
        <w:rPr>
          <w:rFonts w:cs="Arial"/>
          <w:bCs/>
        </w:rPr>
        <w:t xml:space="preserve"> is gelijk aan het gemiddeld aantal arbeidsuren van het individuele prestatieregime per dag. </w:t>
      </w:r>
    </w:p>
    <w:p w14:paraId="369CB9FB" w14:textId="3B3B3BDE" w:rsidR="009743CE" w:rsidRPr="00037A46" w:rsidRDefault="009743CE" w:rsidP="00677A80">
      <w:pPr>
        <w:pStyle w:val="StandaardUitvullen"/>
        <w:ind w:left="0"/>
        <w:rPr>
          <w:rFonts w:cs="Arial"/>
        </w:rPr>
      </w:pPr>
      <w:r w:rsidRPr="00831F5A">
        <w:rPr>
          <w:rFonts w:cs="Arial"/>
          <w:bCs/>
        </w:rPr>
        <w:t>§2</w:t>
      </w:r>
      <w:r w:rsidR="00831F5A" w:rsidRPr="00831F5A">
        <w:rPr>
          <w:rFonts w:cs="Arial"/>
          <w:bCs/>
        </w:rPr>
        <w:t>.</w:t>
      </w:r>
      <w:r w:rsidRPr="00831F5A">
        <w:rPr>
          <w:rFonts w:cs="Arial"/>
          <w:bCs/>
        </w:rPr>
        <w:t xml:space="preserve"> De modaliteit van toekenning van vrijstelling van prestaties onder de vorm van compensatiedagen kan gewijzigd</w:t>
      </w:r>
      <w:r w:rsidRPr="00037A46">
        <w:rPr>
          <w:rFonts w:cs="Arial"/>
        </w:rPr>
        <w:t xml:space="preserve"> worden door middel van wijziging van het arbeidsreglement. </w:t>
      </w:r>
    </w:p>
    <w:p w14:paraId="3597B311" w14:textId="77777777" w:rsidR="009743CE" w:rsidRPr="00037A46" w:rsidRDefault="009743CE" w:rsidP="00677A80">
      <w:pPr>
        <w:pStyle w:val="StandaardUitvullen"/>
        <w:ind w:left="0"/>
        <w:rPr>
          <w:rFonts w:cs="Arial"/>
        </w:rPr>
      </w:pPr>
      <w:r w:rsidRPr="00037A46">
        <w:rPr>
          <w:rFonts w:cs="Arial"/>
        </w:rPr>
        <w:t xml:space="preserve">Modaliteiten waarbij vrijstelling van prestaties gegeven wordt in kleinere eenheden dan een volledig uur zijn evenwel niet toegelaten. </w:t>
      </w:r>
    </w:p>
    <w:p w14:paraId="17BD67B3" w14:textId="4ABB86EC" w:rsidR="009743CE" w:rsidRPr="00037A46" w:rsidRDefault="00CD010E" w:rsidP="009743CE">
      <w:pPr>
        <w:pStyle w:val="Kop5"/>
      </w:pPr>
      <w:r w:rsidRPr="00037A46">
        <w:t xml:space="preserve">Artikel </w:t>
      </w:r>
      <w:r w:rsidR="008E0576">
        <w:t>227</w:t>
      </w:r>
    </w:p>
    <w:p w14:paraId="583FED4E" w14:textId="346AF02C" w:rsidR="009743CE" w:rsidRPr="00037A46" w:rsidRDefault="009743CE" w:rsidP="00677A80">
      <w:pPr>
        <w:pStyle w:val="StandaardUitvullen"/>
        <w:ind w:left="0"/>
        <w:rPr>
          <w:rFonts w:cs="Arial"/>
        </w:rPr>
      </w:pPr>
      <w:r w:rsidRPr="00037A46">
        <w:rPr>
          <w:rFonts w:cs="Arial"/>
        </w:rPr>
        <w:t xml:space="preserve">De vrijstelling van prestaties </w:t>
      </w:r>
      <w:r w:rsidRPr="00ED1D81">
        <w:rPr>
          <w:rFonts w:cs="Arial"/>
        </w:rPr>
        <w:t xml:space="preserve">toegekend overeenkomstig artikel </w:t>
      </w:r>
      <w:r w:rsidR="00A61D4D">
        <w:rPr>
          <w:rFonts w:cs="Arial"/>
        </w:rPr>
        <w:t>226</w:t>
      </w:r>
      <w:r w:rsidRPr="00ED1D81">
        <w:rPr>
          <w:rFonts w:cs="Arial"/>
        </w:rPr>
        <w:t xml:space="preserve"> wordt per kalendermaand</w:t>
      </w:r>
      <w:r w:rsidRPr="00037A46">
        <w:rPr>
          <w:rFonts w:cs="Arial"/>
        </w:rPr>
        <w:t xml:space="preserve"> genomen en op voor</w:t>
      </w:r>
      <w:r w:rsidR="005C672C">
        <w:rPr>
          <w:rFonts w:cs="Arial"/>
        </w:rPr>
        <w:t>h</w:t>
      </w:r>
      <w:r w:rsidRPr="00037A46">
        <w:rPr>
          <w:rFonts w:cs="Arial"/>
        </w:rPr>
        <w:t>and vastgelegd in het werkrooster. Op het niveau van de instelling kunnen in het arbeidsreglement andere modaliteiten ter</w:t>
      </w:r>
      <w:r w:rsidR="0096281A">
        <w:rPr>
          <w:rFonts w:cs="Arial"/>
        </w:rPr>
        <w:t xml:space="preserve"> </w:t>
      </w:r>
      <w:r w:rsidRPr="00037A46">
        <w:rPr>
          <w:rFonts w:cs="Arial"/>
        </w:rPr>
        <w:t xml:space="preserve">zake afgesproken worden. </w:t>
      </w:r>
    </w:p>
    <w:p w14:paraId="277FBAC7" w14:textId="1DD511ED" w:rsidR="009743CE" w:rsidRPr="00037A46" w:rsidRDefault="00CD010E" w:rsidP="009743CE">
      <w:pPr>
        <w:pStyle w:val="Kop5"/>
      </w:pPr>
      <w:r w:rsidRPr="00037A46">
        <w:t xml:space="preserve">Artikel </w:t>
      </w:r>
      <w:r w:rsidR="008E0576">
        <w:t>228</w:t>
      </w:r>
    </w:p>
    <w:p w14:paraId="6A2D3E48" w14:textId="155086F2" w:rsidR="005451AE" w:rsidRPr="00831F5A" w:rsidRDefault="009743CE" w:rsidP="00677A80">
      <w:pPr>
        <w:pStyle w:val="StandaardUitvullen"/>
        <w:ind w:left="0"/>
        <w:rPr>
          <w:rFonts w:cs="Arial"/>
          <w:bCs/>
        </w:rPr>
      </w:pPr>
      <w:r w:rsidRPr="00831F5A">
        <w:rPr>
          <w:rFonts w:cs="Arial"/>
          <w:bCs/>
        </w:rPr>
        <w:t>§1</w:t>
      </w:r>
      <w:r w:rsidR="00831F5A" w:rsidRPr="00831F5A">
        <w:rPr>
          <w:rFonts w:cs="Arial"/>
          <w:bCs/>
        </w:rPr>
        <w:t>.</w:t>
      </w:r>
      <w:r w:rsidRPr="00831F5A">
        <w:rPr>
          <w:rFonts w:cs="Arial"/>
          <w:bCs/>
        </w:rPr>
        <w:t xml:space="preserve"> Alle rechten worden toegekend pro rata de arbeidstijd voorzien in de benoemingsakte of het contract en pro rata het aantal maanden van het jaar waarin het recht van toepassing is. </w:t>
      </w:r>
    </w:p>
    <w:p w14:paraId="64BB2FC3" w14:textId="698BA0F0" w:rsidR="009743CE" w:rsidRPr="00037A46" w:rsidRDefault="009743CE" w:rsidP="00677A80">
      <w:pPr>
        <w:pStyle w:val="StandaardUitvullen"/>
        <w:ind w:left="0"/>
        <w:rPr>
          <w:rFonts w:cs="Arial"/>
        </w:rPr>
      </w:pPr>
      <w:r w:rsidRPr="00831F5A">
        <w:rPr>
          <w:rFonts w:cs="Arial"/>
          <w:bCs/>
        </w:rPr>
        <w:t>§2</w:t>
      </w:r>
      <w:r w:rsidR="00831F5A" w:rsidRPr="00831F5A">
        <w:rPr>
          <w:rFonts w:cs="Arial"/>
          <w:bCs/>
        </w:rPr>
        <w:t>.</w:t>
      </w:r>
      <w:r w:rsidRPr="00037A46">
        <w:rPr>
          <w:rFonts w:cs="Arial"/>
        </w:rPr>
        <w:t xml:space="preserve"> De maatregelen van dit akkoord </w:t>
      </w:r>
      <w:r w:rsidR="0063383A" w:rsidRPr="00037A46">
        <w:rPr>
          <w:rFonts w:cs="Arial"/>
        </w:rPr>
        <w:t>kunnen gecumuleerd worden</w:t>
      </w:r>
      <w:r w:rsidRPr="00037A46">
        <w:rPr>
          <w:rFonts w:cs="Arial"/>
        </w:rPr>
        <w:t xml:space="preserve"> </w:t>
      </w:r>
      <w:r w:rsidR="0063383A" w:rsidRPr="00037A46">
        <w:rPr>
          <w:rFonts w:cs="Arial"/>
        </w:rPr>
        <w:t>met</w:t>
      </w:r>
      <w:r w:rsidR="0063383A" w:rsidRPr="00037A46">
        <w:rPr>
          <w:rFonts w:cs="Arial"/>
          <w:b/>
        </w:rPr>
        <w:t xml:space="preserve"> </w:t>
      </w:r>
      <w:r w:rsidRPr="00037A46">
        <w:rPr>
          <w:rFonts w:cs="Arial"/>
        </w:rPr>
        <w:t>een vorm van loopbaanonderbreking</w:t>
      </w:r>
      <w:r w:rsidR="0063383A" w:rsidRPr="00037A46">
        <w:rPr>
          <w:rFonts w:cs="Arial"/>
        </w:rPr>
        <w:t>/vermindering</w:t>
      </w:r>
      <w:r w:rsidRPr="00037A46">
        <w:rPr>
          <w:rFonts w:cs="Arial"/>
        </w:rPr>
        <w:t xml:space="preserve"> of van de vrijwillige vierdagen week (wet van 10 april 1995 betreffende de herverdeling van de arbeid in de openbare sector en uitvoeringsbesluiten). </w:t>
      </w:r>
    </w:p>
    <w:p w14:paraId="7C244359" w14:textId="481CD777" w:rsidR="009743CE" w:rsidRPr="00037A46" w:rsidRDefault="00CD010E" w:rsidP="00677A80">
      <w:pPr>
        <w:pStyle w:val="Kop5"/>
      </w:pPr>
      <w:r w:rsidRPr="00037A46">
        <w:t xml:space="preserve">Artikel </w:t>
      </w:r>
      <w:r w:rsidR="008E0576">
        <w:t>229</w:t>
      </w:r>
    </w:p>
    <w:p w14:paraId="1638A2AC" w14:textId="104F9A98" w:rsidR="009743CE" w:rsidRPr="00037A46" w:rsidRDefault="009743CE" w:rsidP="00677A80">
      <w:pPr>
        <w:pStyle w:val="StandaardUitvullen"/>
        <w:ind w:left="0"/>
        <w:rPr>
          <w:rFonts w:cs="Arial"/>
        </w:rPr>
      </w:pPr>
      <w:r w:rsidRPr="00037A46">
        <w:rPr>
          <w:rFonts w:cs="Arial"/>
        </w:rPr>
        <w:t xml:space="preserve">De regeling inzake de vrijstelling van arbeidsprestaties zoals hierboven bepaald, wordt niet cumulatief toegepast voor de werknemers die reeds genieten van compensatiedagen ingevolge een collectieve arbeidsuurvermindering van minder dan 38 uren per week, voor het equivalent bedoeld in </w:t>
      </w:r>
      <w:r w:rsidRPr="00ED1D81">
        <w:rPr>
          <w:rFonts w:cs="Arial"/>
        </w:rPr>
        <w:t xml:space="preserve">de artikelen </w:t>
      </w:r>
      <w:r w:rsidR="00A61D4D">
        <w:rPr>
          <w:rFonts w:cs="Arial"/>
        </w:rPr>
        <w:t>222</w:t>
      </w:r>
      <w:r w:rsidRPr="00ED1D81">
        <w:rPr>
          <w:rFonts w:cs="Arial"/>
        </w:rPr>
        <w:t xml:space="preserve">, </w:t>
      </w:r>
      <w:r w:rsidR="00A61D4D">
        <w:rPr>
          <w:rFonts w:cs="Arial"/>
        </w:rPr>
        <w:t>223</w:t>
      </w:r>
      <w:r w:rsidRPr="00ED1D81">
        <w:rPr>
          <w:rFonts w:cs="Arial"/>
        </w:rPr>
        <w:t xml:space="preserve"> en </w:t>
      </w:r>
      <w:r w:rsidR="00A61D4D">
        <w:rPr>
          <w:rFonts w:cs="Arial"/>
        </w:rPr>
        <w:t>224</w:t>
      </w:r>
      <w:r w:rsidR="00337FA9" w:rsidRPr="00037A46">
        <w:rPr>
          <w:rFonts w:cs="Arial"/>
        </w:rPr>
        <w:t xml:space="preserve"> </w:t>
      </w:r>
      <w:r w:rsidRPr="00037A46">
        <w:rPr>
          <w:rFonts w:cs="Arial"/>
        </w:rPr>
        <w:t xml:space="preserve">en dit voor maximaal het aantal dagen van onderhavig akkoord. </w:t>
      </w:r>
    </w:p>
    <w:p w14:paraId="15C56559" w14:textId="2AA46278" w:rsidR="009743CE" w:rsidRPr="00037A46" w:rsidRDefault="009743CE" w:rsidP="009743CE">
      <w:pPr>
        <w:pStyle w:val="Kop5"/>
      </w:pPr>
      <w:r w:rsidRPr="00037A46">
        <w:t xml:space="preserve">Artikel </w:t>
      </w:r>
      <w:r w:rsidR="008E0576">
        <w:t>230</w:t>
      </w:r>
    </w:p>
    <w:p w14:paraId="50CDB809" w14:textId="171C434F" w:rsidR="009743CE" w:rsidRPr="00ED1D81" w:rsidRDefault="009743CE" w:rsidP="00677A80">
      <w:pPr>
        <w:pStyle w:val="StandaardUitvullen"/>
        <w:ind w:left="0"/>
        <w:rPr>
          <w:rFonts w:cs="Arial"/>
        </w:rPr>
      </w:pPr>
      <w:r w:rsidRPr="00037A46">
        <w:rPr>
          <w:rFonts w:cs="Arial"/>
        </w:rPr>
        <w:lastRenderedPageBreak/>
        <w:t xml:space="preserve">Indien echter binnen de instelling, in toevoeging op het sectoraal akkoord van 29 juni 2001 over de uitvoering van het federaal meerjarenplan voor de openbare gezondheidssector wat betreft de maatregelen inzake vrijstelling van arbeidsprestaties en eindeloopbaan, een vrijstelling van arbeidsprestaties zoals voorzien voor het verpleegkundig en verzorgend of gelijkgesteld personeel,  geheel of gedeeltelijk ook werd toegekend aan sommige andere personeelsgroepen, kunnen in geen geval meer dagen vrijstelling van arbeidsprestaties worden toegekend dan </w:t>
      </w:r>
      <w:r w:rsidRPr="00ED1D81">
        <w:rPr>
          <w:rFonts w:cs="Arial"/>
        </w:rPr>
        <w:t xml:space="preserve">bepaald in de artikelen </w:t>
      </w:r>
      <w:r w:rsidR="00A61D4D">
        <w:rPr>
          <w:rFonts w:cs="Arial"/>
        </w:rPr>
        <w:t>238</w:t>
      </w:r>
      <w:r w:rsidR="00337FA9" w:rsidRPr="00ED1D81">
        <w:rPr>
          <w:rFonts w:cs="Arial"/>
        </w:rPr>
        <w:t xml:space="preserve">, </w:t>
      </w:r>
      <w:r w:rsidR="00A61D4D">
        <w:rPr>
          <w:rFonts w:cs="Arial"/>
        </w:rPr>
        <w:t>239</w:t>
      </w:r>
      <w:r w:rsidR="00337FA9" w:rsidRPr="00ED1D81">
        <w:rPr>
          <w:rFonts w:cs="Arial"/>
        </w:rPr>
        <w:t xml:space="preserve"> of </w:t>
      </w:r>
      <w:r w:rsidR="00A61D4D">
        <w:rPr>
          <w:rFonts w:cs="Arial"/>
        </w:rPr>
        <w:t>240</w:t>
      </w:r>
      <w:r w:rsidRPr="00ED1D81">
        <w:rPr>
          <w:rFonts w:cs="Arial"/>
        </w:rPr>
        <w:t xml:space="preserve">. </w:t>
      </w:r>
    </w:p>
    <w:p w14:paraId="7F1A0DA7" w14:textId="593451FC" w:rsidR="009743CE" w:rsidRPr="00ED1D81" w:rsidRDefault="009743CE" w:rsidP="00677A80">
      <w:pPr>
        <w:pStyle w:val="Kop5"/>
      </w:pPr>
      <w:r w:rsidRPr="00ED1D81">
        <w:t xml:space="preserve">Artikel </w:t>
      </w:r>
      <w:r w:rsidR="008E0576">
        <w:t>231</w:t>
      </w:r>
    </w:p>
    <w:p w14:paraId="258ABE73" w14:textId="6B1596FC" w:rsidR="009743CE" w:rsidRPr="00831F5A" w:rsidRDefault="00337FA9" w:rsidP="00677A80">
      <w:pPr>
        <w:pStyle w:val="StandaardUitvullen"/>
        <w:ind w:left="0"/>
        <w:rPr>
          <w:rFonts w:cs="Arial"/>
          <w:bCs/>
        </w:rPr>
      </w:pPr>
      <w:r w:rsidRPr="00831F5A">
        <w:rPr>
          <w:rFonts w:cs="Arial"/>
          <w:bCs/>
        </w:rPr>
        <w:t>§1</w:t>
      </w:r>
      <w:r w:rsidR="00831F5A">
        <w:rPr>
          <w:rFonts w:cs="Arial"/>
          <w:bCs/>
        </w:rPr>
        <w:t>.</w:t>
      </w:r>
      <w:r w:rsidR="009743CE" w:rsidRPr="00831F5A">
        <w:rPr>
          <w:rFonts w:cs="Arial"/>
          <w:bCs/>
        </w:rPr>
        <w:t xml:space="preserve"> Gedurende de periodes van afwezigheid omwille van ziekte of om persoonlijke redenen wordt het recht op de in artikel </w:t>
      </w:r>
      <w:r w:rsidR="00A61D4D" w:rsidRPr="00831F5A">
        <w:rPr>
          <w:rFonts w:cs="Arial"/>
          <w:bCs/>
        </w:rPr>
        <w:t>222</w:t>
      </w:r>
      <w:r w:rsidRPr="00831F5A">
        <w:rPr>
          <w:rFonts w:cs="Arial"/>
          <w:bCs/>
        </w:rPr>
        <w:t xml:space="preserve">, </w:t>
      </w:r>
      <w:r w:rsidR="00A61D4D" w:rsidRPr="00831F5A">
        <w:rPr>
          <w:rFonts w:cs="Arial"/>
          <w:bCs/>
        </w:rPr>
        <w:t>223</w:t>
      </w:r>
      <w:r w:rsidRPr="00831F5A">
        <w:rPr>
          <w:rFonts w:cs="Arial"/>
          <w:bCs/>
        </w:rPr>
        <w:t xml:space="preserve"> en </w:t>
      </w:r>
      <w:r w:rsidR="00A61D4D" w:rsidRPr="00831F5A">
        <w:rPr>
          <w:rFonts w:cs="Arial"/>
          <w:bCs/>
        </w:rPr>
        <w:t>224</w:t>
      </w:r>
      <w:r w:rsidRPr="00831F5A">
        <w:rPr>
          <w:rFonts w:cs="Arial"/>
          <w:bCs/>
        </w:rPr>
        <w:t xml:space="preserve"> </w:t>
      </w:r>
      <w:r w:rsidR="009743CE" w:rsidRPr="00831F5A">
        <w:rPr>
          <w:rFonts w:cs="Arial"/>
          <w:bCs/>
        </w:rPr>
        <w:t>voorziene voordelen opgeheven vanaf de 31ste opeenvolgende kalenderdag afwezigheid.</w:t>
      </w:r>
    </w:p>
    <w:p w14:paraId="56B90224" w14:textId="364E2CB2" w:rsidR="009743CE" w:rsidRPr="00831F5A" w:rsidRDefault="009743CE" w:rsidP="00677A80">
      <w:pPr>
        <w:pStyle w:val="StandaardUitvullen"/>
        <w:ind w:left="0"/>
        <w:rPr>
          <w:rFonts w:cs="Arial"/>
          <w:bCs/>
        </w:rPr>
      </w:pPr>
      <w:r w:rsidRPr="00831F5A">
        <w:rPr>
          <w:rFonts w:cs="Arial"/>
          <w:bCs/>
        </w:rPr>
        <w:t>§</w:t>
      </w:r>
      <w:r w:rsidR="00337FA9" w:rsidRPr="00831F5A">
        <w:rPr>
          <w:rFonts w:cs="Arial"/>
          <w:bCs/>
        </w:rPr>
        <w:t>2</w:t>
      </w:r>
      <w:r w:rsidR="00831F5A">
        <w:rPr>
          <w:rFonts w:cs="Arial"/>
          <w:bCs/>
        </w:rPr>
        <w:t>.</w:t>
      </w:r>
      <w:r w:rsidRPr="00831F5A">
        <w:rPr>
          <w:rFonts w:cs="Arial"/>
          <w:bCs/>
        </w:rPr>
        <w:t xml:space="preserve"> Voldoet de werknemer niet meer aan de voorwaarden voorzien in artikel </w:t>
      </w:r>
      <w:r w:rsidR="00A61D4D" w:rsidRPr="00831F5A">
        <w:rPr>
          <w:rFonts w:cs="Arial"/>
          <w:bCs/>
        </w:rPr>
        <w:t>221</w:t>
      </w:r>
      <w:r w:rsidRPr="00831F5A">
        <w:rPr>
          <w:rFonts w:cs="Arial"/>
          <w:bCs/>
        </w:rPr>
        <w:t xml:space="preserve"> dan kan deze geen bijkomende vrijstelling van arbeidsprestaties meer verwerven zoals voorzien in artikel </w:t>
      </w:r>
      <w:r w:rsidR="00A61D4D" w:rsidRPr="00831F5A">
        <w:rPr>
          <w:rFonts w:cs="Arial"/>
          <w:bCs/>
        </w:rPr>
        <w:t>223</w:t>
      </w:r>
      <w:r w:rsidRPr="00831F5A">
        <w:rPr>
          <w:rFonts w:cs="Arial"/>
          <w:bCs/>
        </w:rPr>
        <w:t xml:space="preserve"> of </w:t>
      </w:r>
      <w:r w:rsidR="00A61D4D" w:rsidRPr="00831F5A">
        <w:rPr>
          <w:rFonts w:cs="Arial"/>
          <w:bCs/>
        </w:rPr>
        <w:t>224</w:t>
      </w:r>
      <w:r w:rsidRPr="00831F5A">
        <w:rPr>
          <w:rFonts w:cs="Arial"/>
          <w:bCs/>
        </w:rPr>
        <w:t xml:space="preserve">. </w:t>
      </w:r>
    </w:p>
    <w:p w14:paraId="1293FA0B" w14:textId="701578E9" w:rsidR="009743CE" w:rsidRPr="00037A46" w:rsidRDefault="009743CE" w:rsidP="00677A80">
      <w:pPr>
        <w:pStyle w:val="StandaardUitvullen"/>
        <w:ind w:left="0"/>
        <w:rPr>
          <w:rFonts w:cs="Arial"/>
        </w:rPr>
      </w:pPr>
      <w:r w:rsidRPr="00831F5A">
        <w:rPr>
          <w:rFonts w:cs="Arial"/>
          <w:bCs/>
        </w:rPr>
        <w:t>§</w:t>
      </w:r>
      <w:r w:rsidR="00337FA9" w:rsidRPr="00831F5A">
        <w:rPr>
          <w:rFonts w:cs="Arial"/>
          <w:bCs/>
        </w:rPr>
        <w:t>3</w:t>
      </w:r>
      <w:r w:rsidR="00831F5A">
        <w:rPr>
          <w:rFonts w:cs="Arial"/>
          <w:bCs/>
        </w:rPr>
        <w:t>.</w:t>
      </w:r>
      <w:r w:rsidRPr="00037A46">
        <w:rPr>
          <w:rFonts w:cs="Arial"/>
        </w:rPr>
        <w:t xml:space="preserve"> In afwijking op §</w:t>
      </w:r>
      <w:r w:rsidR="00337FA9" w:rsidRPr="00037A46">
        <w:rPr>
          <w:rFonts w:cs="Arial"/>
        </w:rPr>
        <w:t xml:space="preserve"> </w:t>
      </w:r>
      <w:r w:rsidRPr="00037A46">
        <w:rPr>
          <w:rFonts w:cs="Arial"/>
        </w:rPr>
        <w:t xml:space="preserve">2 hierboven, zal de werknemer die op zijn verzoek van functie wijzigt via een bijlage bij de arbeidsovereenkomst en hierdoor niet meer onder het toepassingsgebied </w:t>
      </w:r>
      <w:r w:rsidRPr="00ED1D81">
        <w:rPr>
          <w:rFonts w:cs="Arial"/>
        </w:rPr>
        <w:t xml:space="preserve">van artikel </w:t>
      </w:r>
      <w:r w:rsidR="00A61D4D">
        <w:rPr>
          <w:rFonts w:cs="Arial"/>
        </w:rPr>
        <w:t>221</w:t>
      </w:r>
      <w:r w:rsidRPr="00ED1D81">
        <w:rPr>
          <w:rFonts w:cs="Arial"/>
        </w:rPr>
        <w:t xml:space="preserve"> ressorteert, de rechten verworven op basis van de artikelen </w:t>
      </w:r>
      <w:r w:rsidR="00A61D4D">
        <w:rPr>
          <w:rFonts w:cs="Arial"/>
        </w:rPr>
        <w:t>222</w:t>
      </w:r>
      <w:r w:rsidR="00337FA9" w:rsidRPr="00ED1D81">
        <w:rPr>
          <w:rFonts w:cs="Arial"/>
        </w:rPr>
        <w:t xml:space="preserve">, </w:t>
      </w:r>
      <w:r w:rsidR="00A61D4D">
        <w:rPr>
          <w:rFonts w:cs="Arial"/>
        </w:rPr>
        <w:t>223</w:t>
      </w:r>
      <w:r w:rsidR="00337FA9" w:rsidRPr="00ED1D81">
        <w:rPr>
          <w:rFonts w:cs="Arial"/>
        </w:rPr>
        <w:t xml:space="preserve"> of </w:t>
      </w:r>
      <w:r w:rsidR="00A61D4D">
        <w:rPr>
          <w:rFonts w:cs="Arial"/>
        </w:rPr>
        <w:t>224</w:t>
      </w:r>
      <w:r w:rsidR="00337FA9" w:rsidRPr="00ED1D81">
        <w:rPr>
          <w:rFonts w:cs="Arial"/>
        </w:rPr>
        <w:t xml:space="preserve"> </w:t>
      </w:r>
      <w:r w:rsidRPr="00ED1D81">
        <w:rPr>
          <w:rFonts w:cs="Arial"/>
        </w:rPr>
        <w:t>verliezen.</w:t>
      </w:r>
      <w:r w:rsidRPr="00037A46">
        <w:rPr>
          <w:rFonts w:cs="Arial"/>
        </w:rPr>
        <w:t xml:space="preserve"> </w:t>
      </w:r>
    </w:p>
    <w:p w14:paraId="51EC3F1A" w14:textId="26EB4D3B" w:rsidR="009743CE" w:rsidRPr="00037A46" w:rsidRDefault="009743CE" w:rsidP="00677A80">
      <w:pPr>
        <w:pStyle w:val="Kop5"/>
      </w:pPr>
      <w:r w:rsidRPr="00037A46">
        <w:t xml:space="preserve">Artikel </w:t>
      </w:r>
      <w:r w:rsidR="008E0576">
        <w:t>232</w:t>
      </w:r>
    </w:p>
    <w:p w14:paraId="6F3DB0BE" w14:textId="1F3DB62E" w:rsidR="00C92FC9" w:rsidRDefault="009743CE" w:rsidP="00677A80">
      <w:pPr>
        <w:pStyle w:val="StandaardUitvullen"/>
        <w:ind w:left="0"/>
        <w:rPr>
          <w:rFonts w:cs="Arial"/>
        </w:rPr>
      </w:pPr>
      <w:r w:rsidRPr="00037A46">
        <w:rPr>
          <w:rFonts w:cs="Arial"/>
        </w:rPr>
        <w:t>De partijen komen overeen dat de compenserende aanwerving ten gevolge van de maatregelen van eindeloopbaan prioritair per functiecategorie (verpleegkundige, verzorgende, paramedicus, werknemer, arbeider) dienen te gebeuren.</w:t>
      </w:r>
    </w:p>
    <w:p w14:paraId="1D82CC38" w14:textId="77777777" w:rsidR="00C92FC9" w:rsidRDefault="00C92FC9">
      <w:pPr>
        <w:spacing w:before="0" w:after="0"/>
        <w:ind w:left="0"/>
        <w:jc w:val="left"/>
        <w:rPr>
          <w:rFonts w:cs="Arial"/>
        </w:rPr>
      </w:pPr>
      <w:r>
        <w:rPr>
          <w:rFonts w:cs="Arial"/>
        </w:rPr>
        <w:br w:type="page"/>
      </w:r>
    </w:p>
    <w:p w14:paraId="2CB2633C" w14:textId="04A4A46C" w:rsidR="009743CE" w:rsidRPr="00037A46" w:rsidRDefault="00C92FC9" w:rsidP="00677A80">
      <w:pPr>
        <w:pStyle w:val="Kop3"/>
      </w:pPr>
      <w:bookmarkStart w:id="274" w:name="_Toc110948249"/>
      <w:bookmarkStart w:id="275" w:name="_Toc215739051"/>
      <w:r>
        <w:lastRenderedPageBreak/>
        <w:t>A</w:t>
      </w:r>
      <w:r w:rsidR="005451AE" w:rsidRPr="00037A46">
        <w:t>fdeling 4</w:t>
      </w:r>
      <w:r w:rsidR="00714410">
        <w:t>.</w:t>
      </w:r>
      <w:r w:rsidR="009743CE" w:rsidRPr="00037A46">
        <w:t xml:space="preserve"> Slotbepalingen</w:t>
      </w:r>
      <w:bookmarkEnd w:id="274"/>
      <w:bookmarkEnd w:id="275"/>
      <w:r w:rsidR="009743CE" w:rsidRPr="00037A46">
        <w:t xml:space="preserve"> </w:t>
      </w:r>
    </w:p>
    <w:p w14:paraId="5295B22A" w14:textId="2FFFA5E3" w:rsidR="009743CE" w:rsidRPr="00037A46" w:rsidRDefault="009743CE" w:rsidP="00677A80">
      <w:pPr>
        <w:pStyle w:val="Kop5"/>
      </w:pPr>
      <w:r w:rsidRPr="00037A46">
        <w:t>Artikel</w:t>
      </w:r>
      <w:r w:rsidR="00AD246A">
        <w:t xml:space="preserve"> </w:t>
      </w:r>
      <w:r w:rsidR="008E0576">
        <w:t>233</w:t>
      </w:r>
    </w:p>
    <w:p w14:paraId="53E0C608" w14:textId="77777777" w:rsidR="009743CE" w:rsidRPr="00037A46" w:rsidRDefault="009743CE" w:rsidP="00677A80">
      <w:pPr>
        <w:pStyle w:val="StandaardUitvullen"/>
        <w:ind w:left="0"/>
        <w:rPr>
          <w:rFonts w:cs="Arial"/>
        </w:rPr>
      </w:pPr>
      <w:r w:rsidRPr="00037A46">
        <w:rPr>
          <w:rFonts w:cs="Arial"/>
        </w:rPr>
        <w:t>Dit akkoord treedt in werking</w:t>
      </w:r>
      <w:r w:rsidR="00F87511" w:rsidRPr="00037A46">
        <w:rPr>
          <w:rFonts w:cs="Arial"/>
        </w:rPr>
        <w:t xml:space="preserve"> op 29 september 2006 en is afgesl</w:t>
      </w:r>
      <w:r w:rsidRPr="00037A46">
        <w:rPr>
          <w:rFonts w:cs="Arial"/>
        </w:rPr>
        <w:t xml:space="preserve">oten voor onbepaalde duur. </w:t>
      </w:r>
    </w:p>
    <w:p w14:paraId="7119F366" w14:textId="77777777" w:rsidR="009743CE" w:rsidRPr="00037A46" w:rsidRDefault="009743CE" w:rsidP="00677A80">
      <w:pPr>
        <w:pStyle w:val="StandaardUitvullen"/>
        <w:ind w:left="0"/>
        <w:rPr>
          <w:rFonts w:cs="Arial"/>
        </w:rPr>
      </w:pPr>
      <w:r w:rsidRPr="00037A46">
        <w:rPr>
          <w:rFonts w:cs="Arial"/>
        </w:rPr>
        <w:t>Dit akkoord vervangt sectoraal akkoord van 29 juni 2001 over de uitvoering van het federaal meerjarenplan voor de openbare gezondheidssector wat betreft de maatregelen inzake vrijstelling van arbeidsprestaties en eindeloopbaan.</w:t>
      </w:r>
    </w:p>
    <w:p w14:paraId="0B9B8FBC" w14:textId="7EEFE769" w:rsidR="009743CE" w:rsidRPr="00037A46" w:rsidRDefault="009743CE" w:rsidP="00677A80">
      <w:pPr>
        <w:pStyle w:val="Kop5"/>
      </w:pPr>
      <w:r w:rsidRPr="00037A46">
        <w:t xml:space="preserve">Artikel </w:t>
      </w:r>
      <w:r w:rsidR="00A61D4D">
        <w:t>234</w:t>
      </w:r>
    </w:p>
    <w:p w14:paraId="69E5E68D" w14:textId="1BE5A2FA" w:rsidR="009743CE" w:rsidRPr="00037A46" w:rsidRDefault="00B2231A" w:rsidP="00677A80">
      <w:pPr>
        <w:pStyle w:val="StandaardUitvullen"/>
        <w:ind w:left="0"/>
        <w:rPr>
          <w:rFonts w:cs="Arial"/>
        </w:rPr>
      </w:pPr>
      <w:r w:rsidRPr="00037A46">
        <w:rPr>
          <w:rFonts w:cs="Arial"/>
        </w:rPr>
        <w:t>D</w:t>
      </w:r>
      <w:r w:rsidR="009743CE" w:rsidRPr="00037A46">
        <w:rPr>
          <w:rFonts w:cs="Arial"/>
        </w:rPr>
        <w:t xml:space="preserve">it akkoord </w:t>
      </w:r>
      <w:r w:rsidRPr="00037A46">
        <w:rPr>
          <w:rFonts w:cs="Arial"/>
        </w:rPr>
        <w:t xml:space="preserve">kan </w:t>
      </w:r>
      <w:r w:rsidR="009743CE" w:rsidRPr="00037A46">
        <w:rPr>
          <w:rFonts w:cs="Arial"/>
        </w:rPr>
        <w:t xml:space="preserve">slechts effectief toegekend worden aan de werknemers, voor zover de regering de </w:t>
      </w:r>
      <w:proofErr w:type="spellStart"/>
      <w:r w:rsidR="009743CE" w:rsidRPr="00037A46">
        <w:rPr>
          <w:rFonts w:cs="Arial"/>
        </w:rPr>
        <w:t>tenlasteneming</w:t>
      </w:r>
      <w:proofErr w:type="spellEnd"/>
      <w:r w:rsidR="009743CE" w:rsidRPr="00037A46">
        <w:rPr>
          <w:rFonts w:cs="Arial"/>
        </w:rPr>
        <w:t xml:space="preserve"> van de kosten verzekert volgens de bepalingen van de punten 4 en 5 van het sociaal akkoord betreffende de federale gezondheidssectoren van 18 juli 2005. </w:t>
      </w:r>
    </w:p>
    <w:p w14:paraId="33CAA576" w14:textId="629CD881" w:rsidR="003A11FB" w:rsidRPr="00037A46" w:rsidRDefault="003A11FB" w:rsidP="003A11FB">
      <w:pPr>
        <w:pStyle w:val="Kop1"/>
      </w:pPr>
      <w:bookmarkStart w:id="276" w:name="_Toc110948250"/>
      <w:bookmarkStart w:id="277" w:name="_Toc215739052"/>
      <w:r w:rsidRPr="00037A46">
        <w:lastRenderedPageBreak/>
        <w:t xml:space="preserve">TITEL </w:t>
      </w:r>
      <w:r w:rsidR="00EB0610">
        <w:t>8</w:t>
      </w:r>
      <w:r w:rsidRPr="00037A46">
        <w:t>. slotbepalingen</w:t>
      </w:r>
      <w:bookmarkEnd w:id="276"/>
      <w:bookmarkEnd w:id="277"/>
    </w:p>
    <w:p w14:paraId="003A6B79" w14:textId="587C8D38" w:rsidR="003A11FB" w:rsidRPr="00037A46" w:rsidRDefault="003A11FB" w:rsidP="00B44CF7">
      <w:pPr>
        <w:pStyle w:val="Kop2"/>
      </w:pPr>
      <w:bookmarkStart w:id="278" w:name="_Toc110948251"/>
      <w:bookmarkStart w:id="279" w:name="_Toc215739053"/>
      <w:r w:rsidRPr="00037A46">
        <w:t xml:space="preserve">Hoofdstuk </w:t>
      </w:r>
      <w:r w:rsidR="00C55596" w:rsidRPr="00037A46">
        <w:t>i</w:t>
      </w:r>
      <w:r w:rsidRPr="00037A46">
        <w:t>. tucht</w:t>
      </w:r>
      <w:bookmarkEnd w:id="278"/>
      <w:bookmarkEnd w:id="279"/>
    </w:p>
    <w:p w14:paraId="5C39BEFF" w14:textId="0C32D464" w:rsidR="003A11FB" w:rsidRPr="00E50E80" w:rsidRDefault="00F33791" w:rsidP="00435C39">
      <w:pPr>
        <w:spacing w:before="0" w:after="160" w:line="259" w:lineRule="auto"/>
        <w:ind w:left="0"/>
        <w:jc w:val="left"/>
        <w:rPr>
          <w:rFonts w:eastAsia="Calibri" w:cs="Arial"/>
          <w:b/>
          <w:bCs/>
          <w:kern w:val="2"/>
          <w:lang w:val="nl-BE" w:eastAsia="en-US"/>
          <w14:ligatures w14:val="standardContextual"/>
        </w:rPr>
      </w:pPr>
      <w:r w:rsidRPr="00E50E80">
        <w:rPr>
          <w:rFonts w:eastAsia="Calibri" w:cs="Arial"/>
          <w:b/>
          <w:bCs/>
          <w:kern w:val="2"/>
          <w:lang w:val="nl-BE" w:eastAsia="en-US"/>
          <w14:ligatures w14:val="standardContextual"/>
        </w:rPr>
        <w:t xml:space="preserve">Artikel </w:t>
      </w:r>
      <w:r w:rsidR="008E0576">
        <w:rPr>
          <w:rFonts w:eastAsia="Calibri" w:cs="Arial"/>
          <w:b/>
          <w:bCs/>
          <w:kern w:val="2"/>
          <w:lang w:val="nl-BE" w:eastAsia="en-US"/>
          <w14:ligatures w14:val="standardContextual"/>
        </w:rPr>
        <w:t>235</w:t>
      </w:r>
    </w:p>
    <w:p w14:paraId="2E6125C4" w14:textId="77777777" w:rsidR="00D042DF" w:rsidRPr="00037A46" w:rsidRDefault="003A11FB" w:rsidP="00677A80">
      <w:pPr>
        <w:ind w:left="0"/>
      </w:pPr>
      <w:r w:rsidRPr="00037A46">
        <w:t>Hiervoor wordt verwezen naar het</w:t>
      </w:r>
      <w:r w:rsidR="00D042DF" w:rsidRPr="00037A46">
        <w:t>:</w:t>
      </w:r>
    </w:p>
    <w:p w14:paraId="5FF28BFF" w14:textId="77777777" w:rsidR="00C95E10" w:rsidRPr="00037A46" w:rsidRDefault="00C95E10" w:rsidP="009D4C40">
      <w:pPr>
        <w:numPr>
          <w:ilvl w:val="0"/>
          <w:numId w:val="40"/>
        </w:numPr>
      </w:pPr>
      <w:r w:rsidRPr="00037A46">
        <w:t>Decreet Lokaal Bestuur, Titel 2, hoofdstuk 4, afdeling 6, artikels 198 tot en met 216 en verdere uitvoeringsbesluiten.</w:t>
      </w:r>
    </w:p>
    <w:p w14:paraId="76F18D86" w14:textId="76915A93" w:rsidR="003A11FB" w:rsidRPr="00037A46" w:rsidRDefault="003A11FB" w:rsidP="00B44CF7">
      <w:pPr>
        <w:pStyle w:val="Kop2"/>
      </w:pPr>
      <w:bookmarkStart w:id="280" w:name="_Toc110948252"/>
      <w:bookmarkStart w:id="281" w:name="_Toc215739054"/>
      <w:r w:rsidRPr="00037A46">
        <w:t xml:space="preserve">Hoofdstuk </w:t>
      </w:r>
      <w:r w:rsidR="00C55596" w:rsidRPr="00037A46">
        <w:t>ii</w:t>
      </w:r>
      <w:r w:rsidRPr="00037A46">
        <w:t>. deontologie</w:t>
      </w:r>
      <w:bookmarkEnd w:id="280"/>
      <w:bookmarkEnd w:id="281"/>
    </w:p>
    <w:p w14:paraId="2BCF505B" w14:textId="1569B79B" w:rsidR="003A11FB" w:rsidRPr="00E50E80" w:rsidRDefault="00F33791" w:rsidP="00435C39">
      <w:pPr>
        <w:spacing w:before="0" w:after="160" w:line="259" w:lineRule="auto"/>
        <w:ind w:left="0"/>
        <w:jc w:val="left"/>
        <w:rPr>
          <w:rFonts w:eastAsia="Calibri" w:cs="Arial"/>
          <w:b/>
          <w:bCs/>
          <w:kern w:val="2"/>
          <w:lang w:val="nl-BE" w:eastAsia="en-US"/>
          <w14:ligatures w14:val="standardContextual"/>
        </w:rPr>
      </w:pPr>
      <w:r w:rsidRPr="00E50E80">
        <w:rPr>
          <w:rFonts w:eastAsia="Calibri" w:cs="Arial"/>
          <w:b/>
          <w:bCs/>
          <w:kern w:val="2"/>
          <w:lang w:val="nl-BE" w:eastAsia="en-US"/>
          <w14:ligatures w14:val="standardContextual"/>
        </w:rPr>
        <w:t xml:space="preserve">Artikel </w:t>
      </w:r>
      <w:r w:rsidR="008E0576">
        <w:rPr>
          <w:rFonts w:eastAsia="Calibri" w:cs="Arial"/>
          <w:b/>
          <w:bCs/>
          <w:kern w:val="2"/>
          <w:lang w:val="nl-BE" w:eastAsia="en-US"/>
          <w14:ligatures w14:val="standardContextual"/>
        </w:rPr>
        <w:t>236</w:t>
      </w:r>
    </w:p>
    <w:p w14:paraId="4B4A8481" w14:textId="77777777" w:rsidR="00D042DF" w:rsidRPr="00037A46" w:rsidRDefault="003A11FB" w:rsidP="00677A80">
      <w:pPr>
        <w:ind w:left="0"/>
      </w:pPr>
      <w:r w:rsidRPr="00037A46">
        <w:t>Hiervoor wordt verwezen naar het</w:t>
      </w:r>
      <w:r w:rsidR="00D042DF" w:rsidRPr="00037A46">
        <w:t>:</w:t>
      </w:r>
    </w:p>
    <w:p w14:paraId="04CA33B7" w14:textId="77777777" w:rsidR="00C95E10" w:rsidRPr="00037A46" w:rsidRDefault="0E9C0E33" w:rsidP="009D4C40">
      <w:pPr>
        <w:numPr>
          <w:ilvl w:val="0"/>
          <w:numId w:val="40"/>
        </w:numPr>
      </w:pPr>
      <w:r>
        <w:t>Decreet Lokaal Bestuur, Titel 2, hoofdstuk 4, afdeling 3, onderafdeling 4, artikels 188 tot en met 193 en verdere uitvoeringsbesluiten.</w:t>
      </w:r>
    </w:p>
    <w:p w14:paraId="04E49563" w14:textId="7E768FEA" w:rsidR="003A11FB" w:rsidRDefault="003A11FB" w:rsidP="00B44CF7">
      <w:pPr>
        <w:pStyle w:val="Kop2"/>
      </w:pPr>
      <w:bookmarkStart w:id="282" w:name="_Toc110948253"/>
      <w:bookmarkStart w:id="283" w:name="_Toc215739055"/>
      <w:r w:rsidRPr="00037A46">
        <w:t xml:space="preserve">Hoofdstuk </w:t>
      </w:r>
      <w:r w:rsidR="00C55596" w:rsidRPr="00037A46">
        <w:t>iii</w:t>
      </w:r>
      <w:r w:rsidRPr="00037A46">
        <w:t>. overgangsbepalingen</w:t>
      </w:r>
      <w:bookmarkEnd w:id="282"/>
      <w:bookmarkEnd w:id="283"/>
    </w:p>
    <w:p w14:paraId="7F2F12AA" w14:textId="16552314" w:rsidR="00B53AD9" w:rsidRPr="00B53AD9" w:rsidRDefault="00B53AD9" w:rsidP="00B53AD9">
      <w:pPr>
        <w:pStyle w:val="Kop3"/>
        <w:rPr>
          <w:bCs/>
        </w:rPr>
      </w:pPr>
      <w:bookmarkStart w:id="284" w:name="_Toc215739056"/>
      <w:r w:rsidRPr="00B53AD9">
        <w:rPr>
          <w:bCs/>
        </w:rPr>
        <w:t>Afdeling 1</w:t>
      </w:r>
      <w:bookmarkEnd w:id="284"/>
    </w:p>
    <w:p w14:paraId="34446C1D" w14:textId="2DCE9EE7" w:rsidR="00E7160E" w:rsidRDefault="00B34B9B" w:rsidP="00E7160E">
      <w:pPr>
        <w:pStyle w:val="Kop5"/>
        <w:rPr>
          <w:rFonts w:cs="Arial"/>
        </w:rPr>
      </w:pPr>
      <w:r w:rsidRPr="00037A46">
        <w:rPr>
          <w:rFonts w:cs="Arial"/>
        </w:rPr>
        <w:t>Artikel</w:t>
      </w:r>
      <w:bookmarkStart w:id="285" w:name="_Toc291754402"/>
      <w:bookmarkStart w:id="286" w:name="_Toc110948208"/>
      <w:r w:rsidR="00610CA6">
        <w:rPr>
          <w:rFonts w:cs="Arial"/>
        </w:rPr>
        <w:t xml:space="preserve"> </w:t>
      </w:r>
      <w:r w:rsidR="008E0576">
        <w:rPr>
          <w:rFonts w:cs="Arial"/>
        </w:rPr>
        <w:t>237</w:t>
      </w:r>
    </w:p>
    <w:p w14:paraId="5D980BA7" w14:textId="2E3A5616" w:rsidR="00E7160E" w:rsidRPr="00E7160E" w:rsidRDefault="00E7160E" w:rsidP="00677A80">
      <w:pPr>
        <w:pStyle w:val="Kop5"/>
        <w:rPr>
          <w:rFonts w:cs="Arial"/>
          <w:b w:val="0"/>
          <w:lang w:val="nl-BE" w:eastAsia="en-US"/>
        </w:rPr>
      </w:pPr>
      <w:r w:rsidRPr="00E7160E">
        <w:rPr>
          <w:rFonts w:cs="Arial"/>
          <w:b w:val="0"/>
          <w:lang w:val="nl-BE" w:eastAsia="en-US"/>
        </w:rPr>
        <w:t>Functiecomplement voor de hoofdverpleegkundigen en verpleegkundige coördinatoren in rvt en rob</w:t>
      </w:r>
      <w:bookmarkEnd w:id="285"/>
      <w:bookmarkEnd w:id="286"/>
      <w:r>
        <w:rPr>
          <w:rFonts w:cs="Arial"/>
          <w:b w:val="0"/>
          <w:lang w:val="nl-BE" w:eastAsia="en-US"/>
        </w:rPr>
        <w:t>.</w:t>
      </w:r>
    </w:p>
    <w:p w14:paraId="58B4E786" w14:textId="4824C7B9" w:rsidR="00B34B9B" w:rsidRPr="00831F5A" w:rsidRDefault="00B34B9B" w:rsidP="00677A80">
      <w:pPr>
        <w:pStyle w:val="StandaardUitvullen"/>
        <w:ind w:left="0"/>
        <w:rPr>
          <w:rFonts w:cs="Arial"/>
          <w:bCs/>
          <w:lang w:val="nl-BE" w:eastAsia="en-US"/>
        </w:rPr>
      </w:pPr>
      <w:r w:rsidRPr="00831F5A">
        <w:rPr>
          <w:rFonts w:cs="Arial"/>
          <w:bCs/>
          <w:lang w:val="nl-BE" w:eastAsia="en-US"/>
        </w:rPr>
        <w:t>§1</w:t>
      </w:r>
      <w:r w:rsidR="00831F5A" w:rsidRPr="00831F5A">
        <w:rPr>
          <w:rFonts w:cs="Arial"/>
          <w:bCs/>
          <w:lang w:val="nl-BE" w:eastAsia="en-US"/>
        </w:rPr>
        <w:t>.</w:t>
      </w:r>
      <w:r w:rsidRPr="00831F5A">
        <w:rPr>
          <w:rFonts w:cs="Arial"/>
          <w:bCs/>
          <w:lang w:val="nl-BE" w:eastAsia="en-US"/>
        </w:rPr>
        <w:t xml:space="preserve"> Dit akkoord geeft uitvoering aan het punt 14 van het sociaal akkoord betreffende de federale gezondheidssectoren (publieke sector) van 18 juli 2005.</w:t>
      </w:r>
    </w:p>
    <w:p w14:paraId="2F22F398" w14:textId="41DF75C0" w:rsidR="00B34B9B" w:rsidRPr="00831F5A" w:rsidRDefault="00B34B9B" w:rsidP="00677A80">
      <w:pPr>
        <w:pStyle w:val="StandaardUitvullen"/>
        <w:ind w:left="0"/>
        <w:rPr>
          <w:rFonts w:cs="Arial"/>
          <w:bCs/>
          <w:lang w:val="nl-BE" w:eastAsia="en-US"/>
        </w:rPr>
      </w:pPr>
      <w:r w:rsidRPr="00831F5A">
        <w:rPr>
          <w:rFonts w:cs="Arial"/>
          <w:bCs/>
          <w:lang w:val="nl-BE" w:eastAsia="en-US"/>
        </w:rPr>
        <w:t>§2</w:t>
      </w:r>
      <w:r w:rsidR="00831F5A" w:rsidRPr="00831F5A">
        <w:rPr>
          <w:rFonts w:cs="Arial"/>
          <w:bCs/>
          <w:lang w:val="nl-BE" w:eastAsia="en-US"/>
        </w:rPr>
        <w:t>.</w:t>
      </w:r>
      <w:r w:rsidRPr="00831F5A">
        <w:rPr>
          <w:rFonts w:cs="Arial"/>
          <w:bCs/>
          <w:lang w:val="nl-BE" w:eastAsia="en-US"/>
        </w:rPr>
        <w:t xml:space="preserve"> Aan de hoofdverpleegkundige(n) en de verpleegkundige coördinatoren, die een geldelijke anciënniteit van 18 jaar of meer hebben, en die voldoen aan alle voorwaarden voorzien in het financieringsbesluit, wordt maandelijks een functiecomplement van € 68,07, zijnde € 816,8 </w:t>
      </w:r>
      <w:r w:rsidRPr="00831F5A">
        <w:rPr>
          <w:rFonts w:cs="Arial"/>
          <w:bCs/>
          <w:vertAlign w:val="superscript"/>
          <w:lang w:val="nl-BE" w:eastAsia="en-US"/>
        </w:rPr>
        <w:t xml:space="preserve">   </w:t>
      </w:r>
      <w:r w:rsidRPr="00831F5A">
        <w:rPr>
          <w:rFonts w:cs="Arial"/>
          <w:bCs/>
          <w:lang w:val="nl-BE" w:eastAsia="en-US"/>
        </w:rPr>
        <w:t>op jaarbasis, toegekend.</w:t>
      </w:r>
    </w:p>
    <w:p w14:paraId="6AE7E7FB" w14:textId="21FE060F" w:rsidR="00B34B9B" w:rsidRPr="00831F5A" w:rsidRDefault="00B34B9B" w:rsidP="00677A80">
      <w:pPr>
        <w:pStyle w:val="StandaardUitvullen"/>
        <w:ind w:left="0"/>
        <w:rPr>
          <w:rFonts w:cs="Arial"/>
          <w:bCs/>
          <w:lang w:val="nl-BE" w:eastAsia="en-US"/>
        </w:rPr>
      </w:pPr>
      <w:r w:rsidRPr="00831F5A">
        <w:rPr>
          <w:rFonts w:cs="Arial"/>
          <w:bCs/>
          <w:lang w:val="nl-BE" w:eastAsia="en-US"/>
        </w:rPr>
        <w:t>§3</w:t>
      </w:r>
      <w:r w:rsidR="00831F5A" w:rsidRPr="00831F5A">
        <w:rPr>
          <w:rFonts w:cs="Arial"/>
          <w:bCs/>
          <w:lang w:val="nl-BE" w:eastAsia="en-US"/>
        </w:rPr>
        <w:t>.</w:t>
      </w:r>
      <w:r w:rsidRPr="00831F5A">
        <w:rPr>
          <w:rFonts w:cs="Arial"/>
          <w:bCs/>
          <w:lang w:val="nl-BE" w:eastAsia="en-US"/>
        </w:rPr>
        <w:t xml:space="preserve"> Onder verpleegkundig coördinator wordt verstaan: de verpleegkundige van een ROB, aangeduid teneinde de coördinatie te verzekeren in een zorgequipe van minstens 12 voltijds equivalenten, samengesteld uit verpleegkundig personeel, verzorgingspersoneel en personeel voor reactivering. Behoudens </w:t>
      </w:r>
      <w:r w:rsidR="0096281A" w:rsidRPr="00831F5A">
        <w:rPr>
          <w:rFonts w:cs="Arial"/>
          <w:bCs/>
          <w:lang w:val="nl-BE" w:eastAsia="en-US"/>
        </w:rPr>
        <w:t>andersluidende</w:t>
      </w:r>
      <w:r w:rsidRPr="00831F5A">
        <w:rPr>
          <w:rFonts w:cs="Arial"/>
          <w:bCs/>
          <w:lang w:val="nl-BE" w:eastAsia="en-US"/>
        </w:rPr>
        <w:t xml:space="preserve"> bepalingen in de normen die van toepassing zijn op deze inrichting, wordt de aanduiding van deze verpleegkundig coördinator overgelaten aan de beoordeling van de beheerder.</w:t>
      </w:r>
    </w:p>
    <w:p w14:paraId="5DBB7940" w14:textId="5D9E87EE" w:rsidR="00B34B9B" w:rsidRPr="00831F5A" w:rsidRDefault="00B34B9B" w:rsidP="00677A80">
      <w:pPr>
        <w:pStyle w:val="StandaardUitvullen"/>
        <w:ind w:left="0"/>
        <w:rPr>
          <w:rFonts w:cs="Arial"/>
          <w:bCs/>
          <w:lang w:val="nl-BE" w:eastAsia="en-US"/>
        </w:rPr>
      </w:pPr>
      <w:r w:rsidRPr="00831F5A">
        <w:rPr>
          <w:rFonts w:cs="Arial"/>
          <w:bCs/>
          <w:lang w:val="nl-BE" w:eastAsia="en-US"/>
        </w:rPr>
        <w:t>§4</w:t>
      </w:r>
      <w:r w:rsidR="00831F5A" w:rsidRPr="00831F5A">
        <w:rPr>
          <w:rFonts w:cs="Arial"/>
          <w:bCs/>
          <w:lang w:val="nl-BE" w:eastAsia="en-US"/>
        </w:rPr>
        <w:t>.</w:t>
      </w:r>
      <w:r w:rsidRPr="00831F5A">
        <w:rPr>
          <w:rFonts w:cs="Arial"/>
          <w:bCs/>
          <w:lang w:val="nl-BE" w:eastAsia="en-US"/>
        </w:rPr>
        <w:t xml:space="preserve"> Komen in aanmerking voor de financiering van het functiecomplement de verpleegkundig coördinatoren en hoofdverpleegkundigen die aan de volgende voorwaarden beantwoorden:</w:t>
      </w:r>
    </w:p>
    <w:p w14:paraId="7C2769D5" w14:textId="562C1927" w:rsidR="00B34B9B" w:rsidRPr="00831F5A" w:rsidRDefault="0096281A" w:rsidP="009D4C40">
      <w:pPr>
        <w:pStyle w:val="StandaardUitvullen"/>
        <w:numPr>
          <w:ilvl w:val="0"/>
          <w:numId w:val="37"/>
        </w:numPr>
        <w:rPr>
          <w:rFonts w:cs="Arial"/>
          <w:bCs/>
          <w:lang w:val="nl-BE" w:eastAsia="en-US"/>
        </w:rPr>
      </w:pPr>
      <w:r w:rsidRPr="00831F5A">
        <w:rPr>
          <w:rFonts w:cs="Arial"/>
          <w:bCs/>
          <w:lang w:val="nl-BE" w:eastAsia="en-US"/>
        </w:rPr>
        <w:t>E</w:t>
      </w:r>
      <w:r w:rsidR="00B34B9B" w:rsidRPr="00831F5A">
        <w:rPr>
          <w:rFonts w:cs="Arial"/>
          <w:bCs/>
          <w:lang w:val="nl-BE" w:eastAsia="en-US"/>
        </w:rPr>
        <w:t>en contract hebben waarin de rol van verpleegkundig coördinator is voorzien, of een contract hebben als hoofdverpleegkundige. Voor het statutair personeel moet de rol van verpleegkundig coördinator of de functie van hoofdverpleegkundige blijken uit de benoemingsbeslissing of de beslissing tot aanstelling;</w:t>
      </w:r>
    </w:p>
    <w:p w14:paraId="0F140B90" w14:textId="22F8CF82" w:rsidR="00B34B9B" w:rsidRPr="00831F5A" w:rsidRDefault="0096281A" w:rsidP="009D4C40">
      <w:pPr>
        <w:pStyle w:val="StandaardUitvullen"/>
        <w:numPr>
          <w:ilvl w:val="0"/>
          <w:numId w:val="37"/>
        </w:numPr>
        <w:rPr>
          <w:rFonts w:cs="Arial"/>
          <w:bCs/>
          <w:lang w:val="nl-BE" w:eastAsia="en-US"/>
        </w:rPr>
      </w:pPr>
      <w:r w:rsidRPr="00831F5A">
        <w:rPr>
          <w:rFonts w:cs="Arial"/>
          <w:bCs/>
          <w:lang w:val="nl-BE" w:eastAsia="en-US"/>
        </w:rPr>
        <w:t>O</w:t>
      </w:r>
      <w:r w:rsidR="00B34B9B" w:rsidRPr="00831F5A">
        <w:rPr>
          <w:rFonts w:cs="Arial"/>
          <w:bCs/>
          <w:lang w:val="nl-BE" w:eastAsia="en-US"/>
        </w:rPr>
        <w:t xml:space="preserve">p de laatste dag van de referentieperiode, voldoen aan een </w:t>
      </w:r>
      <w:proofErr w:type="spellStart"/>
      <w:r w:rsidR="00B34B9B" w:rsidRPr="00831F5A">
        <w:rPr>
          <w:rFonts w:cs="Arial"/>
          <w:bCs/>
          <w:lang w:val="nl-BE" w:eastAsia="en-US"/>
        </w:rPr>
        <w:t>baremieke</w:t>
      </w:r>
      <w:proofErr w:type="spellEnd"/>
      <w:r w:rsidR="00B34B9B" w:rsidRPr="00831F5A">
        <w:rPr>
          <w:rFonts w:cs="Arial"/>
          <w:bCs/>
          <w:lang w:val="nl-BE" w:eastAsia="en-US"/>
        </w:rPr>
        <w:t xml:space="preserve"> anciënniteit van minstens 17 jaar;</w:t>
      </w:r>
    </w:p>
    <w:p w14:paraId="0F0C5E78" w14:textId="57C25B0E" w:rsidR="00B34B9B" w:rsidRPr="00831F5A" w:rsidRDefault="0096281A" w:rsidP="009D4C40">
      <w:pPr>
        <w:pStyle w:val="StandaardUitvullen"/>
        <w:numPr>
          <w:ilvl w:val="0"/>
          <w:numId w:val="37"/>
        </w:numPr>
        <w:rPr>
          <w:rFonts w:cs="Arial"/>
          <w:bCs/>
          <w:lang w:val="nl-BE" w:eastAsia="en-US"/>
        </w:rPr>
      </w:pPr>
      <w:r w:rsidRPr="00831F5A">
        <w:rPr>
          <w:rFonts w:cs="Arial"/>
          <w:bCs/>
          <w:lang w:val="nl-BE" w:eastAsia="en-US"/>
        </w:rPr>
        <w:t>E</w:t>
      </w:r>
      <w:r w:rsidR="00B34B9B" w:rsidRPr="00831F5A">
        <w:rPr>
          <w:rFonts w:cs="Arial"/>
          <w:bCs/>
          <w:lang w:val="nl-BE" w:eastAsia="en-US"/>
        </w:rPr>
        <w:t>en basisvorming van 24 uur gekregen hebben en jaarlijks een permanente vorming van 8 uur volgen, waarvan het programma werd goedgekeurd door de FOD Volksgezondheid. De basisvorming bevat minstens volgende domeinen:</w:t>
      </w:r>
    </w:p>
    <w:p w14:paraId="6890DC2F" w14:textId="15E54310" w:rsidR="00B34B9B" w:rsidRPr="00831F5A" w:rsidRDefault="0096281A" w:rsidP="009D4C40">
      <w:pPr>
        <w:pStyle w:val="StandaardUitvullen"/>
        <w:numPr>
          <w:ilvl w:val="0"/>
          <w:numId w:val="38"/>
        </w:numPr>
        <w:tabs>
          <w:tab w:val="left" w:pos="1560"/>
        </w:tabs>
        <w:ind w:left="1843" w:hanging="632"/>
        <w:rPr>
          <w:rFonts w:cs="Arial"/>
          <w:bCs/>
          <w:lang w:val="nl-BE" w:eastAsia="en-US"/>
        </w:rPr>
      </w:pPr>
      <w:r w:rsidRPr="00831F5A">
        <w:rPr>
          <w:rFonts w:cs="Arial"/>
          <w:bCs/>
          <w:lang w:val="nl-BE" w:eastAsia="en-US"/>
        </w:rPr>
        <w:lastRenderedPageBreak/>
        <w:t>Uurroosters</w:t>
      </w:r>
      <w:r w:rsidR="00B34B9B" w:rsidRPr="00831F5A">
        <w:rPr>
          <w:rFonts w:cs="Arial"/>
          <w:bCs/>
          <w:lang w:val="nl-BE" w:eastAsia="en-US"/>
        </w:rPr>
        <w:t>, arbeidsduur en collectieve arbeidsverhoudingen;</w:t>
      </w:r>
    </w:p>
    <w:p w14:paraId="185BF8ED" w14:textId="21EFE873" w:rsidR="00B34B9B" w:rsidRPr="00831F5A" w:rsidRDefault="0096281A" w:rsidP="009D4C40">
      <w:pPr>
        <w:pStyle w:val="StandaardUitvullen"/>
        <w:numPr>
          <w:ilvl w:val="0"/>
          <w:numId w:val="38"/>
        </w:numPr>
        <w:tabs>
          <w:tab w:val="left" w:pos="1560"/>
        </w:tabs>
        <w:ind w:left="1843" w:hanging="632"/>
        <w:rPr>
          <w:rFonts w:cs="Arial"/>
          <w:bCs/>
          <w:lang w:val="nl-BE" w:eastAsia="en-US"/>
        </w:rPr>
      </w:pPr>
      <w:r w:rsidRPr="00831F5A">
        <w:rPr>
          <w:rFonts w:cs="Arial"/>
          <w:bCs/>
          <w:lang w:val="nl-BE" w:eastAsia="en-US"/>
        </w:rPr>
        <w:t>Welzijn</w:t>
      </w:r>
      <w:r w:rsidR="00B34B9B" w:rsidRPr="00831F5A">
        <w:rPr>
          <w:rFonts w:cs="Arial"/>
          <w:bCs/>
          <w:lang w:val="nl-BE" w:eastAsia="en-US"/>
        </w:rPr>
        <w:t xml:space="preserve"> op het werk;</w:t>
      </w:r>
    </w:p>
    <w:p w14:paraId="1B696D9F" w14:textId="423DC87A" w:rsidR="00B34B9B" w:rsidRPr="00831F5A" w:rsidRDefault="0096281A" w:rsidP="009D4C40">
      <w:pPr>
        <w:pStyle w:val="StandaardUitvullen"/>
        <w:numPr>
          <w:ilvl w:val="0"/>
          <w:numId w:val="38"/>
        </w:numPr>
        <w:tabs>
          <w:tab w:val="left" w:pos="1560"/>
        </w:tabs>
        <w:ind w:left="1843" w:hanging="632"/>
        <w:rPr>
          <w:rFonts w:cs="Arial"/>
          <w:bCs/>
          <w:lang w:val="nl-BE" w:eastAsia="en-US"/>
        </w:rPr>
      </w:pPr>
      <w:r w:rsidRPr="00831F5A">
        <w:rPr>
          <w:rFonts w:cs="Arial"/>
          <w:bCs/>
          <w:lang w:val="nl-BE" w:eastAsia="en-US"/>
        </w:rPr>
        <w:t>Beheer</w:t>
      </w:r>
      <w:r w:rsidR="00B34B9B" w:rsidRPr="00831F5A">
        <w:rPr>
          <w:rFonts w:cs="Arial"/>
          <w:bCs/>
          <w:lang w:val="nl-BE" w:eastAsia="en-US"/>
        </w:rPr>
        <w:t xml:space="preserve"> van een team.</w:t>
      </w:r>
    </w:p>
    <w:p w14:paraId="369F3837" w14:textId="77777777" w:rsidR="00B34B9B" w:rsidRPr="00831F5A" w:rsidRDefault="00B34B9B" w:rsidP="00677A80">
      <w:pPr>
        <w:pStyle w:val="StandaardUitvullen"/>
        <w:ind w:left="0"/>
        <w:rPr>
          <w:rFonts w:cs="Arial"/>
          <w:bCs/>
          <w:lang w:val="nl-BE" w:eastAsia="en-US"/>
        </w:rPr>
      </w:pPr>
      <w:r w:rsidRPr="00831F5A">
        <w:rPr>
          <w:rFonts w:cs="Arial"/>
          <w:bCs/>
          <w:lang w:val="nl-BE" w:eastAsia="en-US"/>
        </w:rPr>
        <w:t>Bij wijze van voorlopige maatregel, wordt het functiecomplement voor 2008 in één keer uitbetaald, zodra het inhaalbedrag van zijn financiering aan de werkgever wordt gestort.</w:t>
      </w:r>
    </w:p>
    <w:p w14:paraId="153C6C73" w14:textId="764A8DEC" w:rsidR="00B34B9B" w:rsidRPr="00831F5A" w:rsidRDefault="00B34B9B" w:rsidP="00677A80">
      <w:pPr>
        <w:pStyle w:val="StandaardUitvullen"/>
        <w:ind w:left="0"/>
        <w:rPr>
          <w:rFonts w:cs="Arial"/>
          <w:bCs/>
          <w:lang w:val="nl-BE" w:eastAsia="en-US"/>
        </w:rPr>
      </w:pPr>
      <w:r w:rsidRPr="00831F5A">
        <w:rPr>
          <w:rFonts w:cs="Arial"/>
          <w:bCs/>
          <w:lang w:val="nl-BE" w:eastAsia="en-US"/>
        </w:rPr>
        <w:t>§5</w:t>
      </w:r>
      <w:r w:rsidR="00831F5A" w:rsidRPr="00831F5A">
        <w:rPr>
          <w:rFonts w:cs="Arial"/>
          <w:bCs/>
          <w:lang w:val="nl-BE" w:eastAsia="en-US"/>
        </w:rPr>
        <w:t>.</w:t>
      </w:r>
      <w:r w:rsidRPr="00831F5A">
        <w:rPr>
          <w:rFonts w:cs="Arial"/>
          <w:bCs/>
          <w:lang w:val="nl-BE" w:eastAsia="en-US"/>
        </w:rPr>
        <w:t xml:space="preserve"> Het functiecomplement wordt gekoppeld aan het indexcijfer van de gezondheidsindex van het Rijk, overeenkomstig de modaliteiten welke zijn vastgesteld bij de wet van 1 maart 1977 houdende inrichting van een stelsel waarbij sommige uitgaven in de overheidssector aan het indexcijfer van de consumptieprijzen van het Rijk worden gekoppeld.</w:t>
      </w:r>
    </w:p>
    <w:p w14:paraId="4A1942C8" w14:textId="461B738E" w:rsidR="00B34B9B" w:rsidRPr="00831F5A" w:rsidRDefault="00B34B9B" w:rsidP="00677A80">
      <w:pPr>
        <w:pStyle w:val="StandaardUitvullen"/>
        <w:ind w:left="0"/>
        <w:rPr>
          <w:rFonts w:cs="Arial"/>
          <w:bCs/>
          <w:lang w:val="nl-BE" w:eastAsia="en-US"/>
        </w:rPr>
      </w:pPr>
      <w:r w:rsidRPr="00831F5A">
        <w:rPr>
          <w:rFonts w:cs="Arial"/>
          <w:bCs/>
          <w:lang w:val="nl-BE" w:eastAsia="en-US"/>
        </w:rPr>
        <w:t>§6</w:t>
      </w:r>
      <w:r w:rsidR="00831F5A" w:rsidRPr="00831F5A">
        <w:rPr>
          <w:rFonts w:cs="Arial"/>
          <w:bCs/>
          <w:lang w:val="nl-BE" w:eastAsia="en-US"/>
        </w:rPr>
        <w:t>.</w:t>
      </w:r>
      <w:r w:rsidRPr="00831F5A">
        <w:rPr>
          <w:rFonts w:cs="Arial"/>
          <w:bCs/>
          <w:lang w:val="nl-BE" w:eastAsia="en-US"/>
        </w:rPr>
        <w:t xml:space="preserve"> De voordelen zullen slechts effectief worden toegekend, voor zover de regering de ten laste neming van de kost verzekert volgens de bepalingen van punt 14 van het sociaal akkoord betreffende de federale gezondheidssectoren (publieke sector) van 18 juli 2005.</w:t>
      </w:r>
    </w:p>
    <w:p w14:paraId="4623C5AD" w14:textId="228D1E67" w:rsidR="00B34B9B" w:rsidRPr="00831F5A" w:rsidRDefault="00B34B9B" w:rsidP="00677A80">
      <w:pPr>
        <w:pStyle w:val="StandaardUitvullen"/>
        <w:ind w:left="0"/>
        <w:rPr>
          <w:rFonts w:cs="Arial"/>
          <w:bCs/>
          <w:lang w:val="nl-BE" w:eastAsia="en-US"/>
        </w:rPr>
      </w:pPr>
      <w:r w:rsidRPr="00831F5A">
        <w:rPr>
          <w:rFonts w:cs="Arial"/>
          <w:bCs/>
          <w:lang w:val="nl-BE" w:eastAsia="en-US"/>
        </w:rPr>
        <w:t>§7</w:t>
      </w:r>
      <w:r w:rsidR="00831F5A" w:rsidRPr="00831F5A">
        <w:rPr>
          <w:rFonts w:cs="Arial"/>
          <w:bCs/>
          <w:lang w:val="nl-BE" w:eastAsia="en-US"/>
        </w:rPr>
        <w:t>.</w:t>
      </w:r>
      <w:r w:rsidRPr="00831F5A">
        <w:rPr>
          <w:rFonts w:cs="Arial"/>
          <w:bCs/>
          <w:lang w:val="nl-BE" w:eastAsia="en-US"/>
        </w:rPr>
        <w:t xml:space="preserve"> Dit artikel treedt in werking op 1 januari 2008.</w:t>
      </w:r>
    </w:p>
    <w:p w14:paraId="41FB1F6A" w14:textId="35213D39" w:rsidR="003A11FB" w:rsidRPr="00037A46" w:rsidRDefault="003A11FB" w:rsidP="003A11FB">
      <w:pPr>
        <w:pStyle w:val="Kop3"/>
        <w:rPr>
          <w:bCs/>
        </w:rPr>
      </w:pPr>
      <w:bookmarkStart w:id="287" w:name="_Toc110948255"/>
      <w:bookmarkStart w:id="288" w:name="_Toc215739057"/>
      <w:r w:rsidRPr="00037A46">
        <w:rPr>
          <w:bCs/>
        </w:rPr>
        <w:t xml:space="preserve">Afdeling </w:t>
      </w:r>
      <w:r w:rsidR="002729BD">
        <w:rPr>
          <w:bCs/>
        </w:rPr>
        <w:t>3</w:t>
      </w:r>
      <w:r w:rsidRPr="00037A46">
        <w:rPr>
          <w:bCs/>
        </w:rPr>
        <w:t>. overgangsbepalingen over diverse lopende procedures en lopende periodes</w:t>
      </w:r>
      <w:bookmarkEnd w:id="287"/>
      <w:bookmarkEnd w:id="288"/>
    </w:p>
    <w:p w14:paraId="59F10617" w14:textId="6F129A54" w:rsidR="003A11FB" w:rsidRPr="00037A46" w:rsidRDefault="00011D9E" w:rsidP="003A11FB">
      <w:pPr>
        <w:pStyle w:val="Kop5"/>
      </w:pPr>
      <w:r w:rsidRPr="00037A46">
        <w:t xml:space="preserve">Artikel </w:t>
      </w:r>
      <w:r w:rsidR="008E0576" w:rsidRPr="00831F5A">
        <w:t>23</w:t>
      </w:r>
      <w:r w:rsidR="008C18B6" w:rsidRPr="00831F5A">
        <w:t>8</w:t>
      </w:r>
    </w:p>
    <w:p w14:paraId="0E837F5E" w14:textId="56994601" w:rsidR="003A11FB" w:rsidRPr="00831F5A" w:rsidRDefault="00057DE7" w:rsidP="00677A80">
      <w:pPr>
        <w:ind w:left="0"/>
        <w:rPr>
          <w:bCs/>
        </w:rPr>
      </w:pPr>
      <w:bookmarkStart w:id="289" w:name="OLE_LINK27"/>
      <w:bookmarkStart w:id="290" w:name="OLE_LINK28"/>
      <w:r w:rsidRPr="00831F5A">
        <w:rPr>
          <w:bCs/>
        </w:rPr>
        <w:t>§</w:t>
      </w:r>
      <w:r w:rsidR="003A11FB" w:rsidRPr="00831F5A">
        <w:rPr>
          <w:bCs/>
        </w:rPr>
        <w:t>1</w:t>
      </w:r>
      <w:r w:rsidR="00831F5A" w:rsidRPr="00831F5A">
        <w:rPr>
          <w:bCs/>
        </w:rPr>
        <w:t>.</w:t>
      </w:r>
      <w:r w:rsidR="00E25E46" w:rsidRPr="00831F5A">
        <w:rPr>
          <w:bCs/>
        </w:rPr>
        <w:t xml:space="preserve"> </w:t>
      </w:r>
      <w:bookmarkEnd w:id="289"/>
      <w:bookmarkEnd w:id="290"/>
      <w:r w:rsidR="003A11FB" w:rsidRPr="00831F5A">
        <w:rPr>
          <w:bCs/>
        </w:rPr>
        <w:t>Procedures van aanwerving, bevordering of interne personeelsmobiliteit die opgestart zijn voor de datum van inwerkingtreding van deze rechtspositieregeling, worden afgewerkt in overeenstemming met de regels die van toepassing waren op het ogenblik dat ze werden opgest</w:t>
      </w:r>
      <w:r w:rsidR="00011D9E" w:rsidRPr="00831F5A">
        <w:rPr>
          <w:bCs/>
        </w:rPr>
        <w:t>art.</w:t>
      </w:r>
    </w:p>
    <w:p w14:paraId="58E0EE39" w14:textId="2E107656" w:rsidR="00855674" w:rsidRDefault="00057DE7" w:rsidP="00E57000">
      <w:pPr>
        <w:ind w:left="0"/>
      </w:pPr>
      <w:r w:rsidRPr="00831F5A">
        <w:rPr>
          <w:bCs/>
        </w:rPr>
        <w:t>§</w:t>
      </w:r>
      <w:r w:rsidR="003A11FB" w:rsidRPr="00831F5A">
        <w:rPr>
          <w:bCs/>
        </w:rPr>
        <w:t>2</w:t>
      </w:r>
      <w:r w:rsidR="00831F5A" w:rsidRPr="00831F5A">
        <w:rPr>
          <w:bCs/>
        </w:rPr>
        <w:t>.</w:t>
      </w:r>
      <w:r w:rsidR="00E25E46" w:rsidRPr="00831F5A">
        <w:rPr>
          <w:bCs/>
        </w:rPr>
        <w:t xml:space="preserve"> </w:t>
      </w:r>
      <w:r w:rsidR="003A11FB" w:rsidRPr="00831F5A">
        <w:rPr>
          <w:bCs/>
        </w:rPr>
        <w:t>Wie voor de datum van het van kracht worden van deze rechtspositieregeling opgenomen is in een wervings-</w:t>
      </w:r>
      <w:r w:rsidR="003A11FB" w:rsidRPr="00037A46">
        <w:t xml:space="preserve"> of bevorderingsreserve, behoudt voor de duur ervan zijn aanspraken.</w:t>
      </w:r>
    </w:p>
    <w:p w14:paraId="2A8EF297" w14:textId="429C85A8" w:rsidR="003A11FB" w:rsidRPr="00037A46" w:rsidRDefault="00B94AF2" w:rsidP="00677A80">
      <w:pPr>
        <w:pStyle w:val="Kop5"/>
      </w:pPr>
      <w:r w:rsidRPr="00037A46">
        <w:t xml:space="preserve">Artikel </w:t>
      </w:r>
      <w:r w:rsidR="008E0576" w:rsidRPr="00831F5A">
        <w:t>2</w:t>
      </w:r>
      <w:r w:rsidR="008C18B6" w:rsidRPr="00831F5A">
        <w:t>39</w:t>
      </w:r>
    </w:p>
    <w:p w14:paraId="48FD4C91" w14:textId="34AED958" w:rsidR="00E05C18" w:rsidRPr="00831F5A" w:rsidRDefault="00E05C18" w:rsidP="00677A80">
      <w:pPr>
        <w:ind w:left="0"/>
        <w:rPr>
          <w:bCs/>
        </w:rPr>
      </w:pPr>
      <w:r w:rsidRPr="00831F5A">
        <w:rPr>
          <w:bCs/>
        </w:rPr>
        <w:t>§1</w:t>
      </w:r>
      <w:r w:rsidR="00831F5A" w:rsidRPr="00831F5A">
        <w:rPr>
          <w:bCs/>
        </w:rPr>
        <w:t>.</w:t>
      </w:r>
      <w:r w:rsidRPr="00831F5A">
        <w:rPr>
          <w:bCs/>
        </w:rPr>
        <w:t xml:space="preserve"> Op grond  van artikel 10, decreet van 13 juli 2012 houdende wijziging van 10 april 1995 betreffende de herverdeling van de arbeid in de openbare sector en tot opheffing van regelgeving houdende de uitvoering van artikel 14 en 27, § 4, van dezelfde wet kunnen personeelsleden die zich op 31/12/2011 in het stelsel van de vrijwillige vierdagenweek bevinden op persoonlijke titel en voor onbepaalde duur onder het toepassingsgebied van de wet van 10 april 1995 vallen, met inbegrip van het weddecomplement.</w:t>
      </w:r>
    </w:p>
    <w:p w14:paraId="386F3BFB" w14:textId="2C071647" w:rsidR="00E05C18" w:rsidRPr="00037A46" w:rsidRDefault="00E05C18" w:rsidP="00677A80">
      <w:pPr>
        <w:ind w:left="0"/>
      </w:pPr>
      <w:r w:rsidRPr="00831F5A">
        <w:rPr>
          <w:bCs/>
        </w:rPr>
        <w:t>§2</w:t>
      </w:r>
      <w:r w:rsidR="00831F5A" w:rsidRPr="00831F5A">
        <w:rPr>
          <w:bCs/>
        </w:rPr>
        <w:t>.</w:t>
      </w:r>
      <w:r w:rsidRPr="00831F5A">
        <w:rPr>
          <w:bCs/>
        </w:rPr>
        <w:t xml:space="preserve"> Op</w:t>
      </w:r>
      <w:r w:rsidRPr="00037A46">
        <w:t xml:space="preserve"> grond van hetzelfde decreet van 13 juli 2012, artikel 10, kunnen personeelsleden vanaf 01 januari 2013 geen nieuwe aanvragen meer indienen.</w:t>
      </w:r>
    </w:p>
    <w:p w14:paraId="73A83D33" w14:textId="31C72565" w:rsidR="003A11FB" w:rsidRPr="00037A46" w:rsidRDefault="00B94AF2" w:rsidP="003A11FB">
      <w:pPr>
        <w:pStyle w:val="Kop5"/>
      </w:pPr>
      <w:r w:rsidRPr="00037A46">
        <w:t xml:space="preserve">Artikel </w:t>
      </w:r>
      <w:r w:rsidR="008E0576" w:rsidRPr="00831F5A">
        <w:t>24</w:t>
      </w:r>
      <w:r w:rsidR="008C18B6" w:rsidRPr="00831F5A">
        <w:t>0</w:t>
      </w:r>
    </w:p>
    <w:p w14:paraId="1840BDEC" w14:textId="233847FC" w:rsidR="003A11FB" w:rsidRPr="00831F5A" w:rsidRDefault="0039233B" w:rsidP="00677A80">
      <w:pPr>
        <w:pStyle w:val="StandaardUitvullen"/>
        <w:ind w:left="0"/>
        <w:rPr>
          <w:bCs/>
        </w:rPr>
      </w:pPr>
      <w:r w:rsidRPr="00831F5A">
        <w:rPr>
          <w:bCs/>
        </w:rPr>
        <w:t>§1</w:t>
      </w:r>
      <w:r w:rsidR="00831F5A" w:rsidRPr="00831F5A">
        <w:rPr>
          <w:bCs/>
        </w:rPr>
        <w:t>.</w:t>
      </w:r>
      <w:r w:rsidRPr="00831F5A">
        <w:rPr>
          <w:bCs/>
        </w:rPr>
        <w:t xml:space="preserve"> </w:t>
      </w:r>
      <w:r w:rsidR="003A11FB" w:rsidRPr="00831F5A">
        <w:rPr>
          <w:bCs/>
        </w:rPr>
        <w:t xml:space="preserve">De verloven en afwezigheden die al toegekend waren, op het ogenblik van het van kracht worden van de gewijzigde regeling, blijven toegekend voor de toegestane duur en volgens de regels die geldig waren op het ogenblik van de toekenning. </w:t>
      </w:r>
    </w:p>
    <w:p w14:paraId="06C2CBE6" w14:textId="77777777" w:rsidR="003A11FB" w:rsidRPr="00831F5A" w:rsidRDefault="003A11FB" w:rsidP="00677A80">
      <w:pPr>
        <w:pStyle w:val="StandaardUitvullen"/>
        <w:ind w:left="0"/>
        <w:rPr>
          <w:bCs/>
        </w:rPr>
      </w:pPr>
      <w:r w:rsidRPr="00831F5A">
        <w:rPr>
          <w:bCs/>
        </w:rPr>
        <w:t xml:space="preserve">Nieuwe aanvragen worden behandeld overeenkomstig de bepalingen van deze rechtspositieregeling. </w:t>
      </w:r>
    </w:p>
    <w:p w14:paraId="7A14DCC4" w14:textId="2C1F92DF" w:rsidR="0039233B" w:rsidRPr="00037A46" w:rsidRDefault="0039233B" w:rsidP="00677A80">
      <w:pPr>
        <w:ind w:left="0"/>
        <w:rPr>
          <w:rFonts w:cs="Arial"/>
        </w:rPr>
      </w:pPr>
      <w:r w:rsidRPr="00831F5A">
        <w:rPr>
          <w:rFonts w:cs="Arial"/>
          <w:bCs/>
        </w:rPr>
        <w:t>§2</w:t>
      </w:r>
      <w:r w:rsidR="00831F5A" w:rsidRPr="00831F5A">
        <w:rPr>
          <w:rFonts w:cs="Arial"/>
          <w:bCs/>
        </w:rPr>
        <w:t>.</w:t>
      </w:r>
      <w:r w:rsidRPr="00831F5A">
        <w:rPr>
          <w:rFonts w:cs="Arial"/>
          <w:bCs/>
        </w:rPr>
        <w:t xml:space="preserve"> Het</w:t>
      </w:r>
      <w:r w:rsidRPr="00037A46">
        <w:rPr>
          <w:rFonts w:cs="Arial"/>
        </w:rPr>
        <w:t xml:space="preserve"> statutaire personeelslid in dienst op 31 december 2010 dat behoort tot het personeel in artikel </w:t>
      </w:r>
      <w:r w:rsidR="002D3A4C" w:rsidRPr="00037A46">
        <w:rPr>
          <w:rFonts w:cs="Arial"/>
        </w:rPr>
        <w:t>186 DLB</w:t>
      </w:r>
      <w:r w:rsidRPr="00037A46">
        <w:rPr>
          <w:rFonts w:cs="Arial"/>
        </w:rPr>
        <w:t xml:space="preserve">, behoudt voor de verdere duur van de loopbaan bij het OCMW de regeling over het aantal dagen jaarlijkse vakantie, die op de datum van inwerkingtreding van dit besluit op grond van de plaatselijke rechtspositieregeling van kracht was, als dat aantal jaarlijkse </w:t>
      </w:r>
      <w:r w:rsidRPr="001B1215">
        <w:rPr>
          <w:rFonts w:cs="Arial"/>
        </w:rPr>
        <w:t xml:space="preserve">vakantiedagen hoger is dan het aantal, dat de raad bepaalt met toepassing van artikel </w:t>
      </w:r>
      <w:r w:rsidR="009C642B">
        <w:rPr>
          <w:rFonts w:cs="Arial"/>
        </w:rPr>
        <w:t>163</w:t>
      </w:r>
      <w:r w:rsidRPr="001B1215">
        <w:rPr>
          <w:rFonts w:cs="Arial"/>
        </w:rPr>
        <w:t xml:space="preserve"> §1.</w:t>
      </w:r>
    </w:p>
    <w:p w14:paraId="0D663D79" w14:textId="77777777" w:rsidR="0039233B" w:rsidRPr="00037A46" w:rsidRDefault="0039233B" w:rsidP="00677A80">
      <w:pPr>
        <w:ind w:left="0"/>
        <w:rPr>
          <w:rFonts w:cs="Arial"/>
        </w:rPr>
      </w:pPr>
      <w:r w:rsidRPr="00037A46">
        <w:rPr>
          <w:rFonts w:cs="Arial"/>
        </w:rPr>
        <w:t>Volgende regeling was op 31 december 2010 van toepassing:</w:t>
      </w:r>
    </w:p>
    <w:p w14:paraId="2650FE96" w14:textId="77777777" w:rsidR="0039233B" w:rsidRPr="00037A46" w:rsidRDefault="0039233B" w:rsidP="00677A80">
      <w:pPr>
        <w:ind w:left="0"/>
        <w:rPr>
          <w:rFonts w:cs="Arial"/>
        </w:rPr>
      </w:pPr>
      <w:r w:rsidRPr="00037A46">
        <w:rPr>
          <w:rFonts w:cs="Arial"/>
        </w:rPr>
        <w:t>Het voltijds personeelslid met minder dan vijf jaar anciënniteit bij het eigen bestuur heeft recht op 30 werkdagen betaalde vakantie voor een volledig dienstjaar, waarvan 20 dagen als de wettelijke dagen worden beschouwd en 10 dagen als de vakantiedagen van het eigen bestuur (extra dagen).</w:t>
      </w:r>
    </w:p>
    <w:p w14:paraId="0C4379BE" w14:textId="77777777" w:rsidR="0039233B" w:rsidRPr="00037A46" w:rsidRDefault="0039233B" w:rsidP="00677A80">
      <w:pPr>
        <w:ind w:left="0"/>
        <w:rPr>
          <w:rFonts w:cs="Arial"/>
        </w:rPr>
      </w:pPr>
      <w:r w:rsidRPr="00037A46">
        <w:rPr>
          <w:rFonts w:cs="Arial"/>
        </w:rPr>
        <w:lastRenderedPageBreak/>
        <w:t>Eén bijkomende werkdag betaalde vakantie wordt toegekend bij het bereiken van:</w:t>
      </w:r>
    </w:p>
    <w:p w14:paraId="13A218CF" w14:textId="68A17AB5" w:rsidR="0039233B" w:rsidRPr="00037A46" w:rsidRDefault="0096281A" w:rsidP="009D4C40">
      <w:pPr>
        <w:numPr>
          <w:ilvl w:val="0"/>
          <w:numId w:val="29"/>
        </w:numPr>
        <w:spacing w:before="40" w:after="40"/>
        <w:ind w:left="1208" w:hanging="357"/>
        <w:rPr>
          <w:rFonts w:cs="Arial"/>
        </w:rPr>
      </w:pPr>
      <w:r w:rsidRPr="00037A46">
        <w:rPr>
          <w:rFonts w:cs="Arial"/>
        </w:rPr>
        <w:t>Vijf</w:t>
      </w:r>
      <w:r w:rsidR="0039233B" w:rsidRPr="00037A46">
        <w:rPr>
          <w:rFonts w:cs="Arial"/>
        </w:rPr>
        <w:t xml:space="preserve"> jaar anciënniteit bij het eigen bestuur;</w:t>
      </w:r>
    </w:p>
    <w:p w14:paraId="4C9E8C2C" w14:textId="4D7980DF" w:rsidR="0039233B" w:rsidRPr="00037A46" w:rsidRDefault="0096281A" w:rsidP="009D4C40">
      <w:pPr>
        <w:numPr>
          <w:ilvl w:val="0"/>
          <w:numId w:val="29"/>
        </w:numPr>
        <w:spacing w:before="40" w:after="40"/>
        <w:ind w:left="1208" w:hanging="357"/>
        <w:rPr>
          <w:rFonts w:cs="Arial"/>
        </w:rPr>
      </w:pPr>
      <w:r w:rsidRPr="00037A46">
        <w:rPr>
          <w:rFonts w:cs="Arial"/>
        </w:rPr>
        <w:t>Tien</w:t>
      </w:r>
      <w:r w:rsidR="0039233B" w:rsidRPr="00037A46">
        <w:rPr>
          <w:rFonts w:cs="Arial"/>
        </w:rPr>
        <w:t xml:space="preserve"> jaar anciënniteit bij het eigen bestuur;</w:t>
      </w:r>
    </w:p>
    <w:p w14:paraId="79745F0E" w14:textId="603639A9" w:rsidR="0039233B" w:rsidRPr="00037A46" w:rsidRDefault="0096281A" w:rsidP="009D4C40">
      <w:pPr>
        <w:numPr>
          <w:ilvl w:val="0"/>
          <w:numId w:val="29"/>
        </w:numPr>
        <w:spacing w:before="40" w:after="40"/>
        <w:ind w:left="1208" w:hanging="357"/>
        <w:rPr>
          <w:rFonts w:cs="Arial"/>
        </w:rPr>
      </w:pPr>
      <w:r w:rsidRPr="00037A46">
        <w:rPr>
          <w:rFonts w:cs="Arial"/>
        </w:rPr>
        <w:t>Vijftien</w:t>
      </w:r>
      <w:r w:rsidR="0039233B" w:rsidRPr="00037A46">
        <w:rPr>
          <w:rFonts w:cs="Arial"/>
        </w:rPr>
        <w:t xml:space="preserve"> jaar anciënniteit bij het eigen bestuur;</w:t>
      </w:r>
    </w:p>
    <w:p w14:paraId="006F8B95" w14:textId="3DF91612" w:rsidR="0039233B" w:rsidRPr="00037A46" w:rsidRDefault="0096281A" w:rsidP="009D4C40">
      <w:pPr>
        <w:numPr>
          <w:ilvl w:val="0"/>
          <w:numId w:val="29"/>
        </w:numPr>
        <w:spacing w:before="40" w:after="40"/>
        <w:ind w:left="1208" w:hanging="357"/>
        <w:rPr>
          <w:rFonts w:cs="Arial"/>
        </w:rPr>
      </w:pPr>
      <w:r w:rsidRPr="00037A46">
        <w:rPr>
          <w:rFonts w:cs="Arial"/>
        </w:rPr>
        <w:t>Twintig</w:t>
      </w:r>
      <w:r w:rsidR="0039233B" w:rsidRPr="00037A46">
        <w:rPr>
          <w:rFonts w:cs="Arial"/>
        </w:rPr>
        <w:t xml:space="preserve"> jaar anciënniteit bij het eigen bestuur;</w:t>
      </w:r>
    </w:p>
    <w:p w14:paraId="524A9165" w14:textId="35A18530" w:rsidR="0039233B" w:rsidRPr="00037A46" w:rsidRDefault="0096281A" w:rsidP="009D4C40">
      <w:pPr>
        <w:numPr>
          <w:ilvl w:val="0"/>
          <w:numId w:val="29"/>
        </w:numPr>
        <w:spacing w:before="40" w:after="40"/>
        <w:ind w:left="1208" w:hanging="357"/>
        <w:rPr>
          <w:rFonts w:cs="Arial"/>
        </w:rPr>
      </w:pPr>
      <w:r w:rsidRPr="00037A46">
        <w:rPr>
          <w:rFonts w:cs="Arial"/>
        </w:rPr>
        <w:t>Vijfentwintig</w:t>
      </w:r>
      <w:r w:rsidR="0039233B" w:rsidRPr="00037A46">
        <w:rPr>
          <w:rFonts w:cs="Arial"/>
        </w:rPr>
        <w:t xml:space="preserve"> jaar anciënniteit bij het eigen bestuur.</w:t>
      </w:r>
    </w:p>
    <w:p w14:paraId="11B8A75D" w14:textId="77777777" w:rsidR="0039233B" w:rsidRPr="00831F5A" w:rsidRDefault="0039233B" w:rsidP="0039233B">
      <w:pPr>
        <w:rPr>
          <w:rFonts w:cs="Arial"/>
        </w:rPr>
      </w:pPr>
      <w:r w:rsidRPr="00037A46">
        <w:rPr>
          <w:rFonts w:cs="Arial"/>
        </w:rPr>
        <w:t xml:space="preserve">De bijkomende werkdag betaalde vakantie wordt toegekend op basis van de anciënniteit die </w:t>
      </w:r>
      <w:r w:rsidRPr="00831F5A">
        <w:rPr>
          <w:rFonts w:cs="Arial"/>
        </w:rPr>
        <w:t>het personeelslid in de loop van het kalenderjaar binnen het eigen bestuur bereikt.</w:t>
      </w:r>
    </w:p>
    <w:p w14:paraId="73F9474A" w14:textId="38C7C877" w:rsidR="0039233B" w:rsidRPr="00831F5A" w:rsidRDefault="0039233B" w:rsidP="00677A80">
      <w:pPr>
        <w:pStyle w:val="StandaardUitvullen"/>
        <w:ind w:left="0"/>
        <w:rPr>
          <w:rFonts w:cs="Arial"/>
        </w:rPr>
      </w:pPr>
      <w:r w:rsidRPr="00831F5A">
        <w:rPr>
          <w:rFonts w:cs="Arial"/>
        </w:rPr>
        <w:t>§3</w:t>
      </w:r>
      <w:r w:rsidR="00831F5A" w:rsidRPr="00831F5A">
        <w:rPr>
          <w:rFonts w:cs="Arial"/>
        </w:rPr>
        <w:t>.</w:t>
      </w:r>
      <w:r w:rsidRPr="00831F5A">
        <w:rPr>
          <w:rFonts w:cs="Arial"/>
        </w:rPr>
        <w:t xml:space="preserve"> Het statutaire personeelslid in dienst op 31 december 2010 dat behoort tot het personeel in artikel </w:t>
      </w:r>
      <w:r w:rsidR="002D3A4C" w:rsidRPr="00831F5A">
        <w:rPr>
          <w:rFonts w:cs="Arial"/>
        </w:rPr>
        <w:t xml:space="preserve">186 </w:t>
      </w:r>
      <w:r w:rsidRPr="00831F5A">
        <w:rPr>
          <w:rFonts w:cs="Arial"/>
        </w:rPr>
        <w:t>D</w:t>
      </w:r>
      <w:r w:rsidR="002D3A4C" w:rsidRPr="00831F5A">
        <w:rPr>
          <w:rFonts w:cs="Arial"/>
        </w:rPr>
        <w:t>LB</w:t>
      </w:r>
      <w:r w:rsidRPr="00831F5A">
        <w:rPr>
          <w:rFonts w:cs="Arial"/>
        </w:rPr>
        <w:t xml:space="preserve">, behoudt voor de verdere duur van de loopbaan bij het OCMW de regeling over het aantal feestdagen, die voor de datum van inwerkingtreding van dit besluit op grond van de plaatselijke rechtspositieregeling van kracht was, als dat aantal feestdagen op jaarbasis hoger is dan het aantal, vermeld in artikel </w:t>
      </w:r>
      <w:r w:rsidR="00616896" w:rsidRPr="00831F5A">
        <w:rPr>
          <w:rFonts w:cs="Arial"/>
        </w:rPr>
        <w:t>1</w:t>
      </w:r>
      <w:r w:rsidR="000C4F11" w:rsidRPr="00831F5A">
        <w:rPr>
          <w:rFonts w:cs="Arial"/>
        </w:rPr>
        <w:t>86</w:t>
      </w:r>
      <w:r w:rsidRPr="00831F5A">
        <w:rPr>
          <w:rFonts w:cs="Arial"/>
        </w:rPr>
        <w:t xml:space="preserve"> §</w:t>
      </w:r>
      <w:r w:rsidR="000C4F11" w:rsidRPr="00831F5A">
        <w:rPr>
          <w:rFonts w:cs="Arial"/>
        </w:rPr>
        <w:t>1</w:t>
      </w:r>
      <w:r w:rsidRPr="00831F5A">
        <w:rPr>
          <w:rFonts w:cs="Arial"/>
        </w:rPr>
        <w:t>.</w:t>
      </w:r>
    </w:p>
    <w:p w14:paraId="3D30DE0A" w14:textId="77777777" w:rsidR="0039233B" w:rsidRPr="00831F5A" w:rsidRDefault="0039233B" w:rsidP="00677A80">
      <w:pPr>
        <w:ind w:left="0"/>
        <w:rPr>
          <w:rFonts w:cs="Arial"/>
        </w:rPr>
      </w:pPr>
      <w:r w:rsidRPr="00831F5A">
        <w:rPr>
          <w:rFonts w:cs="Arial"/>
        </w:rPr>
        <w:t>Volgende regeling was op 31 december 2010 van toepassing:</w:t>
      </w:r>
    </w:p>
    <w:p w14:paraId="16C2FEBA" w14:textId="77777777" w:rsidR="0039233B" w:rsidRPr="00831F5A" w:rsidRDefault="0039233B" w:rsidP="00677A80">
      <w:pPr>
        <w:pStyle w:val="StandaardUitvullen"/>
        <w:ind w:left="0"/>
        <w:rPr>
          <w:rFonts w:cs="Arial"/>
        </w:rPr>
      </w:pPr>
      <w:r w:rsidRPr="00831F5A">
        <w:rPr>
          <w:rFonts w:cs="Arial"/>
        </w:rPr>
        <w:t xml:space="preserve">Het personeelslid heeft betaalde vakantie op de volgende feestdagen: </w:t>
      </w:r>
    </w:p>
    <w:p w14:paraId="51B2D7EC" w14:textId="77777777" w:rsidR="0039233B" w:rsidRPr="00831F5A" w:rsidRDefault="0039233B" w:rsidP="009D4C40">
      <w:pPr>
        <w:pStyle w:val="StandaardUitvullen"/>
        <w:numPr>
          <w:ilvl w:val="0"/>
          <w:numId w:val="31"/>
        </w:numPr>
        <w:spacing w:before="40" w:after="0"/>
        <w:ind w:left="1775" w:hanging="357"/>
        <w:rPr>
          <w:rFonts w:cs="Arial"/>
        </w:rPr>
      </w:pPr>
      <w:r w:rsidRPr="00831F5A">
        <w:rPr>
          <w:rFonts w:cs="Arial"/>
        </w:rPr>
        <w:t>1 januari;</w:t>
      </w:r>
    </w:p>
    <w:p w14:paraId="551254F8" w14:textId="77777777" w:rsidR="0039233B" w:rsidRPr="00831F5A" w:rsidRDefault="0039233B" w:rsidP="009D4C40">
      <w:pPr>
        <w:pStyle w:val="StandaardUitvullen"/>
        <w:numPr>
          <w:ilvl w:val="0"/>
          <w:numId w:val="31"/>
        </w:numPr>
        <w:spacing w:before="40" w:after="0"/>
        <w:ind w:left="1775" w:hanging="357"/>
        <w:rPr>
          <w:rFonts w:cs="Arial"/>
        </w:rPr>
      </w:pPr>
      <w:r w:rsidRPr="00831F5A">
        <w:rPr>
          <w:rFonts w:cs="Arial"/>
        </w:rPr>
        <w:t>Paasmaandag;</w:t>
      </w:r>
    </w:p>
    <w:p w14:paraId="3B529EF0" w14:textId="77777777" w:rsidR="0039233B" w:rsidRPr="00831F5A" w:rsidRDefault="0039233B" w:rsidP="009D4C40">
      <w:pPr>
        <w:pStyle w:val="StandaardUitvullen"/>
        <w:numPr>
          <w:ilvl w:val="0"/>
          <w:numId w:val="31"/>
        </w:numPr>
        <w:spacing w:before="40" w:after="0"/>
        <w:ind w:left="1775" w:hanging="357"/>
        <w:rPr>
          <w:rFonts w:cs="Arial"/>
        </w:rPr>
      </w:pPr>
      <w:r w:rsidRPr="00831F5A">
        <w:rPr>
          <w:rFonts w:cs="Arial"/>
        </w:rPr>
        <w:t>1 mei;</w:t>
      </w:r>
    </w:p>
    <w:p w14:paraId="6BA825CA" w14:textId="77777777" w:rsidR="0039233B" w:rsidRPr="00831F5A" w:rsidRDefault="0039233B" w:rsidP="009D4C40">
      <w:pPr>
        <w:pStyle w:val="StandaardUitvullen"/>
        <w:numPr>
          <w:ilvl w:val="0"/>
          <w:numId w:val="31"/>
        </w:numPr>
        <w:spacing w:before="40" w:after="0"/>
        <w:ind w:left="1775" w:hanging="357"/>
        <w:rPr>
          <w:rFonts w:cs="Arial"/>
        </w:rPr>
      </w:pPr>
      <w:r w:rsidRPr="00831F5A">
        <w:rPr>
          <w:rFonts w:cs="Arial"/>
        </w:rPr>
        <w:t>Hemelvaartsdag;</w:t>
      </w:r>
    </w:p>
    <w:p w14:paraId="2CBEB6F6" w14:textId="77777777" w:rsidR="0039233B" w:rsidRPr="00831F5A" w:rsidRDefault="0039233B" w:rsidP="009D4C40">
      <w:pPr>
        <w:pStyle w:val="StandaardUitvullen"/>
        <w:numPr>
          <w:ilvl w:val="0"/>
          <w:numId w:val="31"/>
        </w:numPr>
        <w:spacing w:before="40" w:after="0"/>
        <w:ind w:left="1775" w:hanging="357"/>
        <w:rPr>
          <w:rFonts w:cs="Arial"/>
        </w:rPr>
      </w:pPr>
      <w:r w:rsidRPr="00831F5A">
        <w:rPr>
          <w:rFonts w:cs="Arial"/>
        </w:rPr>
        <w:t>Pinkstermaandag;</w:t>
      </w:r>
    </w:p>
    <w:p w14:paraId="2B7DC985" w14:textId="77777777" w:rsidR="0039233B" w:rsidRPr="00831F5A" w:rsidRDefault="0039233B" w:rsidP="009D4C40">
      <w:pPr>
        <w:pStyle w:val="StandaardUitvullen"/>
        <w:numPr>
          <w:ilvl w:val="0"/>
          <w:numId w:val="31"/>
        </w:numPr>
        <w:spacing w:before="40" w:after="0"/>
        <w:ind w:left="1775" w:hanging="357"/>
        <w:rPr>
          <w:rFonts w:cs="Arial"/>
        </w:rPr>
      </w:pPr>
      <w:r w:rsidRPr="00831F5A">
        <w:rPr>
          <w:rFonts w:cs="Arial"/>
        </w:rPr>
        <w:t>11 juli;</w:t>
      </w:r>
    </w:p>
    <w:p w14:paraId="13A8B81B" w14:textId="77777777" w:rsidR="0039233B" w:rsidRPr="00831F5A" w:rsidRDefault="0039233B" w:rsidP="009D4C40">
      <w:pPr>
        <w:pStyle w:val="StandaardUitvullen"/>
        <w:numPr>
          <w:ilvl w:val="0"/>
          <w:numId w:val="31"/>
        </w:numPr>
        <w:spacing w:before="40" w:after="0"/>
        <w:ind w:left="1775" w:hanging="357"/>
        <w:rPr>
          <w:rFonts w:cs="Arial"/>
        </w:rPr>
      </w:pPr>
      <w:r w:rsidRPr="00831F5A">
        <w:rPr>
          <w:rFonts w:cs="Arial"/>
        </w:rPr>
        <w:t>21 juli;</w:t>
      </w:r>
    </w:p>
    <w:p w14:paraId="4AAB8D8B" w14:textId="77777777" w:rsidR="0039233B" w:rsidRPr="00831F5A" w:rsidRDefault="0039233B" w:rsidP="009D4C40">
      <w:pPr>
        <w:pStyle w:val="StandaardUitvullen"/>
        <w:numPr>
          <w:ilvl w:val="0"/>
          <w:numId w:val="31"/>
        </w:numPr>
        <w:spacing w:before="40" w:after="0"/>
        <w:ind w:left="1775" w:hanging="357"/>
        <w:rPr>
          <w:rFonts w:cs="Arial"/>
        </w:rPr>
      </w:pPr>
      <w:r w:rsidRPr="00831F5A">
        <w:rPr>
          <w:rFonts w:cs="Arial"/>
        </w:rPr>
        <w:t>15 augustus;</w:t>
      </w:r>
    </w:p>
    <w:p w14:paraId="3261EE01" w14:textId="77777777" w:rsidR="0039233B" w:rsidRPr="00831F5A" w:rsidRDefault="0039233B" w:rsidP="009D4C40">
      <w:pPr>
        <w:pStyle w:val="StandaardUitvullen"/>
        <w:numPr>
          <w:ilvl w:val="0"/>
          <w:numId w:val="31"/>
        </w:numPr>
        <w:spacing w:before="40" w:after="0"/>
        <w:ind w:left="1775" w:hanging="357"/>
        <w:rPr>
          <w:rFonts w:cs="Arial"/>
        </w:rPr>
      </w:pPr>
      <w:r w:rsidRPr="00831F5A">
        <w:rPr>
          <w:rFonts w:cs="Arial"/>
        </w:rPr>
        <w:t>1 november;</w:t>
      </w:r>
    </w:p>
    <w:p w14:paraId="71F47467" w14:textId="77777777" w:rsidR="0039233B" w:rsidRPr="00831F5A" w:rsidRDefault="0039233B" w:rsidP="009D4C40">
      <w:pPr>
        <w:pStyle w:val="StandaardUitvullen"/>
        <w:numPr>
          <w:ilvl w:val="0"/>
          <w:numId w:val="31"/>
        </w:numPr>
        <w:spacing w:before="40" w:after="0"/>
        <w:ind w:left="1775" w:hanging="357"/>
        <w:rPr>
          <w:rFonts w:cs="Arial"/>
        </w:rPr>
      </w:pPr>
      <w:r w:rsidRPr="00831F5A">
        <w:rPr>
          <w:rFonts w:cs="Arial"/>
        </w:rPr>
        <w:t>2 november;</w:t>
      </w:r>
    </w:p>
    <w:p w14:paraId="4A227DAA" w14:textId="77777777" w:rsidR="0039233B" w:rsidRPr="00831F5A" w:rsidRDefault="0039233B" w:rsidP="009D4C40">
      <w:pPr>
        <w:pStyle w:val="StandaardUitvullen"/>
        <w:numPr>
          <w:ilvl w:val="0"/>
          <w:numId w:val="31"/>
        </w:numPr>
        <w:spacing w:before="40" w:after="0"/>
        <w:ind w:left="1775" w:hanging="357"/>
        <w:rPr>
          <w:rFonts w:cs="Arial"/>
        </w:rPr>
      </w:pPr>
      <w:r w:rsidRPr="00831F5A">
        <w:rPr>
          <w:rFonts w:cs="Arial"/>
        </w:rPr>
        <w:t>11 november;</w:t>
      </w:r>
    </w:p>
    <w:p w14:paraId="283BD27A" w14:textId="77777777" w:rsidR="0039233B" w:rsidRPr="00831F5A" w:rsidRDefault="0039233B" w:rsidP="009D4C40">
      <w:pPr>
        <w:pStyle w:val="StandaardUitvullen"/>
        <w:numPr>
          <w:ilvl w:val="0"/>
          <w:numId w:val="31"/>
        </w:numPr>
        <w:spacing w:before="40" w:after="0"/>
        <w:ind w:left="1775" w:hanging="357"/>
        <w:rPr>
          <w:rFonts w:cs="Arial"/>
        </w:rPr>
      </w:pPr>
      <w:r w:rsidRPr="00831F5A">
        <w:rPr>
          <w:rFonts w:cs="Arial"/>
        </w:rPr>
        <w:t>25 december;</w:t>
      </w:r>
    </w:p>
    <w:p w14:paraId="1A06657E" w14:textId="77777777" w:rsidR="0039233B" w:rsidRPr="00831F5A" w:rsidRDefault="0039233B" w:rsidP="009D4C40">
      <w:pPr>
        <w:pStyle w:val="StandaardUitvullen"/>
        <w:numPr>
          <w:ilvl w:val="0"/>
          <w:numId w:val="31"/>
        </w:numPr>
        <w:spacing w:before="40" w:after="0"/>
        <w:ind w:left="1775" w:hanging="357"/>
        <w:rPr>
          <w:rFonts w:cs="Arial"/>
        </w:rPr>
      </w:pPr>
      <w:r w:rsidRPr="00831F5A">
        <w:rPr>
          <w:rFonts w:cs="Arial"/>
        </w:rPr>
        <w:t>26 december;</w:t>
      </w:r>
    </w:p>
    <w:p w14:paraId="02705E15" w14:textId="77777777" w:rsidR="0039233B" w:rsidRPr="00831F5A" w:rsidRDefault="0039233B" w:rsidP="009D4C40">
      <w:pPr>
        <w:pStyle w:val="StandaardUitvullen"/>
        <w:numPr>
          <w:ilvl w:val="0"/>
          <w:numId w:val="31"/>
        </w:numPr>
      </w:pPr>
      <w:r w:rsidRPr="00831F5A">
        <w:rPr>
          <w:rFonts w:cs="Arial"/>
        </w:rPr>
        <w:t>31 december.</w:t>
      </w:r>
    </w:p>
    <w:p w14:paraId="2BD5EDCC" w14:textId="4E48C3FF" w:rsidR="0039233B" w:rsidRPr="00037A46" w:rsidRDefault="0039233B" w:rsidP="00677A80">
      <w:pPr>
        <w:pStyle w:val="StandaardUitvullen"/>
        <w:ind w:left="0"/>
        <w:rPr>
          <w:rFonts w:cs="Arial"/>
        </w:rPr>
      </w:pPr>
      <w:r w:rsidRPr="00831F5A">
        <w:rPr>
          <w:rFonts w:cs="Arial"/>
        </w:rPr>
        <w:t>§4</w:t>
      </w:r>
      <w:r w:rsidR="00831F5A" w:rsidRPr="00831F5A">
        <w:rPr>
          <w:rFonts w:cs="Arial"/>
        </w:rPr>
        <w:t>.</w:t>
      </w:r>
      <w:r w:rsidRPr="00831F5A">
        <w:rPr>
          <w:rFonts w:cs="Arial"/>
        </w:rPr>
        <w:t xml:space="preserve"> § 2</w:t>
      </w:r>
      <w:r w:rsidRPr="00037A46">
        <w:rPr>
          <w:rFonts w:cs="Arial"/>
        </w:rPr>
        <w:t xml:space="preserve"> en § 3 zijn overeenkomstig van toepassing op de contractuele personeelsleden in dienst zolang zij door een arbeidsovereenkomst met het OCMW verbonden zijn, zij middels een procedure van bevordering of interne mobiliteit statutair aangesteld worden binnen het OCMW of zij hun prestaties binnen het OCMW uitbreiden.</w:t>
      </w:r>
    </w:p>
    <w:p w14:paraId="49107E5B" w14:textId="77777777" w:rsidR="0039233B" w:rsidRPr="00037A46" w:rsidRDefault="0039233B" w:rsidP="00677A80">
      <w:pPr>
        <w:pStyle w:val="StandaardUitvullen"/>
        <w:ind w:left="0"/>
        <w:rPr>
          <w:rFonts w:cs="Arial"/>
        </w:rPr>
      </w:pPr>
      <w:r w:rsidRPr="00037A46">
        <w:rPr>
          <w:rFonts w:cs="Arial"/>
        </w:rPr>
        <w:t>Het recht zoals bedoeld in het eerste lid vervalt:</w:t>
      </w:r>
    </w:p>
    <w:p w14:paraId="18CC5256" w14:textId="77777777" w:rsidR="0039233B" w:rsidRPr="00037A46" w:rsidRDefault="0039233B" w:rsidP="009D4C40">
      <w:pPr>
        <w:pStyle w:val="StandaardUitvullen"/>
        <w:numPr>
          <w:ilvl w:val="0"/>
          <w:numId w:val="29"/>
        </w:numPr>
        <w:rPr>
          <w:rFonts w:cs="Arial"/>
        </w:rPr>
      </w:pPr>
      <w:r w:rsidRPr="00037A46">
        <w:rPr>
          <w:rFonts w:cs="Arial"/>
        </w:rPr>
        <w:t>Indien het personeelslid zelf ontslag neemt;</w:t>
      </w:r>
    </w:p>
    <w:p w14:paraId="717F6895" w14:textId="77777777" w:rsidR="0039233B" w:rsidRPr="00037A46" w:rsidRDefault="0039233B" w:rsidP="009D4C40">
      <w:pPr>
        <w:pStyle w:val="StandaardUitvullen"/>
        <w:numPr>
          <w:ilvl w:val="0"/>
          <w:numId w:val="29"/>
        </w:numPr>
        <w:rPr>
          <w:rFonts w:cs="Arial"/>
        </w:rPr>
      </w:pPr>
      <w:r w:rsidRPr="00037A46">
        <w:rPr>
          <w:rFonts w:cs="Arial"/>
        </w:rPr>
        <w:t>Indien het personeelslid gedurende minstens drie opeenvolgende maanden niet door een arbeidsovereenkomst met het OCMW verbonden is.</w:t>
      </w:r>
    </w:p>
    <w:p w14:paraId="533850AB" w14:textId="73D13A13" w:rsidR="00311FC2" w:rsidRPr="00831F5A" w:rsidRDefault="0039233B" w:rsidP="00311FC2">
      <w:pPr>
        <w:pStyle w:val="StandaardUitvullen"/>
        <w:ind w:left="0"/>
        <w:rPr>
          <w:rFonts w:cs="Arial"/>
          <w:bCs/>
        </w:rPr>
      </w:pPr>
      <w:r w:rsidRPr="00831F5A">
        <w:rPr>
          <w:rFonts w:cs="Arial"/>
          <w:bCs/>
        </w:rPr>
        <w:t>§5</w:t>
      </w:r>
      <w:r w:rsidR="00831F5A" w:rsidRPr="00831F5A">
        <w:rPr>
          <w:rFonts w:cs="Arial"/>
          <w:bCs/>
        </w:rPr>
        <w:t>.</w:t>
      </w:r>
      <w:r w:rsidRPr="00831F5A">
        <w:rPr>
          <w:rFonts w:cs="Arial"/>
          <w:bCs/>
        </w:rPr>
        <w:t xml:space="preserve"> Zowel de statutaire als de contractuele personeelsleden bedoeld in artikel </w:t>
      </w:r>
      <w:r w:rsidR="008134B0" w:rsidRPr="00831F5A">
        <w:rPr>
          <w:rFonts w:cs="Arial"/>
          <w:bCs/>
        </w:rPr>
        <w:t>2, §1,</w:t>
      </w:r>
      <w:r w:rsidRPr="00831F5A">
        <w:rPr>
          <w:rFonts w:cs="Arial"/>
          <w:bCs/>
        </w:rPr>
        <w:t xml:space="preserve"> </w:t>
      </w:r>
      <w:r w:rsidR="00F37F39" w:rsidRPr="00831F5A">
        <w:rPr>
          <w:rFonts w:cs="Arial"/>
          <w:bCs/>
        </w:rPr>
        <w:t>punt 3</w:t>
      </w:r>
      <w:r w:rsidRPr="00831F5A">
        <w:rPr>
          <w:rFonts w:cs="Arial"/>
          <w:bCs/>
        </w:rPr>
        <w:t xml:space="preserve"> (</w:t>
      </w:r>
      <w:r w:rsidR="0096281A" w:rsidRPr="00831F5A">
        <w:rPr>
          <w:rFonts w:cs="Arial"/>
          <w:bCs/>
        </w:rPr>
        <w:t>personeelcategorie</w:t>
      </w:r>
      <w:r w:rsidRPr="00831F5A">
        <w:rPr>
          <w:rFonts w:cs="Arial"/>
          <w:bCs/>
        </w:rPr>
        <w:t xml:space="preserve"> 1) en </w:t>
      </w:r>
      <w:r w:rsidR="009E107C" w:rsidRPr="00831F5A">
        <w:rPr>
          <w:rFonts w:cs="Arial"/>
          <w:bCs/>
        </w:rPr>
        <w:t xml:space="preserve">punt </w:t>
      </w:r>
      <w:r w:rsidR="00F37F39" w:rsidRPr="00831F5A">
        <w:rPr>
          <w:rFonts w:cs="Arial"/>
          <w:bCs/>
        </w:rPr>
        <w:t>4</w:t>
      </w:r>
      <w:r w:rsidRPr="00831F5A">
        <w:rPr>
          <w:rFonts w:cs="Arial"/>
          <w:bCs/>
        </w:rPr>
        <w:t xml:space="preserve"> (</w:t>
      </w:r>
      <w:r w:rsidR="0096281A" w:rsidRPr="00831F5A">
        <w:rPr>
          <w:rFonts w:cs="Arial"/>
          <w:bCs/>
        </w:rPr>
        <w:t>personeelcategorie</w:t>
      </w:r>
      <w:r w:rsidRPr="00831F5A">
        <w:rPr>
          <w:rFonts w:cs="Arial"/>
          <w:bCs/>
        </w:rPr>
        <w:t xml:space="preserve"> 2), die gedurende hun loopbaan bij het OCMW zonder onderbreking te wijten aan het personeelslid evolueren naar personeelsleden bedoeld in artikel </w:t>
      </w:r>
      <w:r w:rsidR="008134B0" w:rsidRPr="00831F5A">
        <w:rPr>
          <w:rFonts w:cs="Arial"/>
          <w:bCs/>
        </w:rPr>
        <w:t>2</w:t>
      </w:r>
      <w:r w:rsidRPr="00831F5A">
        <w:rPr>
          <w:rFonts w:cs="Arial"/>
          <w:bCs/>
        </w:rPr>
        <w:t>,</w:t>
      </w:r>
      <w:r w:rsidR="008134B0" w:rsidRPr="00831F5A">
        <w:rPr>
          <w:rFonts w:cs="Arial"/>
          <w:bCs/>
        </w:rPr>
        <w:t xml:space="preserve"> §2</w:t>
      </w:r>
      <w:r w:rsidRPr="00831F5A">
        <w:rPr>
          <w:rFonts w:cs="Arial"/>
          <w:bCs/>
        </w:rPr>
        <w:t xml:space="preserve"> </w:t>
      </w:r>
      <w:r w:rsidR="009E107C" w:rsidRPr="00831F5A">
        <w:rPr>
          <w:rFonts w:cs="Arial"/>
          <w:bCs/>
        </w:rPr>
        <w:t xml:space="preserve">punt </w:t>
      </w:r>
      <w:r w:rsidR="008134B0" w:rsidRPr="00831F5A">
        <w:rPr>
          <w:rFonts w:cs="Arial"/>
          <w:bCs/>
        </w:rPr>
        <w:t>1</w:t>
      </w:r>
      <w:r w:rsidRPr="00831F5A">
        <w:rPr>
          <w:rFonts w:cs="Arial"/>
          <w:bCs/>
        </w:rPr>
        <w:t xml:space="preserve"> (personeelcategorie 3) behouden hun vakantierechten en hun recht op feestdagen. Concreet blijven voor hen de bepalingen</w:t>
      </w:r>
      <w:r w:rsidR="009E107C" w:rsidRPr="00831F5A">
        <w:rPr>
          <w:rFonts w:cs="Arial"/>
          <w:bCs/>
        </w:rPr>
        <w:t xml:space="preserve"> van artikel </w:t>
      </w:r>
      <w:r w:rsidR="009C642B" w:rsidRPr="00831F5A">
        <w:rPr>
          <w:rFonts w:cs="Arial"/>
          <w:bCs/>
        </w:rPr>
        <w:t>172</w:t>
      </w:r>
      <w:r w:rsidR="00C41F3C" w:rsidRPr="00831F5A">
        <w:rPr>
          <w:rFonts w:cs="Arial"/>
          <w:bCs/>
        </w:rPr>
        <w:t xml:space="preserve"> §1 en </w:t>
      </w:r>
      <w:r w:rsidR="009C642B" w:rsidRPr="00831F5A">
        <w:rPr>
          <w:rFonts w:cs="Arial"/>
          <w:bCs/>
        </w:rPr>
        <w:t xml:space="preserve">175 </w:t>
      </w:r>
      <w:r w:rsidR="00C41F3C" w:rsidRPr="00831F5A">
        <w:rPr>
          <w:rFonts w:cs="Arial"/>
          <w:bCs/>
        </w:rPr>
        <w:t>§1</w:t>
      </w:r>
      <w:r w:rsidRPr="00831F5A">
        <w:rPr>
          <w:rFonts w:cs="Arial"/>
          <w:bCs/>
        </w:rPr>
        <w:t xml:space="preserve"> gelden.</w:t>
      </w:r>
      <w:bookmarkStart w:id="291" w:name="_Toc110948256"/>
    </w:p>
    <w:p w14:paraId="7968C3EF" w14:textId="5325263A" w:rsidR="003A11FB" w:rsidRPr="00037A46" w:rsidRDefault="003A11FB" w:rsidP="00BD0B4F">
      <w:pPr>
        <w:pStyle w:val="Kop2"/>
      </w:pPr>
      <w:bookmarkStart w:id="292" w:name="_Toc215739058"/>
      <w:r w:rsidRPr="00037A46">
        <w:lastRenderedPageBreak/>
        <w:t xml:space="preserve">Hoofdstuk </w:t>
      </w:r>
      <w:r w:rsidR="00C55596" w:rsidRPr="00037A46">
        <w:t>iv</w:t>
      </w:r>
      <w:r w:rsidRPr="00037A46">
        <w:t>. inwerkingtredingsbepalingen.</w:t>
      </w:r>
      <w:bookmarkEnd w:id="291"/>
      <w:bookmarkEnd w:id="292"/>
    </w:p>
    <w:p w14:paraId="7E217594" w14:textId="50E5ADE6" w:rsidR="003A11FB" w:rsidRPr="00037A46" w:rsidRDefault="003A11FB" w:rsidP="003A11FB">
      <w:pPr>
        <w:pStyle w:val="Kop3"/>
        <w:rPr>
          <w:bCs/>
        </w:rPr>
      </w:pPr>
      <w:bookmarkStart w:id="293" w:name="_Toc110948258"/>
      <w:bookmarkStart w:id="294" w:name="_Toc215739059"/>
      <w:r w:rsidRPr="00037A46">
        <w:rPr>
          <w:bCs/>
        </w:rPr>
        <w:t xml:space="preserve">Afdeling </w:t>
      </w:r>
      <w:r w:rsidR="00311FC2" w:rsidRPr="00037A46">
        <w:rPr>
          <w:bCs/>
        </w:rPr>
        <w:t>1</w:t>
      </w:r>
      <w:r w:rsidRPr="00037A46">
        <w:rPr>
          <w:bCs/>
        </w:rPr>
        <w:t>. inwerkingtredingsbepalingen</w:t>
      </w:r>
      <w:bookmarkEnd w:id="293"/>
      <w:bookmarkEnd w:id="294"/>
    </w:p>
    <w:p w14:paraId="64A8B4BC" w14:textId="4EC8F576" w:rsidR="003A11FB" w:rsidRPr="00037A46" w:rsidRDefault="00011D9E" w:rsidP="003A11FB">
      <w:pPr>
        <w:pStyle w:val="Kop5"/>
      </w:pPr>
      <w:r w:rsidRPr="00037A46">
        <w:t xml:space="preserve">Artikel </w:t>
      </w:r>
      <w:r w:rsidR="008E0576" w:rsidRPr="00831F5A">
        <w:t>24</w:t>
      </w:r>
      <w:r w:rsidR="008C18B6" w:rsidRPr="00831F5A">
        <w:t>1</w:t>
      </w:r>
    </w:p>
    <w:p w14:paraId="372A87CF" w14:textId="5F723382" w:rsidR="003A11FB" w:rsidRPr="00037A46" w:rsidRDefault="003A11FB" w:rsidP="003A11FB">
      <w:pPr>
        <w:pStyle w:val="StandaardUitvullen"/>
        <w:rPr>
          <w:i/>
        </w:rPr>
      </w:pPr>
      <w:r w:rsidRPr="00037A46">
        <w:t xml:space="preserve">Deze rechtspositieregeling treedt in werking op </w:t>
      </w:r>
      <w:r w:rsidR="00545D19">
        <w:t>1</w:t>
      </w:r>
      <w:r w:rsidR="00C95E10" w:rsidRPr="00037A46">
        <w:t xml:space="preserve"> </w:t>
      </w:r>
      <w:r w:rsidR="00545D19">
        <w:t>januari</w:t>
      </w:r>
      <w:r w:rsidR="00C95E10" w:rsidRPr="00037A46">
        <w:t xml:space="preserve"> 202</w:t>
      </w:r>
      <w:r w:rsidR="00545D19">
        <w:t>5</w:t>
      </w:r>
      <w:r w:rsidR="00C60C85" w:rsidRPr="00037A46">
        <w:t>, tenzij anders bepaald</w:t>
      </w:r>
      <w:r w:rsidRPr="00037A46">
        <w:t>.</w:t>
      </w:r>
    </w:p>
    <w:p w14:paraId="75A8DF2C" w14:textId="77777777" w:rsidR="00DF3068" w:rsidRPr="00037A46" w:rsidRDefault="00DF3068" w:rsidP="003A11FB">
      <w:pPr>
        <w:pStyle w:val="StandaardUitvullen"/>
      </w:pPr>
    </w:p>
    <w:p w14:paraId="6A86860E" w14:textId="3736FDC6" w:rsidR="001426AD" w:rsidRPr="00037A46" w:rsidRDefault="001426AD" w:rsidP="00E25E46">
      <w:pPr>
        <w:pStyle w:val="Kop1"/>
        <w:jc w:val="left"/>
        <w:rPr>
          <w:bCs/>
        </w:rPr>
      </w:pPr>
      <w:bookmarkStart w:id="295" w:name="_Toc110948259"/>
      <w:bookmarkStart w:id="296" w:name="_Toc215739060"/>
      <w:r w:rsidRPr="00037A46">
        <w:rPr>
          <w:bCs/>
        </w:rPr>
        <w:lastRenderedPageBreak/>
        <w:t>Bijlagen</w:t>
      </w:r>
      <w:bookmarkEnd w:id="295"/>
      <w:bookmarkEnd w:id="296"/>
    </w:p>
    <w:p w14:paraId="45D1B6A7" w14:textId="77777777" w:rsidR="001426AD" w:rsidRPr="00037A46" w:rsidRDefault="001426AD" w:rsidP="001426AD"/>
    <w:p w14:paraId="08D1D440" w14:textId="77777777" w:rsidR="001426AD" w:rsidRPr="00037A46" w:rsidRDefault="001426AD" w:rsidP="009D4C40">
      <w:pPr>
        <w:numPr>
          <w:ilvl w:val="1"/>
          <w:numId w:val="32"/>
        </w:numPr>
        <w:tabs>
          <w:tab w:val="clear" w:pos="1440"/>
        </w:tabs>
        <w:ind w:left="1434" w:hanging="357"/>
        <w:jc w:val="left"/>
      </w:pPr>
      <w:r w:rsidRPr="00037A46">
        <w:t>Uitgewerkte salarisschalen</w:t>
      </w:r>
    </w:p>
    <w:p w14:paraId="74C86307" w14:textId="77777777" w:rsidR="001426AD" w:rsidRPr="00037A46" w:rsidRDefault="001426AD" w:rsidP="009D4C40">
      <w:pPr>
        <w:numPr>
          <w:ilvl w:val="1"/>
          <w:numId w:val="32"/>
        </w:numPr>
        <w:tabs>
          <w:tab w:val="clear" w:pos="1440"/>
        </w:tabs>
        <w:ind w:left="1434" w:hanging="357"/>
        <w:jc w:val="left"/>
      </w:pPr>
      <w:r w:rsidRPr="00037A46">
        <w:t xml:space="preserve">Overzicht van de verloven en afwezigheden, de administratieve toestand en de </w:t>
      </w:r>
      <w:r w:rsidR="00B94AF2" w:rsidRPr="00037A46">
        <w:t xml:space="preserve">    </w:t>
      </w:r>
      <w:r w:rsidRPr="00037A46">
        <w:t>geldelijke en administratieve gevolgen</w:t>
      </w:r>
    </w:p>
    <w:p w14:paraId="0489C75D" w14:textId="77777777" w:rsidR="0025696C" w:rsidRPr="00037A46" w:rsidRDefault="00F01B1E" w:rsidP="009D4C40">
      <w:pPr>
        <w:numPr>
          <w:ilvl w:val="1"/>
          <w:numId w:val="32"/>
        </w:numPr>
        <w:tabs>
          <w:tab w:val="clear" w:pos="1440"/>
        </w:tabs>
        <w:ind w:left="1434" w:hanging="357"/>
        <w:jc w:val="left"/>
      </w:pPr>
      <w:r w:rsidRPr="00037A46">
        <w:t>Overzicht functies per graad en rang</w:t>
      </w:r>
    </w:p>
    <w:p w14:paraId="34B1DC0E" w14:textId="77777777" w:rsidR="00160B40" w:rsidRPr="00037A46" w:rsidRDefault="001426AD" w:rsidP="009D4C40">
      <w:pPr>
        <w:numPr>
          <w:ilvl w:val="1"/>
          <w:numId w:val="32"/>
        </w:numPr>
        <w:tabs>
          <w:tab w:val="clear" w:pos="1440"/>
        </w:tabs>
        <w:ind w:left="1434" w:hanging="357"/>
        <w:jc w:val="left"/>
      </w:pPr>
      <w:r w:rsidRPr="00037A46">
        <w:t xml:space="preserve">Vormingsreglement </w:t>
      </w:r>
    </w:p>
    <w:p w14:paraId="34FA91CB" w14:textId="77777777" w:rsidR="00160B40" w:rsidRPr="00037A46" w:rsidRDefault="00160B40" w:rsidP="00160B40">
      <w:pPr>
        <w:ind w:left="1080"/>
        <w:jc w:val="left"/>
      </w:pPr>
    </w:p>
    <w:p w14:paraId="0BB7DB10" w14:textId="77777777" w:rsidR="00B94AF2" w:rsidRPr="00037A46" w:rsidRDefault="00B94AF2" w:rsidP="00B94AF2">
      <w:pPr>
        <w:ind w:left="1077"/>
        <w:jc w:val="left"/>
      </w:pPr>
    </w:p>
    <w:p w14:paraId="0487088E" w14:textId="77777777" w:rsidR="00F61946" w:rsidRPr="00037A46" w:rsidRDefault="00F61946" w:rsidP="00F61946">
      <w:pPr>
        <w:spacing w:before="0" w:after="0"/>
        <w:ind w:left="0"/>
        <w:jc w:val="left"/>
        <w:rPr>
          <w:rFonts w:ascii="Times New Roman" w:hAnsi="Times New Roman"/>
          <w:color w:val="000000"/>
          <w:sz w:val="24"/>
          <w:szCs w:val="24"/>
          <w:lang w:eastAsia="nl-BE"/>
        </w:rPr>
      </w:pPr>
      <w:r w:rsidRPr="00037A46">
        <w:rPr>
          <w:rFonts w:ascii="Times New Roman" w:hAnsi="Times New Roman"/>
          <w:color w:val="000000"/>
          <w:sz w:val="24"/>
          <w:szCs w:val="24"/>
          <w:lang w:eastAsia="nl-BE"/>
        </w:rPr>
        <w:t> </w:t>
      </w:r>
    </w:p>
    <w:p w14:paraId="4B5FD25A" w14:textId="64A2653C" w:rsidR="003A11FB" w:rsidRPr="00037A46" w:rsidRDefault="003A11FB" w:rsidP="003A11FB">
      <w:pPr>
        <w:pStyle w:val="Kop1"/>
      </w:pPr>
      <w:bookmarkStart w:id="297" w:name="_Toc110948263"/>
      <w:bookmarkStart w:id="298" w:name="_Toc215739061"/>
      <w:r w:rsidRPr="00037A46">
        <w:lastRenderedPageBreak/>
        <w:t xml:space="preserve">Bijlage </w:t>
      </w:r>
      <w:r w:rsidR="00C300BD" w:rsidRPr="00037A46">
        <w:t>i</w:t>
      </w:r>
      <w:r w:rsidRPr="00037A46">
        <w:t>. UITGEWERKTE SALARISSCHALEN</w:t>
      </w:r>
      <w:bookmarkEnd w:id="297"/>
      <w:bookmarkEnd w:id="298"/>
    </w:p>
    <w:p w14:paraId="3615AB53" w14:textId="77777777" w:rsidR="009760B5" w:rsidRPr="00037A46" w:rsidRDefault="009760B5" w:rsidP="009760B5"/>
    <w:p w14:paraId="785A66D1" w14:textId="77777777" w:rsidR="009760B5" w:rsidRPr="00037A46" w:rsidRDefault="009760B5" w:rsidP="009760B5"/>
    <w:tbl>
      <w:tblPr>
        <w:tblW w:w="5973" w:type="dxa"/>
        <w:jc w:val="center"/>
        <w:tblBorders>
          <w:top w:val="single" w:sz="8" w:space="0" w:color="auto"/>
          <w:left w:val="single" w:sz="8" w:space="0" w:color="auto"/>
          <w:bottom w:val="single" w:sz="8" w:space="0" w:color="auto"/>
          <w:right w:val="single" w:sz="8" w:space="0" w:color="auto"/>
          <w:insideV w:val="single" w:sz="8" w:space="0" w:color="auto"/>
        </w:tblBorders>
        <w:tblCellMar>
          <w:left w:w="70" w:type="dxa"/>
          <w:right w:w="70" w:type="dxa"/>
        </w:tblCellMar>
        <w:tblLook w:val="0000" w:firstRow="0" w:lastRow="0" w:firstColumn="0" w:lastColumn="0" w:noHBand="0" w:noVBand="0"/>
      </w:tblPr>
      <w:tblGrid>
        <w:gridCol w:w="1291"/>
        <w:gridCol w:w="2140"/>
        <w:gridCol w:w="2534"/>
        <w:gridCol w:w="8"/>
      </w:tblGrid>
      <w:tr w:rsidR="002B11BF" w:rsidRPr="00037A46" w14:paraId="6259D42F" w14:textId="77777777" w:rsidTr="00B033C1">
        <w:trPr>
          <w:gridAfter w:val="1"/>
          <w:wAfter w:w="8" w:type="dxa"/>
          <w:trHeight w:val="749"/>
          <w:jc w:val="center"/>
        </w:trPr>
        <w:tc>
          <w:tcPr>
            <w:tcW w:w="1291" w:type="dxa"/>
            <w:tcBorders>
              <w:top w:val="single" w:sz="8" w:space="0" w:color="auto"/>
              <w:bottom w:val="single" w:sz="8" w:space="0" w:color="auto"/>
            </w:tcBorders>
            <w:shd w:val="clear" w:color="auto" w:fill="E3E3E3"/>
            <w:vAlign w:val="center"/>
          </w:tcPr>
          <w:p w14:paraId="3F274DB2" w14:textId="77777777" w:rsidR="002B11BF" w:rsidRPr="00037A46" w:rsidRDefault="002B11BF" w:rsidP="003A11FB">
            <w:pPr>
              <w:spacing w:before="0" w:after="0"/>
              <w:ind w:hanging="764"/>
              <w:jc w:val="center"/>
              <w:rPr>
                <w:b/>
                <w:bCs/>
                <w:lang w:val="en-US"/>
              </w:rPr>
            </w:pPr>
            <w:proofErr w:type="spellStart"/>
            <w:r w:rsidRPr="00037A46">
              <w:rPr>
                <w:b/>
                <w:bCs/>
                <w:lang w:val="en-US"/>
              </w:rPr>
              <w:t>salaris</w:t>
            </w:r>
            <w:proofErr w:type="spellEnd"/>
            <w:r w:rsidRPr="00037A46">
              <w:rPr>
                <w:b/>
                <w:bCs/>
                <w:lang w:val="en-US"/>
              </w:rPr>
              <w:t>-</w:t>
            </w:r>
          </w:p>
          <w:p w14:paraId="61DC838C" w14:textId="77777777" w:rsidR="002B11BF" w:rsidRPr="00037A46" w:rsidRDefault="002B11BF" w:rsidP="003A11FB">
            <w:pPr>
              <w:spacing w:before="0" w:after="0"/>
              <w:ind w:left="87"/>
              <w:jc w:val="center"/>
              <w:rPr>
                <w:b/>
                <w:bCs/>
                <w:lang w:val="en-US"/>
              </w:rPr>
            </w:pPr>
            <w:proofErr w:type="spellStart"/>
            <w:r w:rsidRPr="00037A46">
              <w:rPr>
                <w:b/>
                <w:bCs/>
                <w:lang w:val="en-US"/>
              </w:rPr>
              <w:t>schalen</w:t>
            </w:r>
            <w:proofErr w:type="spellEnd"/>
            <w:r w:rsidRPr="00037A46">
              <w:rPr>
                <w:b/>
                <w:bCs/>
                <w:lang w:val="en-US"/>
              </w:rPr>
              <w:t xml:space="preserve"> </w:t>
            </w:r>
          </w:p>
        </w:tc>
        <w:tc>
          <w:tcPr>
            <w:tcW w:w="2140" w:type="dxa"/>
            <w:tcBorders>
              <w:top w:val="single" w:sz="8" w:space="0" w:color="auto"/>
              <w:bottom w:val="single" w:sz="8" w:space="0" w:color="auto"/>
            </w:tcBorders>
            <w:shd w:val="clear" w:color="auto" w:fill="C0C0C0"/>
            <w:vAlign w:val="center"/>
          </w:tcPr>
          <w:p w14:paraId="63AF828D" w14:textId="77777777" w:rsidR="002B11BF" w:rsidRPr="00037A46" w:rsidRDefault="002B11BF" w:rsidP="00CE101B">
            <w:pPr>
              <w:spacing w:before="0" w:after="0"/>
              <w:ind w:left="0"/>
              <w:jc w:val="center"/>
              <w:rPr>
                <w:b/>
                <w:bCs/>
                <w:lang w:val="en-US"/>
              </w:rPr>
            </w:pPr>
            <w:proofErr w:type="spellStart"/>
            <w:r w:rsidRPr="00037A46">
              <w:rPr>
                <w:b/>
                <w:bCs/>
                <w:lang w:val="en-US"/>
              </w:rPr>
              <w:t>Algemeen</w:t>
            </w:r>
            <w:proofErr w:type="spellEnd"/>
            <w:r w:rsidRPr="00037A46">
              <w:rPr>
                <w:b/>
                <w:bCs/>
                <w:lang w:val="en-US"/>
              </w:rPr>
              <w:t xml:space="preserve"> </w:t>
            </w:r>
            <w:proofErr w:type="spellStart"/>
            <w:r w:rsidRPr="00037A46">
              <w:rPr>
                <w:b/>
                <w:bCs/>
                <w:lang w:val="en-US"/>
              </w:rPr>
              <w:t>directeur</w:t>
            </w:r>
            <w:proofErr w:type="spellEnd"/>
          </w:p>
          <w:p w14:paraId="5F303C41" w14:textId="77777777" w:rsidR="002B11BF" w:rsidRPr="00037A46" w:rsidRDefault="002B11BF" w:rsidP="00CE101B">
            <w:pPr>
              <w:spacing w:before="0" w:after="0"/>
              <w:ind w:left="0"/>
              <w:jc w:val="center"/>
              <w:rPr>
                <w:b/>
                <w:bCs/>
                <w:lang w:val="en-US"/>
              </w:rPr>
            </w:pPr>
            <w:r w:rsidRPr="00037A46">
              <w:rPr>
                <w:b/>
                <w:bCs/>
                <w:lang w:val="en-US"/>
              </w:rPr>
              <w:t>Klasse 5</w:t>
            </w:r>
          </w:p>
          <w:p w14:paraId="58846C11" w14:textId="77777777" w:rsidR="002B11BF" w:rsidRPr="00037A46" w:rsidRDefault="002B11BF" w:rsidP="00F4449D">
            <w:pPr>
              <w:spacing w:before="0" w:after="0"/>
              <w:ind w:left="214"/>
              <w:jc w:val="center"/>
              <w:rPr>
                <w:b/>
                <w:bCs/>
                <w:lang w:val="en-US"/>
              </w:rPr>
            </w:pPr>
          </w:p>
        </w:tc>
        <w:tc>
          <w:tcPr>
            <w:tcW w:w="2534" w:type="dxa"/>
            <w:tcBorders>
              <w:top w:val="single" w:sz="8" w:space="0" w:color="auto"/>
              <w:bottom w:val="single" w:sz="8" w:space="0" w:color="auto"/>
            </w:tcBorders>
            <w:shd w:val="clear" w:color="auto" w:fill="C0C0C0"/>
            <w:vAlign w:val="center"/>
          </w:tcPr>
          <w:p w14:paraId="6B32BBF0" w14:textId="77777777" w:rsidR="002B11BF" w:rsidRPr="00037A46" w:rsidRDefault="002B11BF" w:rsidP="00F4449D">
            <w:pPr>
              <w:spacing w:before="0" w:after="0"/>
              <w:ind w:left="214"/>
              <w:jc w:val="center"/>
              <w:rPr>
                <w:b/>
                <w:bCs/>
              </w:rPr>
            </w:pPr>
            <w:r w:rsidRPr="00037A46">
              <w:rPr>
                <w:b/>
                <w:bCs/>
              </w:rPr>
              <w:t>Financieel directeur</w:t>
            </w:r>
          </w:p>
          <w:p w14:paraId="1460D862" w14:textId="77777777" w:rsidR="002B11BF" w:rsidRPr="00037A46" w:rsidRDefault="002B11BF" w:rsidP="002B11BF">
            <w:pPr>
              <w:spacing w:before="0" w:after="0"/>
              <w:ind w:left="214"/>
              <w:jc w:val="center"/>
              <w:rPr>
                <w:b/>
                <w:bCs/>
              </w:rPr>
            </w:pPr>
            <w:r w:rsidRPr="00037A46">
              <w:rPr>
                <w:b/>
                <w:bCs/>
              </w:rPr>
              <w:t>Klasse 5</w:t>
            </w:r>
          </w:p>
        </w:tc>
      </w:tr>
      <w:tr w:rsidR="002B11BF" w:rsidRPr="00037A46" w14:paraId="7D87D013" w14:textId="77777777" w:rsidTr="00B033C1">
        <w:trPr>
          <w:gridAfter w:val="1"/>
          <w:wAfter w:w="8" w:type="dxa"/>
          <w:trHeight w:val="749"/>
          <w:jc w:val="center"/>
        </w:trPr>
        <w:tc>
          <w:tcPr>
            <w:tcW w:w="1291" w:type="dxa"/>
            <w:tcBorders>
              <w:top w:val="single" w:sz="8" w:space="0" w:color="auto"/>
              <w:bottom w:val="single" w:sz="8" w:space="0" w:color="auto"/>
            </w:tcBorders>
            <w:shd w:val="clear" w:color="auto" w:fill="E3E3E3"/>
            <w:vAlign w:val="center"/>
          </w:tcPr>
          <w:p w14:paraId="2B2DEBD6" w14:textId="77777777" w:rsidR="002B11BF" w:rsidRPr="00037A46" w:rsidRDefault="002B11BF" w:rsidP="003A11FB">
            <w:pPr>
              <w:spacing w:before="0" w:after="0"/>
              <w:ind w:hanging="764"/>
              <w:jc w:val="center"/>
              <w:rPr>
                <w:b/>
                <w:bCs/>
                <w:lang w:val="en-US"/>
              </w:rPr>
            </w:pPr>
          </w:p>
        </w:tc>
        <w:tc>
          <w:tcPr>
            <w:tcW w:w="2140" w:type="dxa"/>
            <w:tcBorders>
              <w:top w:val="single" w:sz="8" w:space="0" w:color="auto"/>
              <w:bottom w:val="single" w:sz="8" w:space="0" w:color="auto"/>
            </w:tcBorders>
            <w:shd w:val="clear" w:color="auto" w:fill="C0C0C0"/>
            <w:vAlign w:val="center"/>
          </w:tcPr>
          <w:p w14:paraId="1BBD45A3" w14:textId="77777777" w:rsidR="002B11BF" w:rsidRPr="00037A46" w:rsidRDefault="002B11BF" w:rsidP="00F4449D">
            <w:pPr>
              <w:spacing w:before="0" w:after="0"/>
              <w:ind w:left="0"/>
              <w:rPr>
                <w:b/>
                <w:bCs/>
                <w:lang w:val="en-US"/>
              </w:rPr>
            </w:pPr>
          </w:p>
        </w:tc>
        <w:tc>
          <w:tcPr>
            <w:tcW w:w="2534" w:type="dxa"/>
            <w:tcBorders>
              <w:top w:val="single" w:sz="8" w:space="0" w:color="auto"/>
              <w:bottom w:val="single" w:sz="8" w:space="0" w:color="auto"/>
            </w:tcBorders>
            <w:shd w:val="clear" w:color="auto" w:fill="C0C0C0"/>
            <w:vAlign w:val="center"/>
          </w:tcPr>
          <w:p w14:paraId="47255056" w14:textId="77777777" w:rsidR="002B11BF" w:rsidRPr="00037A46" w:rsidRDefault="002B11BF" w:rsidP="00F4449D">
            <w:pPr>
              <w:spacing w:before="0" w:after="0"/>
              <w:ind w:left="214"/>
              <w:jc w:val="center"/>
              <w:rPr>
                <w:b/>
                <w:bCs/>
              </w:rPr>
            </w:pPr>
          </w:p>
        </w:tc>
      </w:tr>
      <w:tr w:rsidR="002B11BF" w:rsidRPr="00037A46" w14:paraId="6A4DECDC" w14:textId="77777777" w:rsidTr="00B033C1">
        <w:trPr>
          <w:trHeight w:val="385"/>
          <w:jc w:val="center"/>
        </w:trPr>
        <w:tc>
          <w:tcPr>
            <w:tcW w:w="1291" w:type="dxa"/>
            <w:tcBorders>
              <w:top w:val="single" w:sz="8" w:space="0" w:color="auto"/>
              <w:bottom w:val="single" w:sz="8" w:space="0" w:color="auto"/>
            </w:tcBorders>
            <w:shd w:val="clear" w:color="auto" w:fill="E3E3E3"/>
            <w:vAlign w:val="center"/>
          </w:tcPr>
          <w:p w14:paraId="5E466B20" w14:textId="77777777" w:rsidR="002B11BF" w:rsidRPr="00037A46" w:rsidRDefault="002B11BF" w:rsidP="003A11FB">
            <w:pPr>
              <w:spacing w:before="0" w:after="0"/>
              <w:ind w:hanging="764"/>
              <w:jc w:val="center"/>
              <w:rPr>
                <w:b/>
                <w:bCs/>
                <w:lang w:val="en-US"/>
              </w:rPr>
            </w:pPr>
          </w:p>
        </w:tc>
        <w:tc>
          <w:tcPr>
            <w:tcW w:w="4682" w:type="dxa"/>
            <w:gridSpan w:val="3"/>
            <w:tcBorders>
              <w:top w:val="single" w:sz="8" w:space="0" w:color="auto"/>
              <w:bottom w:val="single" w:sz="8" w:space="0" w:color="auto"/>
            </w:tcBorders>
            <w:shd w:val="clear" w:color="auto" w:fill="C0C0C0"/>
            <w:vAlign w:val="center"/>
          </w:tcPr>
          <w:p w14:paraId="4E889F23" w14:textId="77777777" w:rsidR="002B11BF" w:rsidRPr="00037A46" w:rsidRDefault="002B11BF" w:rsidP="00F4449D">
            <w:pPr>
              <w:spacing w:before="0" w:after="0"/>
              <w:ind w:left="214"/>
              <w:jc w:val="center"/>
              <w:rPr>
                <w:b/>
                <w:bCs/>
              </w:rPr>
            </w:pPr>
            <w:r w:rsidRPr="00037A46">
              <w:rPr>
                <w:b/>
                <w:bCs/>
                <w:lang w:val="en-US"/>
              </w:rPr>
              <w:t xml:space="preserve">25.001 tot 35.000 </w:t>
            </w:r>
            <w:proofErr w:type="spellStart"/>
            <w:r w:rsidRPr="00037A46">
              <w:rPr>
                <w:b/>
                <w:bCs/>
                <w:lang w:val="en-US"/>
              </w:rPr>
              <w:t>inwoners</w:t>
            </w:r>
            <w:proofErr w:type="spellEnd"/>
          </w:p>
        </w:tc>
      </w:tr>
      <w:tr w:rsidR="002B11BF" w:rsidRPr="00037A46" w14:paraId="411D05DE" w14:textId="77777777" w:rsidTr="00B033C1">
        <w:trPr>
          <w:gridAfter w:val="1"/>
          <w:wAfter w:w="8" w:type="dxa"/>
          <w:trHeight w:val="315"/>
          <w:jc w:val="center"/>
        </w:trPr>
        <w:tc>
          <w:tcPr>
            <w:tcW w:w="1291" w:type="dxa"/>
            <w:tcBorders>
              <w:top w:val="single" w:sz="8" w:space="0" w:color="auto"/>
              <w:bottom w:val="nil"/>
            </w:tcBorders>
            <w:shd w:val="clear" w:color="auto" w:fill="C0C0C0"/>
            <w:noWrap/>
            <w:vAlign w:val="bottom"/>
          </w:tcPr>
          <w:p w14:paraId="4A84AA62" w14:textId="77777777" w:rsidR="002B11BF" w:rsidRPr="00037A46" w:rsidRDefault="002B11BF" w:rsidP="003A11FB">
            <w:pPr>
              <w:spacing w:before="0" w:after="0"/>
              <w:ind w:hanging="764"/>
              <w:rPr>
                <w:b/>
                <w:bCs/>
                <w:lang w:val="en-GB"/>
              </w:rPr>
            </w:pPr>
            <w:r w:rsidRPr="00037A46">
              <w:rPr>
                <w:b/>
                <w:bCs/>
                <w:lang w:val="en-GB"/>
              </w:rPr>
              <w:t>minimum</w:t>
            </w:r>
          </w:p>
        </w:tc>
        <w:tc>
          <w:tcPr>
            <w:tcW w:w="2140" w:type="dxa"/>
            <w:tcBorders>
              <w:top w:val="single" w:sz="8" w:space="0" w:color="auto"/>
              <w:bottom w:val="nil"/>
            </w:tcBorders>
            <w:noWrap/>
            <w:vAlign w:val="bottom"/>
          </w:tcPr>
          <w:p w14:paraId="5E89521C" w14:textId="77777777" w:rsidR="002B11BF" w:rsidRPr="00037A46" w:rsidRDefault="00147B68" w:rsidP="00147B68">
            <w:pPr>
              <w:spacing w:before="0" w:after="0"/>
              <w:ind w:left="214"/>
              <w:jc w:val="center"/>
              <w:rPr>
                <w:bCs/>
                <w:lang w:val="en-GB"/>
              </w:rPr>
            </w:pPr>
            <w:r w:rsidRPr="00037A46">
              <w:rPr>
                <w:bCs/>
                <w:lang w:val="en-GB"/>
              </w:rPr>
              <w:t>47.848,79</w:t>
            </w:r>
          </w:p>
        </w:tc>
        <w:tc>
          <w:tcPr>
            <w:tcW w:w="2534" w:type="dxa"/>
            <w:tcBorders>
              <w:top w:val="single" w:sz="8" w:space="0" w:color="auto"/>
              <w:bottom w:val="nil"/>
            </w:tcBorders>
            <w:noWrap/>
            <w:vAlign w:val="bottom"/>
          </w:tcPr>
          <w:p w14:paraId="551FD436" w14:textId="77777777" w:rsidR="002B11BF" w:rsidRPr="00037A46" w:rsidRDefault="002B11BF" w:rsidP="00CE101B">
            <w:pPr>
              <w:spacing w:before="0" w:after="0"/>
              <w:ind w:left="355"/>
              <w:jc w:val="center"/>
              <w:rPr>
                <w:bCs/>
                <w:lang w:val="en-GB"/>
              </w:rPr>
            </w:pPr>
            <w:r w:rsidRPr="00037A46">
              <w:rPr>
                <w:bCs/>
                <w:lang w:val="en-GB"/>
              </w:rPr>
              <w:t>34.673,05</w:t>
            </w:r>
          </w:p>
        </w:tc>
      </w:tr>
      <w:tr w:rsidR="002B11BF" w:rsidRPr="00037A46" w14:paraId="7C730406" w14:textId="77777777" w:rsidTr="00B033C1">
        <w:trPr>
          <w:gridAfter w:val="1"/>
          <w:wAfter w:w="8" w:type="dxa"/>
          <w:trHeight w:val="80"/>
          <w:jc w:val="center"/>
        </w:trPr>
        <w:tc>
          <w:tcPr>
            <w:tcW w:w="1291" w:type="dxa"/>
            <w:tcBorders>
              <w:top w:val="nil"/>
              <w:bottom w:val="single" w:sz="8" w:space="0" w:color="auto"/>
            </w:tcBorders>
            <w:shd w:val="clear" w:color="auto" w:fill="C0C0C0"/>
            <w:noWrap/>
            <w:vAlign w:val="bottom"/>
          </w:tcPr>
          <w:p w14:paraId="1176DEDB" w14:textId="77777777" w:rsidR="002B11BF" w:rsidRPr="00037A46" w:rsidRDefault="002B11BF" w:rsidP="003A11FB">
            <w:pPr>
              <w:spacing w:before="0" w:after="0"/>
              <w:ind w:hanging="764"/>
              <w:rPr>
                <w:b/>
                <w:bCs/>
                <w:lang w:val="en-GB"/>
              </w:rPr>
            </w:pPr>
            <w:r w:rsidRPr="00037A46">
              <w:rPr>
                <w:b/>
                <w:bCs/>
                <w:lang w:val="en-GB"/>
              </w:rPr>
              <w:t>maximum</w:t>
            </w:r>
          </w:p>
        </w:tc>
        <w:tc>
          <w:tcPr>
            <w:tcW w:w="2140" w:type="dxa"/>
            <w:tcBorders>
              <w:top w:val="nil"/>
              <w:bottom w:val="single" w:sz="8" w:space="0" w:color="auto"/>
            </w:tcBorders>
            <w:noWrap/>
            <w:vAlign w:val="bottom"/>
          </w:tcPr>
          <w:p w14:paraId="18503CCC" w14:textId="77777777" w:rsidR="002B11BF" w:rsidRPr="00037A46" w:rsidRDefault="00147B68" w:rsidP="00CE101B">
            <w:pPr>
              <w:spacing w:before="0" w:after="0"/>
              <w:ind w:left="214"/>
              <w:jc w:val="center"/>
              <w:rPr>
                <w:bCs/>
                <w:lang w:val="en-GB"/>
              </w:rPr>
            </w:pPr>
            <w:r w:rsidRPr="00037A46">
              <w:rPr>
                <w:bCs/>
                <w:lang w:val="en-GB"/>
              </w:rPr>
              <w:t>70.661,54</w:t>
            </w:r>
          </w:p>
        </w:tc>
        <w:tc>
          <w:tcPr>
            <w:tcW w:w="2534" w:type="dxa"/>
            <w:tcBorders>
              <w:top w:val="nil"/>
              <w:bottom w:val="single" w:sz="8" w:space="0" w:color="auto"/>
            </w:tcBorders>
            <w:noWrap/>
            <w:vAlign w:val="bottom"/>
          </w:tcPr>
          <w:p w14:paraId="59390B4A" w14:textId="77777777" w:rsidR="002B11BF" w:rsidRPr="00037A46" w:rsidRDefault="002B11BF" w:rsidP="00CE101B">
            <w:pPr>
              <w:spacing w:before="0" w:after="0"/>
              <w:ind w:left="355"/>
              <w:jc w:val="center"/>
              <w:rPr>
                <w:bCs/>
                <w:lang w:val="en-GB"/>
              </w:rPr>
            </w:pPr>
            <w:r w:rsidRPr="00037A46">
              <w:rPr>
                <w:bCs/>
                <w:lang w:val="en-GB"/>
              </w:rPr>
              <w:t>51.204,00</w:t>
            </w:r>
          </w:p>
        </w:tc>
      </w:tr>
      <w:tr w:rsidR="00147B68" w:rsidRPr="00037A46" w14:paraId="16C7DAA0" w14:textId="77777777" w:rsidTr="00B033C1">
        <w:trPr>
          <w:gridAfter w:val="1"/>
          <w:wAfter w:w="8" w:type="dxa"/>
          <w:trHeight w:val="300"/>
          <w:jc w:val="center"/>
        </w:trPr>
        <w:tc>
          <w:tcPr>
            <w:tcW w:w="1291" w:type="dxa"/>
            <w:tcBorders>
              <w:top w:val="single" w:sz="8" w:space="0" w:color="auto"/>
              <w:bottom w:val="nil"/>
            </w:tcBorders>
            <w:shd w:val="clear" w:color="auto" w:fill="C0C0C0"/>
            <w:noWrap/>
            <w:vAlign w:val="bottom"/>
          </w:tcPr>
          <w:p w14:paraId="636E5AD4" w14:textId="77777777" w:rsidR="00147B68" w:rsidRPr="00037A46" w:rsidRDefault="00147B68" w:rsidP="00147B68">
            <w:pPr>
              <w:spacing w:before="0" w:after="0"/>
              <w:ind w:hanging="764"/>
              <w:rPr>
                <w:b/>
                <w:bCs/>
              </w:rPr>
            </w:pPr>
            <w:r w:rsidRPr="00037A46">
              <w:rPr>
                <w:b/>
                <w:bCs/>
              </w:rPr>
              <w:t>verhoging</w:t>
            </w:r>
          </w:p>
        </w:tc>
        <w:tc>
          <w:tcPr>
            <w:tcW w:w="2140" w:type="dxa"/>
            <w:tcBorders>
              <w:top w:val="single" w:sz="8" w:space="0" w:color="auto"/>
              <w:bottom w:val="nil"/>
            </w:tcBorders>
            <w:noWrap/>
          </w:tcPr>
          <w:p w14:paraId="1B9F7293" w14:textId="77777777" w:rsidR="00147B68" w:rsidRPr="00037A46" w:rsidRDefault="00147B68" w:rsidP="00147B68">
            <w:pPr>
              <w:ind w:left="83"/>
              <w:jc w:val="left"/>
            </w:pPr>
            <w:r w:rsidRPr="00037A46">
              <w:t>1 x 1 x 1.520,85 14 x 1 x 1.520,85</w:t>
            </w:r>
          </w:p>
        </w:tc>
        <w:tc>
          <w:tcPr>
            <w:tcW w:w="2534" w:type="dxa"/>
            <w:tcBorders>
              <w:top w:val="single" w:sz="8" w:space="0" w:color="auto"/>
              <w:bottom w:val="nil"/>
            </w:tcBorders>
            <w:noWrap/>
            <w:vAlign w:val="bottom"/>
          </w:tcPr>
          <w:p w14:paraId="4EFB3909" w14:textId="77777777" w:rsidR="00147B68" w:rsidRPr="00037A46" w:rsidRDefault="00147B68" w:rsidP="00147B68">
            <w:pPr>
              <w:spacing w:before="0" w:after="0"/>
              <w:ind w:left="355"/>
              <w:jc w:val="center"/>
              <w:rPr>
                <w:bCs/>
              </w:rPr>
            </w:pPr>
            <w:r w:rsidRPr="00037A46">
              <w:rPr>
                <w:bCs/>
              </w:rPr>
              <w:t>1</w:t>
            </w:r>
            <w:r w:rsidRPr="00037A46">
              <w:rPr>
                <w:bCs/>
                <w:vertAlign w:val="superscript"/>
              </w:rPr>
              <w:t>1</w:t>
            </w:r>
            <w:r w:rsidRPr="00037A46">
              <w:rPr>
                <w:bCs/>
              </w:rPr>
              <w:t xml:space="preserve"> x 2.600,46</w:t>
            </w:r>
          </w:p>
        </w:tc>
      </w:tr>
      <w:tr w:rsidR="00147B68" w:rsidRPr="00037A46" w14:paraId="3054A324" w14:textId="77777777" w:rsidTr="00B033C1">
        <w:trPr>
          <w:gridAfter w:val="1"/>
          <w:wAfter w:w="8" w:type="dxa"/>
          <w:trHeight w:val="300"/>
          <w:jc w:val="center"/>
        </w:trPr>
        <w:tc>
          <w:tcPr>
            <w:tcW w:w="1291" w:type="dxa"/>
            <w:tcBorders>
              <w:top w:val="nil"/>
              <w:bottom w:val="nil"/>
            </w:tcBorders>
            <w:shd w:val="clear" w:color="auto" w:fill="C0C0C0"/>
            <w:noWrap/>
            <w:vAlign w:val="bottom"/>
          </w:tcPr>
          <w:p w14:paraId="0C1AE320" w14:textId="77777777" w:rsidR="00147B68" w:rsidRPr="00037A46" w:rsidRDefault="00147B68" w:rsidP="00147B68">
            <w:pPr>
              <w:spacing w:before="0" w:after="0"/>
              <w:ind w:hanging="764"/>
              <w:rPr>
                <w:b/>
                <w:bCs/>
              </w:rPr>
            </w:pPr>
            <w:r w:rsidRPr="00037A46">
              <w:rPr>
                <w:b/>
                <w:bCs/>
              </w:rPr>
              <w:t> </w:t>
            </w:r>
          </w:p>
        </w:tc>
        <w:tc>
          <w:tcPr>
            <w:tcW w:w="2140" w:type="dxa"/>
            <w:tcBorders>
              <w:top w:val="nil"/>
              <w:bottom w:val="nil"/>
            </w:tcBorders>
            <w:noWrap/>
          </w:tcPr>
          <w:p w14:paraId="7E880289" w14:textId="77777777" w:rsidR="00147B68" w:rsidRPr="00037A46" w:rsidRDefault="00147B68" w:rsidP="00147B68">
            <w:pPr>
              <w:ind w:left="83"/>
              <w:jc w:val="left"/>
            </w:pPr>
            <w:r w:rsidRPr="00037A46">
              <w:t>1 x 1 x 1.520,85 14 x 1 x 1.520,85</w:t>
            </w:r>
          </w:p>
        </w:tc>
        <w:tc>
          <w:tcPr>
            <w:tcW w:w="2534" w:type="dxa"/>
            <w:tcBorders>
              <w:top w:val="nil"/>
              <w:bottom w:val="nil"/>
            </w:tcBorders>
            <w:noWrap/>
            <w:vAlign w:val="bottom"/>
          </w:tcPr>
          <w:p w14:paraId="42D63FA6" w14:textId="77777777" w:rsidR="00147B68" w:rsidRPr="00037A46" w:rsidRDefault="00147B68" w:rsidP="00147B68">
            <w:pPr>
              <w:spacing w:before="0" w:after="0"/>
              <w:ind w:left="355"/>
              <w:jc w:val="center"/>
              <w:rPr>
                <w:bCs/>
              </w:rPr>
            </w:pPr>
            <w:r w:rsidRPr="00037A46">
              <w:rPr>
                <w:bCs/>
              </w:rPr>
              <w:t>7</w:t>
            </w:r>
            <w:r w:rsidRPr="00037A46">
              <w:rPr>
                <w:bCs/>
                <w:vertAlign w:val="superscript"/>
              </w:rPr>
              <w:t>2</w:t>
            </w:r>
            <w:r w:rsidRPr="00037A46">
              <w:rPr>
                <w:bCs/>
              </w:rPr>
              <w:t xml:space="preserve"> x 1.990,07</w:t>
            </w:r>
          </w:p>
        </w:tc>
      </w:tr>
      <w:tr w:rsidR="002B11BF" w:rsidRPr="00037A46" w14:paraId="6205CA6C" w14:textId="77777777" w:rsidTr="00B033C1">
        <w:trPr>
          <w:gridAfter w:val="1"/>
          <w:wAfter w:w="8" w:type="dxa"/>
          <w:trHeight w:val="315"/>
          <w:jc w:val="center"/>
        </w:trPr>
        <w:tc>
          <w:tcPr>
            <w:tcW w:w="1291" w:type="dxa"/>
            <w:tcBorders>
              <w:top w:val="nil"/>
              <w:bottom w:val="single" w:sz="8" w:space="0" w:color="auto"/>
            </w:tcBorders>
            <w:shd w:val="clear" w:color="auto" w:fill="C0C0C0"/>
            <w:noWrap/>
            <w:vAlign w:val="bottom"/>
          </w:tcPr>
          <w:p w14:paraId="3A035BC5" w14:textId="77777777" w:rsidR="002B11BF" w:rsidRPr="00037A46" w:rsidRDefault="002B11BF" w:rsidP="003A11FB">
            <w:pPr>
              <w:spacing w:before="0" w:after="0"/>
              <w:ind w:hanging="764"/>
              <w:rPr>
                <w:lang w:val="en-US"/>
              </w:rPr>
            </w:pPr>
            <w:r w:rsidRPr="00037A46">
              <w:rPr>
                <w:lang w:val="en-US"/>
              </w:rPr>
              <w:t> </w:t>
            </w:r>
          </w:p>
        </w:tc>
        <w:tc>
          <w:tcPr>
            <w:tcW w:w="2140" w:type="dxa"/>
            <w:tcBorders>
              <w:top w:val="nil"/>
              <w:bottom w:val="single" w:sz="8" w:space="0" w:color="auto"/>
            </w:tcBorders>
            <w:noWrap/>
            <w:vAlign w:val="bottom"/>
          </w:tcPr>
          <w:p w14:paraId="2DE4572E" w14:textId="77777777" w:rsidR="002B11BF" w:rsidRPr="00037A46" w:rsidRDefault="002B11BF" w:rsidP="00147B68">
            <w:pPr>
              <w:spacing w:before="0" w:after="0"/>
              <w:ind w:left="214"/>
              <w:jc w:val="left"/>
              <w:rPr>
                <w:lang w:val="en-US"/>
              </w:rPr>
            </w:pPr>
          </w:p>
        </w:tc>
        <w:tc>
          <w:tcPr>
            <w:tcW w:w="2534" w:type="dxa"/>
            <w:tcBorders>
              <w:top w:val="nil"/>
              <w:bottom w:val="single" w:sz="8" w:space="0" w:color="auto"/>
            </w:tcBorders>
            <w:noWrap/>
            <w:vAlign w:val="bottom"/>
          </w:tcPr>
          <w:p w14:paraId="2BF1458C" w14:textId="77777777" w:rsidR="002B11BF" w:rsidRPr="00037A46" w:rsidRDefault="002B11BF" w:rsidP="00CE101B">
            <w:pPr>
              <w:spacing w:before="0" w:after="0"/>
              <w:ind w:left="355"/>
              <w:jc w:val="center"/>
              <w:rPr>
                <w:lang w:val="en-US"/>
              </w:rPr>
            </w:pPr>
          </w:p>
        </w:tc>
      </w:tr>
      <w:tr w:rsidR="00147B68" w:rsidRPr="00037A46" w14:paraId="71BDA084" w14:textId="77777777" w:rsidTr="00B033C1">
        <w:trPr>
          <w:gridAfter w:val="1"/>
          <w:wAfter w:w="8" w:type="dxa"/>
          <w:trHeight w:hRule="exact" w:val="340"/>
          <w:jc w:val="center"/>
        </w:trPr>
        <w:tc>
          <w:tcPr>
            <w:tcW w:w="1291" w:type="dxa"/>
            <w:tcBorders>
              <w:top w:val="single" w:sz="8" w:space="0" w:color="auto"/>
            </w:tcBorders>
            <w:shd w:val="clear" w:color="auto" w:fill="C0C0C0"/>
            <w:noWrap/>
            <w:vAlign w:val="bottom"/>
          </w:tcPr>
          <w:p w14:paraId="133384C7" w14:textId="77777777" w:rsidR="00147B68" w:rsidRPr="00037A46" w:rsidRDefault="00147B68" w:rsidP="00147B68">
            <w:pPr>
              <w:spacing w:before="0" w:after="0"/>
              <w:ind w:hanging="764"/>
              <w:jc w:val="right"/>
              <w:rPr>
                <w:b/>
                <w:bCs/>
                <w:lang w:val="en-US"/>
              </w:rPr>
            </w:pPr>
            <w:r w:rsidRPr="00037A46">
              <w:rPr>
                <w:b/>
                <w:bCs/>
                <w:lang w:val="en-US"/>
              </w:rPr>
              <w:t>0</w:t>
            </w:r>
          </w:p>
        </w:tc>
        <w:tc>
          <w:tcPr>
            <w:tcW w:w="2140" w:type="dxa"/>
            <w:tcBorders>
              <w:top w:val="single" w:sz="8" w:space="0" w:color="auto"/>
            </w:tcBorders>
            <w:noWrap/>
          </w:tcPr>
          <w:p w14:paraId="3A797D37" w14:textId="116BDA45" w:rsidR="00147B68" w:rsidRPr="00037A46" w:rsidRDefault="00147B68" w:rsidP="00147B68">
            <w:r w:rsidRPr="00037A46">
              <w:t>47</w:t>
            </w:r>
            <w:r w:rsidR="005A133B">
              <w:t>.</w:t>
            </w:r>
            <w:r w:rsidRPr="00037A46">
              <w:t>848</w:t>
            </w:r>
            <w:r w:rsidR="005A133B">
              <w:t>,</w:t>
            </w:r>
            <w:r w:rsidRPr="00037A46">
              <w:t>79</w:t>
            </w:r>
          </w:p>
        </w:tc>
        <w:tc>
          <w:tcPr>
            <w:tcW w:w="2534" w:type="dxa"/>
            <w:tcBorders>
              <w:top w:val="single" w:sz="8" w:space="0" w:color="auto"/>
            </w:tcBorders>
            <w:noWrap/>
          </w:tcPr>
          <w:p w14:paraId="61C5864A" w14:textId="7BB6BFCE" w:rsidR="00147B68" w:rsidRPr="00037A46" w:rsidRDefault="00147B68" w:rsidP="00147B68">
            <w:r w:rsidRPr="00037A46">
              <w:t>45</w:t>
            </w:r>
            <w:r w:rsidR="00610CA6">
              <w:t>.</w:t>
            </w:r>
            <w:r w:rsidRPr="00037A46">
              <w:t>074,95</w:t>
            </w:r>
          </w:p>
        </w:tc>
      </w:tr>
      <w:tr w:rsidR="00147B68" w:rsidRPr="00037A46" w14:paraId="4E40575F" w14:textId="77777777" w:rsidTr="00B033C1">
        <w:trPr>
          <w:gridAfter w:val="1"/>
          <w:wAfter w:w="8" w:type="dxa"/>
          <w:trHeight w:hRule="exact" w:val="340"/>
          <w:jc w:val="center"/>
        </w:trPr>
        <w:tc>
          <w:tcPr>
            <w:tcW w:w="1291" w:type="dxa"/>
            <w:shd w:val="clear" w:color="auto" w:fill="C0C0C0"/>
            <w:noWrap/>
            <w:vAlign w:val="bottom"/>
          </w:tcPr>
          <w:p w14:paraId="12C3EDC7" w14:textId="77777777" w:rsidR="00147B68" w:rsidRPr="00037A46" w:rsidRDefault="00147B68" w:rsidP="00147B68">
            <w:pPr>
              <w:spacing w:before="0" w:after="0"/>
              <w:ind w:hanging="764"/>
              <w:jc w:val="right"/>
              <w:rPr>
                <w:b/>
                <w:bCs/>
                <w:lang w:val="en-US"/>
              </w:rPr>
            </w:pPr>
            <w:r w:rsidRPr="00037A46">
              <w:rPr>
                <w:b/>
                <w:bCs/>
                <w:lang w:val="en-US"/>
              </w:rPr>
              <w:t>1</w:t>
            </w:r>
          </w:p>
        </w:tc>
        <w:tc>
          <w:tcPr>
            <w:tcW w:w="2140" w:type="dxa"/>
            <w:noWrap/>
          </w:tcPr>
          <w:p w14:paraId="0185AEA8" w14:textId="6991A7FE" w:rsidR="00147B68" w:rsidRPr="00037A46" w:rsidRDefault="00147B68" w:rsidP="00147B68">
            <w:r w:rsidRPr="00037A46">
              <w:t>49</w:t>
            </w:r>
            <w:r w:rsidR="005A133B">
              <w:t>.</w:t>
            </w:r>
            <w:r w:rsidRPr="00037A46">
              <w:t>369</w:t>
            </w:r>
            <w:r w:rsidR="005A133B">
              <w:t>,</w:t>
            </w:r>
            <w:r w:rsidRPr="00037A46">
              <w:t>64</w:t>
            </w:r>
          </w:p>
        </w:tc>
        <w:tc>
          <w:tcPr>
            <w:tcW w:w="2534" w:type="dxa"/>
            <w:noWrap/>
          </w:tcPr>
          <w:p w14:paraId="008A21D3" w14:textId="2CE93693" w:rsidR="00147B68" w:rsidRPr="00037A46" w:rsidRDefault="00147B68" w:rsidP="00147B68">
            <w:r w:rsidRPr="00037A46">
              <w:t>48</w:t>
            </w:r>
            <w:r w:rsidR="00610CA6">
              <w:t>.</w:t>
            </w:r>
            <w:r w:rsidRPr="00037A46">
              <w:t>455,58</w:t>
            </w:r>
          </w:p>
        </w:tc>
      </w:tr>
      <w:tr w:rsidR="00147B68" w:rsidRPr="00037A46" w14:paraId="7B5C09DD" w14:textId="77777777" w:rsidTr="00B033C1">
        <w:trPr>
          <w:gridAfter w:val="1"/>
          <w:wAfter w:w="8" w:type="dxa"/>
          <w:trHeight w:hRule="exact" w:val="340"/>
          <w:jc w:val="center"/>
        </w:trPr>
        <w:tc>
          <w:tcPr>
            <w:tcW w:w="1291" w:type="dxa"/>
            <w:shd w:val="clear" w:color="auto" w:fill="C0C0C0"/>
            <w:noWrap/>
            <w:vAlign w:val="bottom"/>
          </w:tcPr>
          <w:p w14:paraId="1564B3F0" w14:textId="77777777" w:rsidR="00147B68" w:rsidRPr="00037A46" w:rsidRDefault="00147B68" w:rsidP="00147B68">
            <w:pPr>
              <w:spacing w:before="0" w:after="0"/>
              <w:ind w:hanging="764"/>
              <w:jc w:val="right"/>
              <w:rPr>
                <w:b/>
                <w:bCs/>
                <w:lang w:val="en-US"/>
              </w:rPr>
            </w:pPr>
            <w:r w:rsidRPr="00037A46">
              <w:rPr>
                <w:b/>
                <w:bCs/>
                <w:lang w:val="en-US"/>
              </w:rPr>
              <w:t>2</w:t>
            </w:r>
          </w:p>
        </w:tc>
        <w:tc>
          <w:tcPr>
            <w:tcW w:w="2140" w:type="dxa"/>
            <w:noWrap/>
          </w:tcPr>
          <w:p w14:paraId="5357AFF0" w14:textId="7BA58345" w:rsidR="00147B68" w:rsidRPr="00037A46" w:rsidRDefault="00147B68" w:rsidP="00147B68">
            <w:r w:rsidRPr="00037A46">
              <w:t>50</w:t>
            </w:r>
            <w:r w:rsidR="005A133B">
              <w:t>.</w:t>
            </w:r>
            <w:r w:rsidRPr="00037A46">
              <w:t>890</w:t>
            </w:r>
            <w:r w:rsidR="005A133B">
              <w:t>,</w:t>
            </w:r>
            <w:r w:rsidRPr="00037A46">
              <w:t>49</w:t>
            </w:r>
          </w:p>
        </w:tc>
        <w:tc>
          <w:tcPr>
            <w:tcW w:w="2534" w:type="dxa"/>
            <w:noWrap/>
          </w:tcPr>
          <w:p w14:paraId="66057B67" w14:textId="625941F9" w:rsidR="00147B68" w:rsidRPr="00037A46" w:rsidRDefault="00147B68" w:rsidP="00147B68">
            <w:r w:rsidRPr="00037A46">
              <w:t>48</w:t>
            </w:r>
            <w:r w:rsidR="005A133B">
              <w:t>.</w:t>
            </w:r>
            <w:r w:rsidRPr="00037A46">
              <w:t>455,58</w:t>
            </w:r>
          </w:p>
        </w:tc>
      </w:tr>
      <w:tr w:rsidR="00147B68" w:rsidRPr="00037A46" w14:paraId="3478A830" w14:textId="77777777" w:rsidTr="00B033C1">
        <w:trPr>
          <w:gridAfter w:val="1"/>
          <w:wAfter w:w="8" w:type="dxa"/>
          <w:trHeight w:hRule="exact" w:val="340"/>
          <w:jc w:val="center"/>
        </w:trPr>
        <w:tc>
          <w:tcPr>
            <w:tcW w:w="1291" w:type="dxa"/>
            <w:shd w:val="clear" w:color="auto" w:fill="C0C0C0"/>
            <w:noWrap/>
            <w:vAlign w:val="bottom"/>
          </w:tcPr>
          <w:p w14:paraId="14F34F43" w14:textId="77777777" w:rsidR="00147B68" w:rsidRPr="00037A46" w:rsidRDefault="00147B68" w:rsidP="00147B68">
            <w:pPr>
              <w:spacing w:before="0" w:after="0"/>
              <w:ind w:hanging="764"/>
              <w:jc w:val="right"/>
              <w:rPr>
                <w:b/>
                <w:bCs/>
                <w:lang w:val="en-US"/>
              </w:rPr>
            </w:pPr>
            <w:r w:rsidRPr="00037A46">
              <w:rPr>
                <w:b/>
                <w:bCs/>
                <w:lang w:val="en-US"/>
              </w:rPr>
              <w:t>3</w:t>
            </w:r>
          </w:p>
        </w:tc>
        <w:tc>
          <w:tcPr>
            <w:tcW w:w="2140" w:type="dxa"/>
            <w:noWrap/>
          </w:tcPr>
          <w:p w14:paraId="55346713" w14:textId="337FDE77" w:rsidR="00147B68" w:rsidRPr="00037A46" w:rsidRDefault="00147B68" w:rsidP="00147B68">
            <w:r w:rsidRPr="00037A46">
              <w:t>52</w:t>
            </w:r>
            <w:r w:rsidR="005A133B">
              <w:t>.</w:t>
            </w:r>
            <w:r w:rsidRPr="00037A46">
              <w:t>411</w:t>
            </w:r>
            <w:r w:rsidR="005A133B">
              <w:t>,</w:t>
            </w:r>
            <w:r w:rsidRPr="00037A46">
              <w:t>34</w:t>
            </w:r>
          </w:p>
        </w:tc>
        <w:tc>
          <w:tcPr>
            <w:tcW w:w="2534" w:type="dxa"/>
            <w:noWrap/>
          </w:tcPr>
          <w:p w14:paraId="56632469" w14:textId="1544E27F" w:rsidR="00147B68" w:rsidRPr="00037A46" w:rsidRDefault="00147B68" w:rsidP="00147B68">
            <w:r w:rsidRPr="00037A46">
              <w:t>51</w:t>
            </w:r>
            <w:r w:rsidR="005A133B">
              <w:t>.</w:t>
            </w:r>
            <w:r w:rsidRPr="00037A46">
              <w:t>042,60</w:t>
            </w:r>
          </w:p>
        </w:tc>
      </w:tr>
      <w:tr w:rsidR="00147B68" w:rsidRPr="00037A46" w14:paraId="41A74894" w14:textId="77777777" w:rsidTr="00B033C1">
        <w:trPr>
          <w:gridAfter w:val="1"/>
          <w:wAfter w:w="8" w:type="dxa"/>
          <w:trHeight w:hRule="exact" w:val="340"/>
          <w:jc w:val="center"/>
        </w:trPr>
        <w:tc>
          <w:tcPr>
            <w:tcW w:w="1291" w:type="dxa"/>
            <w:shd w:val="clear" w:color="auto" w:fill="C0C0C0"/>
            <w:noWrap/>
            <w:vAlign w:val="bottom"/>
          </w:tcPr>
          <w:p w14:paraId="13D8FD53" w14:textId="77777777" w:rsidR="00147B68" w:rsidRPr="00037A46" w:rsidRDefault="00147B68" w:rsidP="00147B68">
            <w:pPr>
              <w:spacing w:before="0" w:after="0"/>
              <w:ind w:hanging="764"/>
              <w:jc w:val="right"/>
              <w:rPr>
                <w:b/>
                <w:bCs/>
                <w:lang w:val="en-US"/>
              </w:rPr>
            </w:pPr>
            <w:r w:rsidRPr="00037A46">
              <w:rPr>
                <w:b/>
                <w:bCs/>
                <w:lang w:val="en-US"/>
              </w:rPr>
              <w:t>4</w:t>
            </w:r>
          </w:p>
        </w:tc>
        <w:tc>
          <w:tcPr>
            <w:tcW w:w="2140" w:type="dxa"/>
            <w:noWrap/>
          </w:tcPr>
          <w:p w14:paraId="067B225C" w14:textId="6E78C3F3" w:rsidR="00147B68" w:rsidRPr="00037A46" w:rsidRDefault="00147B68" w:rsidP="00147B68">
            <w:r w:rsidRPr="00037A46">
              <w:t>53</w:t>
            </w:r>
            <w:r w:rsidR="005A133B">
              <w:t>.</w:t>
            </w:r>
            <w:r w:rsidRPr="00037A46">
              <w:t>932</w:t>
            </w:r>
            <w:r w:rsidR="005A133B">
              <w:t>,</w:t>
            </w:r>
            <w:r w:rsidRPr="00037A46">
              <w:t>19</w:t>
            </w:r>
          </w:p>
        </w:tc>
        <w:tc>
          <w:tcPr>
            <w:tcW w:w="2534" w:type="dxa"/>
            <w:noWrap/>
          </w:tcPr>
          <w:p w14:paraId="3CE1E8A8" w14:textId="0EB1F157" w:rsidR="00147B68" w:rsidRPr="00037A46" w:rsidRDefault="00147B68" w:rsidP="00147B68">
            <w:r w:rsidRPr="00037A46">
              <w:t>51</w:t>
            </w:r>
            <w:r w:rsidR="005A133B">
              <w:t>.</w:t>
            </w:r>
            <w:r w:rsidRPr="00037A46">
              <w:t>042,60</w:t>
            </w:r>
          </w:p>
        </w:tc>
      </w:tr>
      <w:tr w:rsidR="00147B68" w:rsidRPr="00037A46" w14:paraId="1140C0C4" w14:textId="77777777" w:rsidTr="00B033C1">
        <w:trPr>
          <w:gridAfter w:val="1"/>
          <w:wAfter w:w="8" w:type="dxa"/>
          <w:trHeight w:hRule="exact" w:val="340"/>
          <w:jc w:val="center"/>
        </w:trPr>
        <w:tc>
          <w:tcPr>
            <w:tcW w:w="1291" w:type="dxa"/>
            <w:shd w:val="clear" w:color="auto" w:fill="C0C0C0"/>
            <w:noWrap/>
            <w:vAlign w:val="bottom"/>
          </w:tcPr>
          <w:p w14:paraId="49981D8C" w14:textId="77777777" w:rsidR="00147B68" w:rsidRPr="00037A46" w:rsidRDefault="00147B68" w:rsidP="00147B68">
            <w:pPr>
              <w:spacing w:before="0" w:after="0"/>
              <w:ind w:hanging="764"/>
              <w:jc w:val="right"/>
              <w:rPr>
                <w:b/>
                <w:bCs/>
                <w:lang w:val="en-US"/>
              </w:rPr>
            </w:pPr>
            <w:r w:rsidRPr="00037A46">
              <w:rPr>
                <w:b/>
                <w:bCs/>
                <w:lang w:val="en-US"/>
              </w:rPr>
              <w:t>5</w:t>
            </w:r>
          </w:p>
        </w:tc>
        <w:tc>
          <w:tcPr>
            <w:tcW w:w="2140" w:type="dxa"/>
            <w:noWrap/>
          </w:tcPr>
          <w:p w14:paraId="6BB25E25" w14:textId="2D96B359" w:rsidR="00147B68" w:rsidRPr="00037A46" w:rsidRDefault="00147B68" w:rsidP="00147B68">
            <w:r w:rsidRPr="00037A46">
              <w:t>55</w:t>
            </w:r>
            <w:r w:rsidR="005A133B">
              <w:t>.</w:t>
            </w:r>
            <w:r w:rsidRPr="00037A46">
              <w:t>453</w:t>
            </w:r>
            <w:r w:rsidR="005A133B">
              <w:t>,</w:t>
            </w:r>
            <w:r w:rsidRPr="00037A46">
              <w:t>04</w:t>
            </w:r>
          </w:p>
        </w:tc>
        <w:tc>
          <w:tcPr>
            <w:tcW w:w="2534" w:type="dxa"/>
            <w:noWrap/>
          </w:tcPr>
          <w:p w14:paraId="34D2ACED" w14:textId="5B8449DB" w:rsidR="00147B68" w:rsidRPr="00037A46" w:rsidRDefault="00147B68" w:rsidP="00147B68">
            <w:r w:rsidRPr="00037A46">
              <w:t>53</w:t>
            </w:r>
            <w:r w:rsidR="005A133B">
              <w:t>.</w:t>
            </w:r>
            <w:r w:rsidRPr="00037A46">
              <w:t>629,62</w:t>
            </w:r>
          </w:p>
        </w:tc>
      </w:tr>
      <w:tr w:rsidR="00147B68" w:rsidRPr="00037A46" w14:paraId="50DDFF86" w14:textId="77777777" w:rsidTr="00B033C1">
        <w:trPr>
          <w:gridAfter w:val="1"/>
          <w:wAfter w:w="8" w:type="dxa"/>
          <w:trHeight w:hRule="exact" w:val="340"/>
          <w:jc w:val="center"/>
        </w:trPr>
        <w:tc>
          <w:tcPr>
            <w:tcW w:w="1291" w:type="dxa"/>
            <w:shd w:val="clear" w:color="auto" w:fill="C0C0C0"/>
            <w:noWrap/>
            <w:vAlign w:val="bottom"/>
          </w:tcPr>
          <w:p w14:paraId="7C2FC94F" w14:textId="77777777" w:rsidR="00147B68" w:rsidRPr="00037A46" w:rsidRDefault="00147B68" w:rsidP="00147B68">
            <w:pPr>
              <w:spacing w:before="0" w:after="0"/>
              <w:ind w:hanging="764"/>
              <w:jc w:val="right"/>
              <w:rPr>
                <w:b/>
                <w:bCs/>
                <w:lang w:val="en-US"/>
              </w:rPr>
            </w:pPr>
            <w:r w:rsidRPr="00037A46">
              <w:rPr>
                <w:b/>
                <w:bCs/>
                <w:lang w:val="en-US"/>
              </w:rPr>
              <w:t>6</w:t>
            </w:r>
          </w:p>
        </w:tc>
        <w:tc>
          <w:tcPr>
            <w:tcW w:w="2140" w:type="dxa"/>
            <w:noWrap/>
          </w:tcPr>
          <w:p w14:paraId="504ADF0C" w14:textId="23B0A803" w:rsidR="00147B68" w:rsidRPr="00037A46" w:rsidRDefault="00147B68" w:rsidP="00147B68">
            <w:r w:rsidRPr="00037A46">
              <w:t>56</w:t>
            </w:r>
            <w:r w:rsidR="005A133B">
              <w:t>.</w:t>
            </w:r>
            <w:r w:rsidRPr="00037A46">
              <w:t>973</w:t>
            </w:r>
            <w:r w:rsidR="005A133B">
              <w:t>,</w:t>
            </w:r>
            <w:r w:rsidRPr="00037A46">
              <w:t>89</w:t>
            </w:r>
          </w:p>
        </w:tc>
        <w:tc>
          <w:tcPr>
            <w:tcW w:w="2534" w:type="dxa"/>
            <w:noWrap/>
          </w:tcPr>
          <w:p w14:paraId="635BB93B" w14:textId="7D1239AF" w:rsidR="00147B68" w:rsidRPr="00037A46" w:rsidRDefault="00147B68" w:rsidP="00147B68">
            <w:r w:rsidRPr="00037A46">
              <w:t>53</w:t>
            </w:r>
            <w:r w:rsidR="005A133B">
              <w:t>.</w:t>
            </w:r>
            <w:r w:rsidRPr="00037A46">
              <w:t>629,62</w:t>
            </w:r>
          </w:p>
        </w:tc>
      </w:tr>
      <w:tr w:rsidR="00147B68" w:rsidRPr="00037A46" w14:paraId="22A4BB04" w14:textId="77777777" w:rsidTr="00B033C1">
        <w:trPr>
          <w:gridAfter w:val="1"/>
          <w:wAfter w:w="8" w:type="dxa"/>
          <w:trHeight w:hRule="exact" w:val="340"/>
          <w:jc w:val="center"/>
        </w:trPr>
        <w:tc>
          <w:tcPr>
            <w:tcW w:w="1291" w:type="dxa"/>
            <w:shd w:val="clear" w:color="auto" w:fill="C0C0C0"/>
            <w:noWrap/>
            <w:vAlign w:val="bottom"/>
          </w:tcPr>
          <w:p w14:paraId="6FA09184" w14:textId="77777777" w:rsidR="00147B68" w:rsidRPr="00037A46" w:rsidRDefault="00147B68" w:rsidP="00147B68">
            <w:pPr>
              <w:spacing w:before="0" w:after="0"/>
              <w:ind w:hanging="764"/>
              <w:jc w:val="right"/>
              <w:rPr>
                <w:b/>
                <w:bCs/>
                <w:lang w:val="en-US"/>
              </w:rPr>
            </w:pPr>
            <w:r w:rsidRPr="00037A46">
              <w:rPr>
                <w:b/>
                <w:bCs/>
                <w:lang w:val="en-US"/>
              </w:rPr>
              <w:t>7</w:t>
            </w:r>
          </w:p>
        </w:tc>
        <w:tc>
          <w:tcPr>
            <w:tcW w:w="2140" w:type="dxa"/>
            <w:noWrap/>
          </w:tcPr>
          <w:p w14:paraId="7DFB6CFC" w14:textId="36E2EB3C" w:rsidR="00147B68" w:rsidRPr="00037A46" w:rsidRDefault="00147B68" w:rsidP="00147B68">
            <w:r w:rsidRPr="00037A46">
              <w:t>58</w:t>
            </w:r>
            <w:r w:rsidR="005A133B">
              <w:t>.</w:t>
            </w:r>
            <w:r w:rsidRPr="00037A46">
              <w:t>494</w:t>
            </w:r>
            <w:r w:rsidR="005A133B">
              <w:t>,</w:t>
            </w:r>
            <w:r w:rsidRPr="00037A46">
              <w:t>74</w:t>
            </w:r>
          </w:p>
        </w:tc>
        <w:tc>
          <w:tcPr>
            <w:tcW w:w="2534" w:type="dxa"/>
            <w:noWrap/>
          </w:tcPr>
          <w:p w14:paraId="3190FF73" w14:textId="3F3BFAB1" w:rsidR="00147B68" w:rsidRPr="00037A46" w:rsidRDefault="00147B68" w:rsidP="00147B68">
            <w:r w:rsidRPr="00037A46">
              <w:t>56</w:t>
            </w:r>
            <w:r w:rsidR="005A133B">
              <w:t>.</w:t>
            </w:r>
            <w:r w:rsidRPr="00037A46">
              <w:t>216,64</w:t>
            </w:r>
          </w:p>
        </w:tc>
      </w:tr>
      <w:tr w:rsidR="00147B68" w:rsidRPr="00037A46" w14:paraId="35F18580" w14:textId="77777777" w:rsidTr="00B033C1">
        <w:trPr>
          <w:gridAfter w:val="1"/>
          <w:wAfter w:w="8" w:type="dxa"/>
          <w:trHeight w:hRule="exact" w:val="340"/>
          <w:jc w:val="center"/>
        </w:trPr>
        <w:tc>
          <w:tcPr>
            <w:tcW w:w="1291" w:type="dxa"/>
            <w:shd w:val="clear" w:color="auto" w:fill="C0C0C0"/>
            <w:noWrap/>
            <w:vAlign w:val="bottom"/>
          </w:tcPr>
          <w:p w14:paraId="24A752EF" w14:textId="77777777" w:rsidR="00147B68" w:rsidRPr="00037A46" w:rsidRDefault="00147B68" w:rsidP="00147B68">
            <w:pPr>
              <w:spacing w:before="0" w:after="0"/>
              <w:ind w:hanging="764"/>
              <w:jc w:val="right"/>
              <w:rPr>
                <w:b/>
                <w:bCs/>
                <w:lang w:val="en-US"/>
              </w:rPr>
            </w:pPr>
            <w:r w:rsidRPr="00037A46">
              <w:rPr>
                <w:b/>
                <w:bCs/>
                <w:lang w:val="en-US"/>
              </w:rPr>
              <w:t>8</w:t>
            </w:r>
          </w:p>
        </w:tc>
        <w:tc>
          <w:tcPr>
            <w:tcW w:w="2140" w:type="dxa"/>
            <w:noWrap/>
          </w:tcPr>
          <w:p w14:paraId="4225636E" w14:textId="004A71AE" w:rsidR="00147B68" w:rsidRPr="00037A46" w:rsidRDefault="00147B68" w:rsidP="00147B68">
            <w:r w:rsidRPr="00037A46">
              <w:t>60</w:t>
            </w:r>
            <w:r w:rsidR="005A133B">
              <w:t>.</w:t>
            </w:r>
            <w:r w:rsidRPr="00037A46">
              <w:t>015</w:t>
            </w:r>
            <w:r w:rsidR="005A133B">
              <w:t>,</w:t>
            </w:r>
            <w:r w:rsidRPr="00037A46">
              <w:t>59</w:t>
            </w:r>
          </w:p>
        </w:tc>
        <w:tc>
          <w:tcPr>
            <w:tcW w:w="2534" w:type="dxa"/>
            <w:noWrap/>
          </w:tcPr>
          <w:p w14:paraId="2F644D2D" w14:textId="7B0D258C" w:rsidR="00147B68" w:rsidRPr="00037A46" w:rsidRDefault="00147B68" w:rsidP="00147B68">
            <w:r w:rsidRPr="00037A46">
              <w:t>56</w:t>
            </w:r>
            <w:r w:rsidR="005A133B">
              <w:t>.</w:t>
            </w:r>
            <w:r w:rsidRPr="00037A46">
              <w:t>216,64</w:t>
            </w:r>
          </w:p>
        </w:tc>
      </w:tr>
      <w:tr w:rsidR="00147B68" w:rsidRPr="00037A46" w14:paraId="0FF2E953" w14:textId="77777777" w:rsidTr="00B033C1">
        <w:trPr>
          <w:gridAfter w:val="1"/>
          <w:wAfter w:w="8" w:type="dxa"/>
          <w:trHeight w:hRule="exact" w:val="340"/>
          <w:jc w:val="center"/>
        </w:trPr>
        <w:tc>
          <w:tcPr>
            <w:tcW w:w="1291" w:type="dxa"/>
            <w:shd w:val="clear" w:color="auto" w:fill="C0C0C0"/>
            <w:noWrap/>
            <w:vAlign w:val="bottom"/>
          </w:tcPr>
          <w:p w14:paraId="0D9B444A" w14:textId="77777777" w:rsidR="00147B68" w:rsidRPr="00037A46" w:rsidRDefault="00147B68" w:rsidP="00147B68">
            <w:pPr>
              <w:spacing w:before="0" w:after="0"/>
              <w:ind w:hanging="764"/>
              <w:jc w:val="right"/>
              <w:rPr>
                <w:b/>
                <w:bCs/>
                <w:lang w:val="en-US"/>
              </w:rPr>
            </w:pPr>
            <w:r w:rsidRPr="00037A46">
              <w:rPr>
                <w:b/>
                <w:bCs/>
                <w:lang w:val="en-US"/>
              </w:rPr>
              <w:t>9</w:t>
            </w:r>
          </w:p>
        </w:tc>
        <w:tc>
          <w:tcPr>
            <w:tcW w:w="2140" w:type="dxa"/>
            <w:noWrap/>
          </w:tcPr>
          <w:p w14:paraId="1897749F" w14:textId="4C5BA783" w:rsidR="00147B68" w:rsidRPr="00037A46" w:rsidRDefault="00147B68" w:rsidP="00147B68">
            <w:r w:rsidRPr="00037A46">
              <w:t>61</w:t>
            </w:r>
            <w:r w:rsidR="005A133B">
              <w:t>.</w:t>
            </w:r>
            <w:r w:rsidRPr="00037A46">
              <w:t>536</w:t>
            </w:r>
            <w:r w:rsidR="005A133B">
              <w:t>,</w:t>
            </w:r>
            <w:r w:rsidRPr="00037A46">
              <w:t>44</w:t>
            </w:r>
          </w:p>
        </w:tc>
        <w:tc>
          <w:tcPr>
            <w:tcW w:w="2534" w:type="dxa"/>
            <w:noWrap/>
          </w:tcPr>
          <w:p w14:paraId="0561B1E9" w14:textId="4266767A" w:rsidR="00147B68" w:rsidRPr="00037A46" w:rsidRDefault="00147B68" w:rsidP="00147B68">
            <w:r w:rsidRPr="00037A46">
              <w:t>58</w:t>
            </w:r>
            <w:r w:rsidR="005A133B">
              <w:t>.</w:t>
            </w:r>
            <w:r w:rsidRPr="00037A46">
              <w:t>803,66</w:t>
            </w:r>
          </w:p>
        </w:tc>
      </w:tr>
      <w:tr w:rsidR="00147B68" w:rsidRPr="00037A46" w14:paraId="1E8E6B06" w14:textId="77777777" w:rsidTr="00B033C1">
        <w:trPr>
          <w:gridAfter w:val="1"/>
          <w:wAfter w:w="8" w:type="dxa"/>
          <w:trHeight w:hRule="exact" w:val="340"/>
          <w:jc w:val="center"/>
        </w:trPr>
        <w:tc>
          <w:tcPr>
            <w:tcW w:w="1291" w:type="dxa"/>
            <w:shd w:val="clear" w:color="auto" w:fill="C0C0C0"/>
            <w:noWrap/>
            <w:vAlign w:val="bottom"/>
          </w:tcPr>
          <w:p w14:paraId="74EDD909" w14:textId="77777777" w:rsidR="00147B68" w:rsidRPr="00037A46" w:rsidRDefault="00147B68" w:rsidP="00147B68">
            <w:pPr>
              <w:spacing w:before="0" w:after="0"/>
              <w:ind w:hanging="764"/>
              <w:jc w:val="right"/>
              <w:rPr>
                <w:b/>
                <w:bCs/>
                <w:lang w:val="en-US"/>
              </w:rPr>
            </w:pPr>
            <w:r w:rsidRPr="00037A46">
              <w:rPr>
                <w:b/>
                <w:bCs/>
                <w:lang w:val="en-US"/>
              </w:rPr>
              <w:t>10</w:t>
            </w:r>
          </w:p>
        </w:tc>
        <w:tc>
          <w:tcPr>
            <w:tcW w:w="2140" w:type="dxa"/>
            <w:noWrap/>
          </w:tcPr>
          <w:p w14:paraId="63AC1DD6" w14:textId="16300E32" w:rsidR="00147B68" w:rsidRPr="00037A46" w:rsidRDefault="00147B68" w:rsidP="00147B68">
            <w:r w:rsidRPr="00037A46">
              <w:t>63</w:t>
            </w:r>
            <w:r w:rsidR="005A133B">
              <w:t>.</w:t>
            </w:r>
            <w:r w:rsidRPr="00037A46">
              <w:t>057</w:t>
            </w:r>
            <w:r w:rsidR="005A133B">
              <w:t>,</w:t>
            </w:r>
            <w:r w:rsidRPr="00037A46">
              <w:t>29</w:t>
            </w:r>
          </w:p>
        </w:tc>
        <w:tc>
          <w:tcPr>
            <w:tcW w:w="2534" w:type="dxa"/>
            <w:noWrap/>
          </w:tcPr>
          <w:p w14:paraId="5D01866A" w14:textId="6FDC01A8" w:rsidR="00147B68" w:rsidRPr="00037A46" w:rsidRDefault="00147B68" w:rsidP="00147B68">
            <w:r w:rsidRPr="00037A46">
              <w:t>58</w:t>
            </w:r>
            <w:r w:rsidR="005A133B">
              <w:t>.</w:t>
            </w:r>
            <w:r w:rsidRPr="00037A46">
              <w:t>803,66</w:t>
            </w:r>
          </w:p>
        </w:tc>
      </w:tr>
      <w:tr w:rsidR="00147B68" w:rsidRPr="00037A46" w14:paraId="6AAA82C0" w14:textId="77777777" w:rsidTr="00B033C1">
        <w:trPr>
          <w:gridAfter w:val="1"/>
          <w:wAfter w:w="8" w:type="dxa"/>
          <w:trHeight w:hRule="exact" w:val="340"/>
          <w:jc w:val="center"/>
        </w:trPr>
        <w:tc>
          <w:tcPr>
            <w:tcW w:w="1291" w:type="dxa"/>
            <w:shd w:val="clear" w:color="auto" w:fill="C0C0C0"/>
            <w:noWrap/>
            <w:vAlign w:val="bottom"/>
          </w:tcPr>
          <w:p w14:paraId="58AC88D7" w14:textId="77777777" w:rsidR="00147B68" w:rsidRPr="00037A46" w:rsidRDefault="00147B68" w:rsidP="00147B68">
            <w:pPr>
              <w:spacing w:before="0" w:after="0"/>
              <w:ind w:hanging="764"/>
              <w:jc w:val="right"/>
              <w:rPr>
                <w:b/>
                <w:bCs/>
                <w:lang w:val="en-US"/>
              </w:rPr>
            </w:pPr>
            <w:r w:rsidRPr="00037A46">
              <w:rPr>
                <w:b/>
                <w:bCs/>
                <w:lang w:val="en-US"/>
              </w:rPr>
              <w:t>11</w:t>
            </w:r>
          </w:p>
        </w:tc>
        <w:tc>
          <w:tcPr>
            <w:tcW w:w="2140" w:type="dxa"/>
            <w:noWrap/>
          </w:tcPr>
          <w:p w14:paraId="6E0A7AC4" w14:textId="2676825C" w:rsidR="00147B68" w:rsidRPr="00037A46" w:rsidRDefault="00147B68" w:rsidP="00147B68">
            <w:r w:rsidRPr="00037A46">
              <w:t>64</w:t>
            </w:r>
            <w:r w:rsidR="005A133B">
              <w:t>.</w:t>
            </w:r>
            <w:r w:rsidRPr="00037A46">
              <w:t>578</w:t>
            </w:r>
            <w:r w:rsidR="005A133B">
              <w:t>,</w:t>
            </w:r>
            <w:r w:rsidRPr="00037A46">
              <w:t>14</w:t>
            </w:r>
          </w:p>
        </w:tc>
        <w:tc>
          <w:tcPr>
            <w:tcW w:w="2534" w:type="dxa"/>
            <w:noWrap/>
          </w:tcPr>
          <w:p w14:paraId="2314A92A" w14:textId="663873FA" w:rsidR="00147B68" w:rsidRPr="00037A46" w:rsidRDefault="00147B68" w:rsidP="00147B68">
            <w:r w:rsidRPr="00037A46">
              <w:t>61</w:t>
            </w:r>
            <w:r w:rsidR="005A133B">
              <w:t>.</w:t>
            </w:r>
            <w:r w:rsidRPr="00037A46">
              <w:t>390,68</w:t>
            </w:r>
          </w:p>
        </w:tc>
      </w:tr>
      <w:tr w:rsidR="00147B68" w:rsidRPr="00037A46" w14:paraId="712CA9F2" w14:textId="77777777" w:rsidTr="00B033C1">
        <w:trPr>
          <w:gridAfter w:val="1"/>
          <w:wAfter w:w="8" w:type="dxa"/>
          <w:trHeight w:hRule="exact" w:val="340"/>
          <w:jc w:val="center"/>
        </w:trPr>
        <w:tc>
          <w:tcPr>
            <w:tcW w:w="1291" w:type="dxa"/>
            <w:shd w:val="clear" w:color="auto" w:fill="C0C0C0"/>
            <w:noWrap/>
            <w:vAlign w:val="bottom"/>
          </w:tcPr>
          <w:p w14:paraId="2A66FF6E" w14:textId="77777777" w:rsidR="00147B68" w:rsidRPr="00037A46" w:rsidRDefault="00147B68" w:rsidP="00147B68">
            <w:pPr>
              <w:spacing w:before="0" w:after="0"/>
              <w:ind w:hanging="764"/>
              <w:jc w:val="right"/>
              <w:rPr>
                <w:b/>
                <w:bCs/>
                <w:lang w:val="en-US"/>
              </w:rPr>
            </w:pPr>
            <w:r w:rsidRPr="00037A46">
              <w:rPr>
                <w:b/>
                <w:bCs/>
                <w:lang w:val="en-US"/>
              </w:rPr>
              <w:t>12</w:t>
            </w:r>
          </w:p>
        </w:tc>
        <w:tc>
          <w:tcPr>
            <w:tcW w:w="2140" w:type="dxa"/>
            <w:noWrap/>
          </w:tcPr>
          <w:p w14:paraId="4C61E638" w14:textId="3E1DC268" w:rsidR="00147B68" w:rsidRPr="00037A46" w:rsidRDefault="00147B68" w:rsidP="00147B68">
            <w:r w:rsidRPr="00037A46">
              <w:t>66</w:t>
            </w:r>
            <w:r w:rsidR="005A133B">
              <w:t>.</w:t>
            </w:r>
            <w:r w:rsidRPr="00037A46">
              <w:t>098</w:t>
            </w:r>
            <w:r w:rsidR="005A133B">
              <w:t>,</w:t>
            </w:r>
            <w:r w:rsidRPr="00037A46">
              <w:t>99</w:t>
            </w:r>
          </w:p>
        </w:tc>
        <w:tc>
          <w:tcPr>
            <w:tcW w:w="2534" w:type="dxa"/>
            <w:noWrap/>
          </w:tcPr>
          <w:p w14:paraId="62C9C237" w14:textId="1EC63808" w:rsidR="00147B68" w:rsidRPr="00037A46" w:rsidRDefault="00147B68" w:rsidP="00147B68">
            <w:r w:rsidRPr="00037A46">
              <w:t>61</w:t>
            </w:r>
            <w:r w:rsidR="005A133B">
              <w:t>.</w:t>
            </w:r>
            <w:r w:rsidRPr="00037A46">
              <w:t>390,68</w:t>
            </w:r>
          </w:p>
        </w:tc>
      </w:tr>
      <w:tr w:rsidR="00147B68" w:rsidRPr="00037A46" w14:paraId="1DF1BDF6" w14:textId="77777777" w:rsidTr="00B033C1">
        <w:trPr>
          <w:gridAfter w:val="1"/>
          <w:wAfter w:w="8" w:type="dxa"/>
          <w:trHeight w:hRule="exact" w:val="340"/>
          <w:jc w:val="center"/>
        </w:trPr>
        <w:tc>
          <w:tcPr>
            <w:tcW w:w="1291" w:type="dxa"/>
            <w:shd w:val="clear" w:color="auto" w:fill="C0C0C0"/>
            <w:noWrap/>
            <w:vAlign w:val="bottom"/>
          </w:tcPr>
          <w:p w14:paraId="59808D51" w14:textId="77777777" w:rsidR="00147B68" w:rsidRPr="00037A46" w:rsidRDefault="00147B68" w:rsidP="00147B68">
            <w:pPr>
              <w:spacing w:before="0" w:after="0"/>
              <w:ind w:hanging="764"/>
              <w:jc w:val="right"/>
              <w:rPr>
                <w:b/>
                <w:bCs/>
                <w:lang w:val="en-US"/>
              </w:rPr>
            </w:pPr>
            <w:r w:rsidRPr="00037A46">
              <w:rPr>
                <w:b/>
                <w:bCs/>
                <w:lang w:val="en-US"/>
              </w:rPr>
              <w:t>13</w:t>
            </w:r>
          </w:p>
        </w:tc>
        <w:tc>
          <w:tcPr>
            <w:tcW w:w="2140" w:type="dxa"/>
            <w:noWrap/>
          </w:tcPr>
          <w:p w14:paraId="33BA458D" w14:textId="70EF287D" w:rsidR="00147B68" w:rsidRPr="00037A46" w:rsidRDefault="00147B68" w:rsidP="00147B68">
            <w:r w:rsidRPr="00037A46">
              <w:t>67</w:t>
            </w:r>
            <w:r w:rsidR="005A133B">
              <w:t>.</w:t>
            </w:r>
            <w:r w:rsidRPr="00037A46">
              <w:t>619</w:t>
            </w:r>
            <w:r w:rsidR="005A133B">
              <w:t>,</w:t>
            </w:r>
            <w:r w:rsidRPr="00037A46">
              <w:t>84</w:t>
            </w:r>
          </w:p>
        </w:tc>
        <w:tc>
          <w:tcPr>
            <w:tcW w:w="2534" w:type="dxa"/>
            <w:noWrap/>
          </w:tcPr>
          <w:p w14:paraId="0C0B05FF" w14:textId="35604833" w:rsidR="00147B68" w:rsidRPr="00037A46" w:rsidRDefault="00147B68" w:rsidP="00147B68">
            <w:r w:rsidRPr="00037A46">
              <w:t>63</w:t>
            </w:r>
            <w:r w:rsidR="005A133B">
              <w:t>.</w:t>
            </w:r>
            <w:r w:rsidRPr="00037A46">
              <w:t>977,70</w:t>
            </w:r>
          </w:p>
        </w:tc>
      </w:tr>
      <w:tr w:rsidR="00147B68" w:rsidRPr="00037A46" w14:paraId="7AF6B464" w14:textId="77777777" w:rsidTr="00B033C1">
        <w:trPr>
          <w:gridAfter w:val="1"/>
          <w:wAfter w:w="8" w:type="dxa"/>
          <w:trHeight w:hRule="exact" w:val="340"/>
          <w:jc w:val="center"/>
        </w:trPr>
        <w:tc>
          <w:tcPr>
            <w:tcW w:w="1291" w:type="dxa"/>
            <w:shd w:val="clear" w:color="auto" w:fill="C0C0C0"/>
            <w:noWrap/>
            <w:vAlign w:val="bottom"/>
          </w:tcPr>
          <w:p w14:paraId="5E11544B" w14:textId="77777777" w:rsidR="00147B68" w:rsidRPr="00037A46" w:rsidRDefault="00147B68" w:rsidP="00147B68">
            <w:pPr>
              <w:spacing w:before="0" w:after="0"/>
              <w:ind w:hanging="764"/>
              <w:jc w:val="right"/>
              <w:rPr>
                <w:b/>
                <w:bCs/>
                <w:lang w:val="en-US"/>
              </w:rPr>
            </w:pPr>
            <w:r w:rsidRPr="00037A46">
              <w:rPr>
                <w:b/>
                <w:bCs/>
                <w:lang w:val="en-US"/>
              </w:rPr>
              <w:t>14</w:t>
            </w:r>
          </w:p>
        </w:tc>
        <w:tc>
          <w:tcPr>
            <w:tcW w:w="2140" w:type="dxa"/>
            <w:noWrap/>
          </w:tcPr>
          <w:p w14:paraId="59DB977D" w14:textId="0D1F2166" w:rsidR="00147B68" w:rsidRPr="00037A46" w:rsidRDefault="00147B68" w:rsidP="00147B68">
            <w:r w:rsidRPr="00037A46">
              <w:t>69</w:t>
            </w:r>
            <w:r w:rsidR="005A133B">
              <w:t>.</w:t>
            </w:r>
            <w:r w:rsidRPr="00037A46">
              <w:t>140</w:t>
            </w:r>
            <w:r w:rsidR="005A133B">
              <w:t>,</w:t>
            </w:r>
            <w:r w:rsidRPr="00037A46">
              <w:t>69</w:t>
            </w:r>
          </w:p>
        </w:tc>
        <w:tc>
          <w:tcPr>
            <w:tcW w:w="2534" w:type="dxa"/>
            <w:noWrap/>
          </w:tcPr>
          <w:p w14:paraId="584F72DF" w14:textId="49BE9655" w:rsidR="00147B68" w:rsidRPr="00037A46" w:rsidRDefault="00147B68" w:rsidP="00147B68">
            <w:r w:rsidRPr="00037A46">
              <w:t>63</w:t>
            </w:r>
            <w:r w:rsidR="005A133B">
              <w:t>.</w:t>
            </w:r>
            <w:r w:rsidRPr="00037A46">
              <w:t>977,70</w:t>
            </w:r>
          </w:p>
        </w:tc>
      </w:tr>
      <w:tr w:rsidR="00147B68" w:rsidRPr="00037A46" w14:paraId="66D105FA" w14:textId="77777777" w:rsidTr="00B033C1">
        <w:trPr>
          <w:gridAfter w:val="1"/>
          <w:wAfter w:w="8" w:type="dxa"/>
          <w:trHeight w:hRule="exact" w:val="340"/>
          <w:jc w:val="center"/>
        </w:trPr>
        <w:tc>
          <w:tcPr>
            <w:tcW w:w="1291" w:type="dxa"/>
            <w:shd w:val="clear" w:color="auto" w:fill="C0C0C0"/>
            <w:noWrap/>
            <w:vAlign w:val="bottom"/>
          </w:tcPr>
          <w:p w14:paraId="6573694C" w14:textId="77777777" w:rsidR="00147B68" w:rsidRPr="00037A46" w:rsidRDefault="00147B68" w:rsidP="00147B68">
            <w:pPr>
              <w:spacing w:before="0" w:after="0"/>
              <w:ind w:hanging="764"/>
              <w:jc w:val="right"/>
              <w:rPr>
                <w:b/>
                <w:bCs/>
                <w:lang w:val="en-US"/>
              </w:rPr>
            </w:pPr>
            <w:r w:rsidRPr="00037A46">
              <w:rPr>
                <w:b/>
                <w:bCs/>
                <w:lang w:val="en-US"/>
              </w:rPr>
              <w:t>15</w:t>
            </w:r>
          </w:p>
        </w:tc>
        <w:tc>
          <w:tcPr>
            <w:tcW w:w="2140" w:type="dxa"/>
            <w:noWrap/>
          </w:tcPr>
          <w:p w14:paraId="179B63F3" w14:textId="035C49C3" w:rsidR="00147B68" w:rsidRPr="00037A46" w:rsidRDefault="00147B68" w:rsidP="00147B68">
            <w:r w:rsidRPr="00037A46">
              <w:t>70</w:t>
            </w:r>
            <w:r w:rsidR="005A133B">
              <w:t>.</w:t>
            </w:r>
            <w:r w:rsidRPr="00037A46">
              <w:t>661</w:t>
            </w:r>
            <w:r w:rsidR="005A133B">
              <w:t>,</w:t>
            </w:r>
            <w:r w:rsidRPr="00037A46">
              <w:t>54</w:t>
            </w:r>
          </w:p>
        </w:tc>
        <w:tc>
          <w:tcPr>
            <w:tcW w:w="2534" w:type="dxa"/>
            <w:noWrap/>
          </w:tcPr>
          <w:p w14:paraId="3F5624DD" w14:textId="2F9A117F" w:rsidR="00147B68" w:rsidRPr="00037A46" w:rsidRDefault="00147B68" w:rsidP="00147B68">
            <w:r w:rsidRPr="00037A46">
              <w:t>66</w:t>
            </w:r>
            <w:r w:rsidR="005A133B">
              <w:t>.</w:t>
            </w:r>
            <w:r w:rsidRPr="00037A46">
              <w:t>564,72</w:t>
            </w:r>
          </w:p>
        </w:tc>
      </w:tr>
    </w:tbl>
    <w:p w14:paraId="7BDF43E6" w14:textId="77777777" w:rsidR="003A11FB" w:rsidRPr="00037A46" w:rsidRDefault="003A11FB" w:rsidP="003A11FB"/>
    <w:p w14:paraId="3F3CC6F7" w14:textId="77777777" w:rsidR="00F4449D" w:rsidRPr="00037A46" w:rsidRDefault="00F4449D" w:rsidP="003A11FB"/>
    <w:p w14:paraId="19A9C7AD" w14:textId="77777777" w:rsidR="00F4449D" w:rsidRPr="00037A46" w:rsidRDefault="00F4449D" w:rsidP="003A11FB"/>
    <w:p w14:paraId="215DF870" w14:textId="77777777" w:rsidR="00F4449D" w:rsidRPr="00037A46" w:rsidRDefault="00F4449D" w:rsidP="003A11FB"/>
    <w:p w14:paraId="2D10AA32" w14:textId="77777777" w:rsidR="00F4449D" w:rsidRPr="00037A46" w:rsidRDefault="00F4449D" w:rsidP="003A11FB"/>
    <w:p w14:paraId="735DFAE8" w14:textId="77777777" w:rsidR="003A11FB" w:rsidRPr="00037A46" w:rsidRDefault="003A11FB" w:rsidP="003A11FB"/>
    <w:tbl>
      <w:tblPr>
        <w:tblW w:w="7609" w:type="dxa"/>
        <w:jc w:val="center"/>
        <w:tblBorders>
          <w:top w:val="single" w:sz="8" w:space="0" w:color="auto"/>
          <w:left w:val="single" w:sz="8" w:space="0" w:color="auto"/>
          <w:bottom w:val="single" w:sz="8" w:space="0" w:color="auto"/>
          <w:right w:val="single" w:sz="8" w:space="0" w:color="auto"/>
          <w:insideV w:val="single" w:sz="8" w:space="0" w:color="auto"/>
        </w:tblBorders>
        <w:tblCellMar>
          <w:left w:w="70" w:type="dxa"/>
          <w:right w:w="70" w:type="dxa"/>
        </w:tblCellMar>
        <w:tblLook w:val="0000" w:firstRow="0" w:lastRow="0" w:firstColumn="0" w:lastColumn="0" w:noHBand="0" w:noVBand="0"/>
      </w:tblPr>
      <w:tblGrid>
        <w:gridCol w:w="1305"/>
        <w:gridCol w:w="1333"/>
        <w:gridCol w:w="1275"/>
        <w:gridCol w:w="1232"/>
        <w:gridCol w:w="1232"/>
        <w:gridCol w:w="1232"/>
      </w:tblGrid>
      <w:tr w:rsidR="00B01394" w:rsidRPr="00037A46" w14:paraId="28FD91A9" w14:textId="77777777" w:rsidTr="00F41C24">
        <w:trPr>
          <w:trHeight w:val="749"/>
          <w:jc w:val="center"/>
        </w:trPr>
        <w:tc>
          <w:tcPr>
            <w:tcW w:w="1305" w:type="dxa"/>
            <w:tcBorders>
              <w:top w:val="single" w:sz="8" w:space="0" w:color="auto"/>
              <w:bottom w:val="single" w:sz="8" w:space="0" w:color="auto"/>
            </w:tcBorders>
            <w:shd w:val="clear" w:color="auto" w:fill="E3E3E3"/>
            <w:vAlign w:val="center"/>
          </w:tcPr>
          <w:p w14:paraId="4DC04B84" w14:textId="77777777" w:rsidR="00B01394" w:rsidRPr="00037A46" w:rsidRDefault="00B01394" w:rsidP="00F41C24">
            <w:pPr>
              <w:spacing w:before="0" w:after="0"/>
              <w:ind w:hanging="764"/>
              <w:jc w:val="center"/>
              <w:rPr>
                <w:b/>
                <w:bCs/>
                <w:lang w:val="en-US"/>
              </w:rPr>
            </w:pPr>
            <w:r w:rsidRPr="00037A46">
              <w:br w:type="page"/>
            </w:r>
            <w:proofErr w:type="spellStart"/>
            <w:r w:rsidRPr="00037A46">
              <w:rPr>
                <w:b/>
                <w:bCs/>
                <w:lang w:val="en-US"/>
              </w:rPr>
              <w:t>salaris</w:t>
            </w:r>
            <w:proofErr w:type="spellEnd"/>
            <w:r w:rsidRPr="00037A46">
              <w:rPr>
                <w:b/>
                <w:bCs/>
                <w:lang w:val="en-US"/>
              </w:rPr>
              <w:t>-</w:t>
            </w:r>
          </w:p>
          <w:p w14:paraId="651DD3FA" w14:textId="77777777" w:rsidR="00B01394" w:rsidRPr="00037A46" w:rsidRDefault="00B01394" w:rsidP="00F41C24">
            <w:pPr>
              <w:spacing w:before="0" w:after="0"/>
              <w:ind w:left="87"/>
              <w:jc w:val="center"/>
              <w:rPr>
                <w:b/>
                <w:bCs/>
                <w:lang w:val="en-US"/>
              </w:rPr>
            </w:pPr>
            <w:proofErr w:type="spellStart"/>
            <w:r w:rsidRPr="00037A46">
              <w:rPr>
                <w:b/>
                <w:bCs/>
                <w:lang w:val="en-US"/>
              </w:rPr>
              <w:t>schalen</w:t>
            </w:r>
            <w:proofErr w:type="spellEnd"/>
            <w:r w:rsidRPr="00037A46">
              <w:rPr>
                <w:b/>
                <w:bCs/>
                <w:lang w:val="en-US"/>
              </w:rPr>
              <w:t xml:space="preserve"> </w:t>
            </w:r>
          </w:p>
        </w:tc>
        <w:tc>
          <w:tcPr>
            <w:tcW w:w="1333" w:type="dxa"/>
            <w:tcBorders>
              <w:top w:val="single" w:sz="8" w:space="0" w:color="auto"/>
              <w:bottom w:val="single" w:sz="8" w:space="0" w:color="auto"/>
            </w:tcBorders>
            <w:shd w:val="clear" w:color="auto" w:fill="C0C0C0"/>
            <w:vAlign w:val="center"/>
          </w:tcPr>
          <w:p w14:paraId="445A1388" w14:textId="77777777" w:rsidR="00B01394" w:rsidRPr="00037A46" w:rsidRDefault="00B01394" w:rsidP="00F41C24">
            <w:pPr>
              <w:spacing w:before="0" w:after="0"/>
              <w:ind w:left="214"/>
              <w:jc w:val="right"/>
              <w:rPr>
                <w:b/>
                <w:bCs/>
                <w:lang w:val="en-US"/>
              </w:rPr>
            </w:pPr>
            <w:r w:rsidRPr="00037A46">
              <w:rPr>
                <w:b/>
                <w:bCs/>
                <w:lang w:val="en-US"/>
              </w:rPr>
              <w:t>A1a</w:t>
            </w:r>
          </w:p>
        </w:tc>
        <w:tc>
          <w:tcPr>
            <w:tcW w:w="1275" w:type="dxa"/>
            <w:tcBorders>
              <w:top w:val="single" w:sz="8" w:space="0" w:color="auto"/>
              <w:bottom w:val="single" w:sz="8" w:space="0" w:color="auto"/>
            </w:tcBorders>
            <w:shd w:val="clear" w:color="auto" w:fill="C0C0C0"/>
            <w:vAlign w:val="center"/>
          </w:tcPr>
          <w:p w14:paraId="4EAC2FF5" w14:textId="77777777" w:rsidR="00B01394" w:rsidRPr="00037A46" w:rsidRDefault="00B01394" w:rsidP="00F41C24">
            <w:pPr>
              <w:spacing w:before="0" w:after="0"/>
              <w:ind w:left="156"/>
              <w:jc w:val="right"/>
              <w:rPr>
                <w:b/>
                <w:bCs/>
                <w:lang w:val="en-US"/>
              </w:rPr>
            </w:pPr>
            <w:r w:rsidRPr="00037A46">
              <w:rPr>
                <w:b/>
                <w:bCs/>
                <w:lang w:val="en-US"/>
              </w:rPr>
              <w:t>A2a</w:t>
            </w:r>
          </w:p>
        </w:tc>
        <w:tc>
          <w:tcPr>
            <w:tcW w:w="1232" w:type="dxa"/>
            <w:tcBorders>
              <w:top w:val="single" w:sz="8" w:space="0" w:color="auto"/>
              <w:bottom w:val="single" w:sz="8" w:space="0" w:color="auto"/>
            </w:tcBorders>
            <w:shd w:val="clear" w:color="auto" w:fill="C0C0C0"/>
            <w:vAlign w:val="center"/>
          </w:tcPr>
          <w:p w14:paraId="3EB8A4E4" w14:textId="77777777" w:rsidR="00B01394" w:rsidRPr="00037A46" w:rsidRDefault="00B01394" w:rsidP="00F41C24">
            <w:pPr>
              <w:spacing w:before="0" w:after="0"/>
              <w:ind w:left="113"/>
              <w:jc w:val="right"/>
              <w:rPr>
                <w:b/>
                <w:bCs/>
                <w:lang w:val="en-US"/>
              </w:rPr>
            </w:pPr>
            <w:r w:rsidRPr="00037A46">
              <w:rPr>
                <w:b/>
                <w:bCs/>
                <w:lang w:val="en-US"/>
              </w:rPr>
              <w:t>A3a</w:t>
            </w:r>
          </w:p>
        </w:tc>
        <w:tc>
          <w:tcPr>
            <w:tcW w:w="1232" w:type="dxa"/>
            <w:tcBorders>
              <w:top w:val="single" w:sz="8" w:space="0" w:color="auto"/>
              <w:bottom w:val="single" w:sz="8" w:space="0" w:color="auto"/>
            </w:tcBorders>
            <w:shd w:val="clear" w:color="auto" w:fill="C0C0C0"/>
            <w:vAlign w:val="center"/>
          </w:tcPr>
          <w:p w14:paraId="4C9AA554" w14:textId="77777777" w:rsidR="00B01394" w:rsidRPr="00B01394" w:rsidRDefault="00B01394" w:rsidP="00F41C24">
            <w:pPr>
              <w:spacing w:before="0" w:after="0"/>
              <w:ind w:left="113"/>
              <w:jc w:val="right"/>
              <w:rPr>
                <w:b/>
                <w:bCs/>
                <w:lang w:val="en-US"/>
              </w:rPr>
            </w:pPr>
            <w:r w:rsidRPr="00B01394">
              <w:rPr>
                <w:b/>
                <w:bCs/>
                <w:lang w:val="en-US"/>
              </w:rPr>
              <w:t>A4a</w:t>
            </w:r>
          </w:p>
        </w:tc>
        <w:tc>
          <w:tcPr>
            <w:tcW w:w="1232" w:type="dxa"/>
            <w:tcBorders>
              <w:top w:val="single" w:sz="8" w:space="0" w:color="auto"/>
              <w:bottom w:val="single" w:sz="8" w:space="0" w:color="auto"/>
            </w:tcBorders>
            <w:shd w:val="clear" w:color="auto" w:fill="C0C0C0"/>
            <w:vAlign w:val="center"/>
          </w:tcPr>
          <w:p w14:paraId="63C573EF" w14:textId="77777777" w:rsidR="00B01394" w:rsidRPr="00B01394" w:rsidRDefault="00B01394" w:rsidP="00F41C24">
            <w:pPr>
              <w:spacing w:before="0" w:after="0"/>
              <w:ind w:left="113"/>
              <w:jc w:val="right"/>
              <w:rPr>
                <w:b/>
                <w:bCs/>
                <w:lang w:val="en-US"/>
              </w:rPr>
            </w:pPr>
            <w:r w:rsidRPr="00B01394">
              <w:rPr>
                <w:b/>
                <w:bCs/>
                <w:lang w:val="en-US"/>
              </w:rPr>
              <w:t>A4b</w:t>
            </w:r>
          </w:p>
        </w:tc>
      </w:tr>
      <w:tr w:rsidR="00B01394" w:rsidRPr="00037A46" w14:paraId="2EF36485" w14:textId="77777777" w:rsidTr="00F41C24">
        <w:trPr>
          <w:trHeight w:val="315"/>
          <w:jc w:val="center"/>
        </w:trPr>
        <w:tc>
          <w:tcPr>
            <w:tcW w:w="1305" w:type="dxa"/>
            <w:tcBorders>
              <w:top w:val="single" w:sz="8" w:space="0" w:color="auto"/>
              <w:bottom w:val="nil"/>
            </w:tcBorders>
            <w:shd w:val="clear" w:color="auto" w:fill="C0C0C0"/>
            <w:noWrap/>
            <w:vAlign w:val="bottom"/>
          </w:tcPr>
          <w:p w14:paraId="22C9C136" w14:textId="77777777" w:rsidR="00B01394" w:rsidRPr="00037A46" w:rsidRDefault="00B01394" w:rsidP="00F41C24">
            <w:pPr>
              <w:spacing w:before="0" w:after="0"/>
              <w:ind w:hanging="764"/>
              <w:rPr>
                <w:b/>
                <w:bCs/>
              </w:rPr>
            </w:pPr>
            <w:r w:rsidRPr="00037A46">
              <w:rPr>
                <w:b/>
                <w:bCs/>
              </w:rPr>
              <w:t>minimum</w:t>
            </w:r>
          </w:p>
        </w:tc>
        <w:tc>
          <w:tcPr>
            <w:tcW w:w="1333" w:type="dxa"/>
            <w:tcBorders>
              <w:top w:val="single" w:sz="8" w:space="0" w:color="auto"/>
              <w:bottom w:val="nil"/>
            </w:tcBorders>
            <w:noWrap/>
            <w:vAlign w:val="bottom"/>
          </w:tcPr>
          <w:p w14:paraId="3105ECAA" w14:textId="77777777" w:rsidR="00B01394" w:rsidRPr="00037A46" w:rsidRDefault="00B01394" w:rsidP="00F41C24">
            <w:pPr>
              <w:spacing w:before="0" w:after="0"/>
              <w:ind w:left="214"/>
              <w:jc w:val="right"/>
              <w:rPr>
                <w:bCs/>
              </w:rPr>
            </w:pPr>
            <w:r w:rsidRPr="00037A46">
              <w:rPr>
                <w:bCs/>
              </w:rPr>
              <w:t>21.850</w:t>
            </w:r>
          </w:p>
        </w:tc>
        <w:tc>
          <w:tcPr>
            <w:tcW w:w="1275" w:type="dxa"/>
            <w:tcBorders>
              <w:top w:val="single" w:sz="8" w:space="0" w:color="auto"/>
              <w:bottom w:val="nil"/>
            </w:tcBorders>
            <w:noWrap/>
            <w:vAlign w:val="bottom"/>
          </w:tcPr>
          <w:p w14:paraId="4B550A80" w14:textId="77777777" w:rsidR="00B01394" w:rsidRPr="00037A46" w:rsidRDefault="00B01394" w:rsidP="00F41C24">
            <w:pPr>
              <w:spacing w:before="0" w:after="0"/>
              <w:ind w:left="156"/>
              <w:jc w:val="right"/>
              <w:rPr>
                <w:bCs/>
              </w:rPr>
            </w:pPr>
            <w:r w:rsidRPr="00037A46">
              <w:rPr>
                <w:bCs/>
              </w:rPr>
              <w:t>24.050</w:t>
            </w:r>
          </w:p>
        </w:tc>
        <w:tc>
          <w:tcPr>
            <w:tcW w:w="1232" w:type="dxa"/>
            <w:tcBorders>
              <w:top w:val="single" w:sz="8" w:space="0" w:color="auto"/>
              <w:bottom w:val="nil"/>
            </w:tcBorders>
            <w:noWrap/>
            <w:vAlign w:val="bottom"/>
          </w:tcPr>
          <w:p w14:paraId="1880BB0D" w14:textId="77777777" w:rsidR="00B01394" w:rsidRPr="00037A46" w:rsidRDefault="00B01394" w:rsidP="00F41C24">
            <w:pPr>
              <w:spacing w:before="0" w:after="0"/>
              <w:ind w:left="113"/>
              <w:jc w:val="right"/>
              <w:rPr>
                <w:bCs/>
              </w:rPr>
            </w:pPr>
            <w:r w:rsidRPr="00037A46">
              <w:rPr>
                <w:bCs/>
              </w:rPr>
              <w:t>26.300</w:t>
            </w:r>
          </w:p>
        </w:tc>
        <w:tc>
          <w:tcPr>
            <w:tcW w:w="1232" w:type="dxa"/>
            <w:tcBorders>
              <w:top w:val="single" w:sz="8" w:space="0" w:color="auto"/>
              <w:bottom w:val="nil"/>
            </w:tcBorders>
            <w:vAlign w:val="bottom"/>
          </w:tcPr>
          <w:p w14:paraId="1D94A071" w14:textId="77777777" w:rsidR="00B01394" w:rsidRPr="00B01394" w:rsidRDefault="00B01394" w:rsidP="00F41C24">
            <w:pPr>
              <w:spacing w:before="0" w:after="0"/>
              <w:ind w:left="113"/>
              <w:jc w:val="right"/>
              <w:rPr>
                <w:bCs/>
              </w:rPr>
            </w:pPr>
            <w:r w:rsidRPr="00B01394">
              <w:rPr>
                <w:bCs/>
              </w:rPr>
              <w:t>26.300</w:t>
            </w:r>
          </w:p>
        </w:tc>
        <w:tc>
          <w:tcPr>
            <w:tcW w:w="1232" w:type="dxa"/>
            <w:tcBorders>
              <w:top w:val="single" w:sz="8" w:space="0" w:color="auto"/>
              <w:bottom w:val="nil"/>
            </w:tcBorders>
          </w:tcPr>
          <w:p w14:paraId="69DBC3CC" w14:textId="77777777" w:rsidR="00B01394" w:rsidRPr="00B01394" w:rsidRDefault="00B01394" w:rsidP="00F41C24">
            <w:pPr>
              <w:spacing w:before="0" w:after="0"/>
              <w:ind w:left="113"/>
              <w:jc w:val="right"/>
              <w:rPr>
                <w:bCs/>
              </w:rPr>
            </w:pPr>
            <w:r w:rsidRPr="00B01394">
              <w:rPr>
                <w:bCs/>
              </w:rPr>
              <w:t>27.950</w:t>
            </w:r>
          </w:p>
        </w:tc>
      </w:tr>
      <w:tr w:rsidR="00B01394" w:rsidRPr="00037A46" w14:paraId="057C45E5" w14:textId="77777777" w:rsidTr="00F41C24">
        <w:trPr>
          <w:trHeight w:val="315"/>
          <w:jc w:val="center"/>
        </w:trPr>
        <w:tc>
          <w:tcPr>
            <w:tcW w:w="1305" w:type="dxa"/>
            <w:tcBorders>
              <w:top w:val="nil"/>
              <w:bottom w:val="single" w:sz="8" w:space="0" w:color="auto"/>
            </w:tcBorders>
            <w:shd w:val="clear" w:color="auto" w:fill="C0C0C0"/>
            <w:noWrap/>
            <w:vAlign w:val="bottom"/>
          </w:tcPr>
          <w:p w14:paraId="4A63FC03" w14:textId="77777777" w:rsidR="00B01394" w:rsidRPr="00037A46" w:rsidRDefault="00B01394" w:rsidP="00F41C24">
            <w:pPr>
              <w:spacing w:before="0" w:after="0"/>
              <w:ind w:hanging="764"/>
              <w:rPr>
                <w:b/>
                <w:bCs/>
              </w:rPr>
            </w:pPr>
            <w:r w:rsidRPr="00037A46">
              <w:rPr>
                <w:b/>
                <w:bCs/>
              </w:rPr>
              <w:t>maximum</w:t>
            </w:r>
          </w:p>
        </w:tc>
        <w:tc>
          <w:tcPr>
            <w:tcW w:w="1333" w:type="dxa"/>
            <w:tcBorders>
              <w:top w:val="nil"/>
              <w:bottom w:val="single" w:sz="8" w:space="0" w:color="auto"/>
            </w:tcBorders>
            <w:noWrap/>
            <w:vAlign w:val="bottom"/>
          </w:tcPr>
          <w:p w14:paraId="78C7D3AE" w14:textId="77777777" w:rsidR="00B01394" w:rsidRPr="00037A46" w:rsidRDefault="00B01394" w:rsidP="00F41C24">
            <w:pPr>
              <w:spacing w:before="0" w:after="0"/>
              <w:ind w:left="214"/>
              <w:jc w:val="right"/>
              <w:rPr>
                <w:bCs/>
              </w:rPr>
            </w:pPr>
            <w:r w:rsidRPr="00037A46">
              <w:rPr>
                <w:bCs/>
              </w:rPr>
              <w:t>34.000</w:t>
            </w:r>
          </w:p>
        </w:tc>
        <w:tc>
          <w:tcPr>
            <w:tcW w:w="1275" w:type="dxa"/>
            <w:tcBorders>
              <w:top w:val="nil"/>
              <w:bottom w:val="single" w:sz="8" w:space="0" w:color="auto"/>
            </w:tcBorders>
            <w:noWrap/>
            <w:vAlign w:val="bottom"/>
          </w:tcPr>
          <w:p w14:paraId="2510BD30" w14:textId="77777777" w:rsidR="00B01394" w:rsidRPr="00037A46" w:rsidRDefault="00B01394" w:rsidP="00F41C24">
            <w:pPr>
              <w:spacing w:before="0" w:after="0"/>
              <w:ind w:left="156"/>
              <w:jc w:val="right"/>
              <w:rPr>
                <w:bCs/>
              </w:rPr>
            </w:pPr>
            <w:r w:rsidRPr="00037A46">
              <w:rPr>
                <w:bCs/>
              </w:rPr>
              <w:t>36.200</w:t>
            </w:r>
          </w:p>
        </w:tc>
        <w:tc>
          <w:tcPr>
            <w:tcW w:w="1232" w:type="dxa"/>
            <w:tcBorders>
              <w:top w:val="nil"/>
              <w:bottom w:val="single" w:sz="8" w:space="0" w:color="auto"/>
            </w:tcBorders>
            <w:noWrap/>
            <w:vAlign w:val="bottom"/>
          </w:tcPr>
          <w:p w14:paraId="0E36A166" w14:textId="77777777" w:rsidR="00B01394" w:rsidRPr="00037A46" w:rsidRDefault="00B01394" w:rsidP="00F41C24">
            <w:pPr>
              <w:spacing w:before="0" w:after="0"/>
              <w:ind w:left="113"/>
              <w:jc w:val="right"/>
              <w:rPr>
                <w:bCs/>
              </w:rPr>
            </w:pPr>
            <w:r w:rsidRPr="00037A46">
              <w:rPr>
                <w:bCs/>
              </w:rPr>
              <w:t>38.450</w:t>
            </w:r>
          </w:p>
        </w:tc>
        <w:tc>
          <w:tcPr>
            <w:tcW w:w="1232" w:type="dxa"/>
            <w:tcBorders>
              <w:top w:val="nil"/>
              <w:bottom w:val="single" w:sz="8" w:space="0" w:color="auto"/>
            </w:tcBorders>
            <w:vAlign w:val="bottom"/>
          </w:tcPr>
          <w:p w14:paraId="60DA7A0E" w14:textId="77777777" w:rsidR="00B01394" w:rsidRPr="00B01394" w:rsidRDefault="00B01394" w:rsidP="00F41C24">
            <w:pPr>
              <w:spacing w:before="0" w:after="0"/>
              <w:ind w:left="113"/>
              <w:jc w:val="right"/>
              <w:rPr>
                <w:bCs/>
              </w:rPr>
            </w:pPr>
            <w:r w:rsidRPr="00B01394">
              <w:rPr>
                <w:bCs/>
              </w:rPr>
              <w:t>38.450</w:t>
            </w:r>
          </w:p>
        </w:tc>
        <w:tc>
          <w:tcPr>
            <w:tcW w:w="1232" w:type="dxa"/>
            <w:tcBorders>
              <w:top w:val="nil"/>
              <w:bottom w:val="single" w:sz="8" w:space="0" w:color="auto"/>
            </w:tcBorders>
          </w:tcPr>
          <w:p w14:paraId="3889472C" w14:textId="77777777" w:rsidR="00B01394" w:rsidRPr="00B01394" w:rsidRDefault="00B01394" w:rsidP="00F41C24">
            <w:pPr>
              <w:spacing w:before="0" w:after="0"/>
              <w:ind w:left="113"/>
              <w:jc w:val="right"/>
              <w:rPr>
                <w:bCs/>
              </w:rPr>
            </w:pPr>
            <w:r w:rsidRPr="00B01394">
              <w:rPr>
                <w:bCs/>
              </w:rPr>
              <w:t>40.100</w:t>
            </w:r>
          </w:p>
        </w:tc>
      </w:tr>
      <w:tr w:rsidR="00B01394" w:rsidRPr="00037A46" w14:paraId="561B539D" w14:textId="77777777" w:rsidTr="00F41C24">
        <w:trPr>
          <w:trHeight w:val="300"/>
          <w:jc w:val="center"/>
        </w:trPr>
        <w:tc>
          <w:tcPr>
            <w:tcW w:w="1305" w:type="dxa"/>
            <w:tcBorders>
              <w:top w:val="single" w:sz="8" w:space="0" w:color="auto"/>
              <w:bottom w:val="nil"/>
            </w:tcBorders>
            <w:shd w:val="clear" w:color="auto" w:fill="C0C0C0"/>
            <w:noWrap/>
            <w:vAlign w:val="bottom"/>
          </w:tcPr>
          <w:p w14:paraId="0B920CAE" w14:textId="77777777" w:rsidR="00B01394" w:rsidRPr="00037A46" w:rsidRDefault="00B01394" w:rsidP="00F41C24">
            <w:pPr>
              <w:spacing w:before="0" w:after="0"/>
              <w:ind w:hanging="764"/>
              <w:rPr>
                <w:b/>
                <w:bCs/>
              </w:rPr>
            </w:pPr>
            <w:r w:rsidRPr="00037A46">
              <w:rPr>
                <w:b/>
                <w:bCs/>
              </w:rPr>
              <w:t>verhoging</w:t>
            </w:r>
          </w:p>
        </w:tc>
        <w:tc>
          <w:tcPr>
            <w:tcW w:w="1333" w:type="dxa"/>
            <w:tcBorders>
              <w:top w:val="single" w:sz="8" w:space="0" w:color="auto"/>
              <w:bottom w:val="nil"/>
            </w:tcBorders>
            <w:noWrap/>
            <w:vAlign w:val="bottom"/>
          </w:tcPr>
          <w:p w14:paraId="7CFD224F" w14:textId="77777777" w:rsidR="00B01394" w:rsidRPr="00037A46" w:rsidRDefault="00B01394" w:rsidP="00F41C24">
            <w:pPr>
              <w:spacing w:before="0" w:after="0"/>
              <w:ind w:left="214"/>
              <w:jc w:val="right"/>
              <w:rPr>
                <w:bCs/>
              </w:rPr>
            </w:pPr>
            <w:r w:rsidRPr="00037A46">
              <w:rPr>
                <w:bCs/>
              </w:rPr>
              <w:t>2x1x750</w:t>
            </w:r>
          </w:p>
        </w:tc>
        <w:tc>
          <w:tcPr>
            <w:tcW w:w="1275" w:type="dxa"/>
            <w:tcBorders>
              <w:top w:val="single" w:sz="8" w:space="0" w:color="auto"/>
              <w:bottom w:val="nil"/>
            </w:tcBorders>
            <w:noWrap/>
            <w:vAlign w:val="bottom"/>
          </w:tcPr>
          <w:p w14:paraId="161A2C42" w14:textId="77777777" w:rsidR="00B01394" w:rsidRPr="00037A46" w:rsidRDefault="00B01394" w:rsidP="00F41C24">
            <w:pPr>
              <w:spacing w:before="0" w:after="0"/>
              <w:ind w:left="156"/>
              <w:jc w:val="right"/>
              <w:rPr>
                <w:bCs/>
              </w:rPr>
            </w:pPr>
            <w:r w:rsidRPr="00037A46">
              <w:rPr>
                <w:bCs/>
              </w:rPr>
              <w:t>3x1x750</w:t>
            </w:r>
          </w:p>
        </w:tc>
        <w:tc>
          <w:tcPr>
            <w:tcW w:w="1232" w:type="dxa"/>
            <w:tcBorders>
              <w:top w:val="single" w:sz="8" w:space="0" w:color="auto"/>
              <w:bottom w:val="nil"/>
            </w:tcBorders>
            <w:noWrap/>
            <w:vAlign w:val="bottom"/>
          </w:tcPr>
          <w:p w14:paraId="0520A7B0" w14:textId="77777777" w:rsidR="00B01394" w:rsidRPr="00037A46" w:rsidRDefault="00B01394" w:rsidP="00F41C24">
            <w:pPr>
              <w:spacing w:before="0" w:after="0"/>
              <w:ind w:left="113"/>
              <w:jc w:val="right"/>
              <w:rPr>
                <w:bCs/>
              </w:rPr>
            </w:pPr>
            <w:r w:rsidRPr="00037A46">
              <w:rPr>
                <w:bCs/>
              </w:rPr>
              <w:t>3x1x750</w:t>
            </w:r>
          </w:p>
        </w:tc>
        <w:tc>
          <w:tcPr>
            <w:tcW w:w="1232" w:type="dxa"/>
            <w:tcBorders>
              <w:top w:val="single" w:sz="8" w:space="0" w:color="auto"/>
              <w:bottom w:val="nil"/>
            </w:tcBorders>
            <w:vAlign w:val="bottom"/>
          </w:tcPr>
          <w:p w14:paraId="50CDB7E5" w14:textId="77777777" w:rsidR="00B01394" w:rsidRPr="00B01394" w:rsidRDefault="00B01394" w:rsidP="00F41C24">
            <w:pPr>
              <w:spacing w:before="0" w:after="0"/>
              <w:ind w:left="113"/>
              <w:jc w:val="right"/>
              <w:rPr>
                <w:bCs/>
              </w:rPr>
            </w:pPr>
            <w:r w:rsidRPr="00B01394">
              <w:rPr>
                <w:bCs/>
              </w:rPr>
              <w:t>3x1x750</w:t>
            </w:r>
          </w:p>
        </w:tc>
        <w:tc>
          <w:tcPr>
            <w:tcW w:w="1232" w:type="dxa"/>
            <w:tcBorders>
              <w:top w:val="single" w:sz="8" w:space="0" w:color="auto"/>
              <w:bottom w:val="nil"/>
            </w:tcBorders>
          </w:tcPr>
          <w:p w14:paraId="7F14A56D" w14:textId="77777777" w:rsidR="00B01394" w:rsidRPr="00B01394" w:rsidRDefault="00B01394" w:rsidP="00F41C24">
            <w:pPr>
              <w:spacing w:before="0" w:after="0"/>
              <w:ind w:left="113"/>
              <w:jc w:val="right"/>
              <w:rPr>
                <w:bCs/>
              </w:rPr>
            </w:pPr>
            <w:r w:rsidRPr="00B01394">
              <w:rPr>
                <w:bCs/>
              </w:rPr>
              <w:t>3x1x750</w:t>
            </w:r>
          </w:p>
        </w:tc>
      </w:tr>
      <w:tr w:rsidR="00B01394" w:rsidRPr="00037A46" w14:paraId="3769F01F" w14:textId="77777777" w:rsidTr="00F41C24">
        <w:trPr>
          <w:trHeight w:val="300"/>
          <w:jc w:val="center"/>
        </w:trPr>
        <w:tc>
          <w:tcPr>
            <w:tcW w:w="1305" w:type="dxa"/>
            <w:tcBorders>
              <w:top w:val="nil"/>
              <w:bottom w:val="nil"/>
            </w:tcBorders>
            <w:shd w:val="clear" w:color="auto" w:fill="C0C0C0"/>
            <w:noWrap/>
            <w:vAlign w:val="bottom"/>
          </w:tcPr>
          <w:p w14:paraId="7163822D" w14:textId="77777777" w:rsidR="00B01394" w:rsidRPr="00037A46" w:rsidRDefault="00B01394" w:rsidP="00F41C24">
            <w:pPr>
              <w:spacing w:before="0" w:after="0"/>
              <w:ind w:hanging="764"/>
              <w:rPr>
                <w:b/>
                <w:bCs/>
              </w:rPr>
            </w:pPr>
            <w:r w:rsidRPr="00037A46">
              <w:rPr>
                <w:b/>
                <w:bCs/>
              </w:rPr>
              <w:t> </w:t>
            </w:r>
          </w:p>
        </w:tc>
        <w:tc>
          <w:tcPr>
            <w:tcW w:w="1333" w:type="dxa"/>
            <w:tcBorders>
              <w:top w:val="nil"/>
              <w:bottom w:val="nil"/>
            </w:tcBorders>
            <w:noWrap/>
            <w:vAlign w:val="bottom"/>
          </w:tcPr>
          <w:p w14:paraId="1185F7E1" w14:textId="77777777" w:rsidR="00B01394" w:rsidRPr="00037A46" w:rsidRDefault="00B01394" w:rsidP="00F41C24">
            <w:pPr>
              <w:spacing w:before="0" w:after="0"/>
              <w:ind w:left="214"/>
              <w:jc w:val="right"/>
              <w:rPr>
                <w:bCs/>
              </w:rPr>
            </w:pPr>
            <w:r w:rsidRPr="00037A46">
              <w:rPr>
                <w:bCs/>
              </w:rPr>
              <w:t>1x1x700</w:t>
            </w:r>
          </w:p>
        </w:tc>
        <w:tc>
          <w:tcPr>
            <w:tcW w:w="1275" w:type="dxa"/>
            <w:tcBorders>
              <w:top w:val="nil"/>
              <w:bottom w:val="nil"/>
            </w:tcBorders>
            <w:noWrap/>
            <w:vAlign w:val="bottom"/>
          </w:tcPr>
          <w:p w14:paraId="5B832C35" w14:textId="77777777" w:rsidR="00B01394" w:rsidRPr="00037A46" w:rsidRDefault="00B01394" w:rsidP="00F41C24">
            <w:pPr>
              <w:spacing w:before="0" w:after="0"/>
              <w:ind w:left="156"/>
              <w:jc w:val="right"/>
              <w:rPr>
                <w:bCs/>
              </w:rPr>
            </w:pPr>
            <w:r w:rsidRPr="00037A46">
              <w:rPr>
                <w:bCs/>
              </w:rPr>
              <w:t>2x3x1500</w:t>
            </w:r>
          </w:p>
        </w:tc>
        <w:tc>
          <w:tcPr>
            <w:tcW w:w="1232" w:type="dxa"/>
            <w:tcBorders>
              <w:top w:val="nil"/>
              <w:bottom w:val="nil"/>
            </w:tcBorders>
            <w:noWrap/>
            <w:vAlign w:val="bottom"/>
          </w:tcPr>
          <w:p w14:paraId="5243D34E" w14:textId="77777777" w:rsidR="00B01394" w:rsidRPr="00037A46" w:rsidRDefault="00B01394" w:rsidP="00F41C24">
            <w:pPr>
              <w:spacing w:before="0" w:after="0"/>
              <w:ind w:left="113"/>
              <w:jc w:val="right"/>
              <w:rPr>
                <w:bCs/>
              </w:rPr>
            </w:pPr>
            <w:r w:rsidRPr="00037A46">
              <w:rPr>
                <w:bCs/>
              </w:rPr>
              <w:t>1x3x1450</w:t>
            </w:r>
          </w:p>
        </w:tc>
        <w:tc>
          <w:tcPr>
            <w:tcW w:w="1232" w:type="dxa"/>
            <w:tcBorders>
              <w:top w:val="nil"/>
              <w:bottom w:val="nil"/>
            </w:tcBorders>
            <w:vAlign w:val="bottom"/>
          </w:tcPr>
          <w:p w14:paraId="0F0E4050" w14:textId="77777777" w:rsidR="00B01394" w:rsidRPr="00B01394" w:rsidRDefault="00B01394" w:rsidP="00F41C24">
            <w:pPr>
              <w:spacing w:before="0" w:after="0"/>
              <w:ind w:left="113"/>
              <w:jc w:val="right"/>
              <w:rPr>
                <w:bCs/>
              </w:rPr>
            </w:pPr>
            <w:r w:rsidRPr="00B01394">
              <w:rPr>
                <w:bCs/>
              </w:rPr>
              <w:t>1x3x1450</w:t>
            </w:r>
          </w:p>
        </w:tc>
        <w:tc>
          <w:tcPr>
            <w:tcW w:w="1232" w:type="dxa"/>
            <w:tcBorders>
              <w:top w:val="nil"/>
              <w:bottom w:val="nil"/>
            </w:tcBorders>
          </w:tcPr>
          <w:p w14:paraId="30C602E6" w14:textId="77777777" w:rsidR="00B01394" w:rsidRPr="00B01394" w:rsidRDefault="00B01394" w:rsidP="00F41C24">
            <w:pPr>
              <w:spacing w:before="0" w:after="0"/>
              <w:ind w:left="113"/>
              <w:jc w:val="right"/>
              <w:rPr>
                <w:bCs/>
              </w:rPr>
            </w:pPr>
            <w:r w:rsidRPr="00B01394">
              <w:rPr>
                <w:bCs/>
              </w:rPr>
              <w:t>1x3x1500</w:t>
            </w:r>
          </w:p>
        </w:tc>
      </w:tr>
      <w:tr w:rsidR="00B01394" w:rsidRPr="00037A46" w14:paraId="4AFE3F33" w14:textId="77777777" w:rsidTr="00F41C24">
        <w:trPr>
          <w:trHeight w:val="300"/>
          <w:jc w:val="center"/>
        </w:trPr>
        <w:tc>
          <w:tcPr>
            <w:tcW w:w="1305" w:type="dxa"/>
            <w:tcBorders>
              <w:top w:val="nil"/>
              <w:bottom w:val="nil"/>
            </w:tcBorders>
            <w:shd w:val="clear" w:color="auto" w:fill="C0C0C0"/>
            <w:noWrap/>
            <w:vAlign w:val="bottom"/>
          </w:tcPr>
          <w:p w14:paraId="762DA26F" w14:textId="77777777" w:rsidR="00B01394" w:rsidRPr="00037A46" w:rsidRDefault="00B01394" w:rsidP="00F41C24">
            <w:pPr>
              <w:spacing w:before="0" w:after="0"/>
              <w:ind w:hanging="764"/>
              <w:rPr>
                <w:b/>
                <w:bCs/>
              </w:rPr>
            </w:pPr>
            <w:r w:rsidRPr="00037A46">
              <w:rPr>
                <w:b/>
                <w:bCs/>
              </w:rPr>
              <w:t> </w:t>
            </w:r>
          </w:p>
        </w:tc>
        <w:tc>
          <w:tcPr>
            <w:tcW w:w="1333" w:type="dxa"/>
            <w:tcBorders>
              <w:top w:val="nil"/>
              <w:bottom w:val="nil"/>
            </w:tcBorders>
            <w:noWrap/>
            <w:vAlign w:val="bottom"/>
          </w:tcPr>
          <w:p w14:paraId="4FBD7FF9" w14:textId="77777777" w:rsidR="00B01394" w:rsidRPr="00037A46" w:rsidRDefault="00B01394" w:rsidP="00F41C24">
            <w:pPr>
              <w:spacing w:before="0" w:after="0"/>
              <w:ind w:left="214"/>
              <w:jc w:val="right"/>
              <w:rPr>
                <w:bCs/>
              </w:rPr>
            </w:pPr>
            <w:r w:rsidRPr="00037A46">
              <w:rPr>
                <w:bCs/>
              </w:rPr>
              <w:t>3x3x1500</w:t>
            </w:r>
          </w:p>
        </w:tc>
        <w:tc>
          <w:tcPr>
            <w:tcW w:w="1275" w:type="dxa"/>
            <w:tcBorders>
              <w:top w:val="nil"/>
              <w:bottom w:val="nil"/>
            </w:tcBorders>
            <w:noWrap/>
            <w:vAlign w:val="bottom"/>
          </w:tcPr>
          <w:p w14:paraId="33E352D8" w14:textId="77777777" w:rsidR="00B01394" w:rsidRPr="00037A46" w:rsidRDefault="00B01394" w:rsidP="00F41C24">
            <w:pPr>
              <w:spacing w:before="0" w:after="0"/>
              <w:ind w:left="156"/>
              <w:jc w:val="right"/>
              <w:rPr>
                <w:bCs/>
              </w:rPr>
            </w:pPr>
            <w:r w:rsidRPr="00037A46">
              <w:rPr>
                <w:bCs/>
              </w:rPr>
              <w:t>1x3x1450</w:t>
            </w:r>
          </w:p>
        </w:tc>
        <w:tc>
          <w:tcPr>
            <w:tcW w:w="1232" w:type="dxa"/>
            <w:tcBorders>
              <w:top w:val="nil"/>
              <w:bottom w:val="nil"/>
            </w:tcBorders>
            <w:noWrap/>
            <w:vAlign w:val="bottom"/>
          </w:tcPr>
          <w:p w14:paraId="32EDE4B6" w14:textId="77777777" w:rsidR="00B01394" w:rsidRPr="00037A46" w:rsidRDefault="00B01394" w:rsidP="00F41C24">
            <w:pPr>
              <w:spacing w:before="0" w:after="0"/>
              <w:ind w:left="113"/>
              <w:jc w:val="right"/>
              <w:rPr>
                <w:bCs/>
              </w:rPr>
            </w:pPr>
            <w:r w:rsidRPr="00037A46">
              <w:rPr>
                <w:bCs/>
              </w:rPr>
              <w:t>3x3x1500</w:t>
            </w:r>
          </w:p>
        </w:tc>
        <w:tc>
          <w:tcPr>
            <w:tcW w:w="1232" w:type="dxa"/>
            <w:tcBorders>
              <w:top w:val="nil"/>
              <w:bottom w:val="nil"/>
            </w:tcBorders>
            <w:vAlign w:val="bottom"/>
          </w:tcPr>
          <w:p w14:paraId="6B6BF574" w14:textId="77777777" w:rsidR="00B01394" w:rsidRPr="00B01394" w:rsidRDefault="00B01394" w:rsidP="00F41C24">
            <w:pPr>
              <w:spacing w:before="0" w:after="0"/>
              <w:ind w:left="113"/>
              <w:jc w:val="right"/>
              <w:rPr>
                <w:bCs/>
              </w:rPr>
            </w:pPr>
            <w:r w:rsidRPr="00B01394">
              <w:rPr>
                <w:bCs/>
              </w:rPr>
              <w:t>3x3x1500</w:t>
            </w:r>
          </w:p>
        </w:tc>
        <w:tc>
          <w:tcPr>
            <w:tcW w:w="1232" w:type="dxa"/>
            <w:tcBorders>
              <w:top w:val="nil"/>
              <w:bottom w:val="nil"/>
            </w:tcBorders>
          </w:tcPr>
          <w:p w14:paraId="27B44D17" w14:textId="77777777" w:rsidR="00B01394" w:rsidRPr="00B01394" w:rsidRDefault="00B01394" w:rsidP="00F41C24">
            <w:pPr>
              <w:spacing w:before="0" w:after="0"/>
              <w:ind w:left="113"/>
              <w:jc w:val="right"/>
              <w:rPr>
                <w:bCs/>
              </w:rPr>
            </w:pPr>
            <w:r w:rsidRPr="00B01394">
              <w:rPr>
                <w:bCs/>
              </w:rPr>
              <w:t>1x3x1450</w:t>
            </w:r>
          </w:p>
        </w:tc>
      </w:tr>
      <w:tr w:rsidR="00B01394" w:rsidRPr="00037A46" w14:paraId="1E403EA9" w14:textId="77777777" w:rsidTr="00F41C24">
        <w:trPr>
          <w:trHeight w:val="300"/>
          <w:jc w:val="center"/>
        </w:trPr>
        <w:tc>
          <w:tcPr>
            <w:tcW w:w="1305" w:type="dxa"/>
            <w:tcBorders>
              <w:top w:val="nil"/>
              <w:bottom w:val="nil"/>
            </w:tcBorders>
            <w:shd w:val="clear" w:color="auto" w:fill="C0C0C0"/>
            <w:noWrap/>
            <w:vAlign w:val="bottom"/>
          </w:tcPr>
          <w:p w14:paraId="16CB6B2F" w14:textId="77777777" w:rsidR="00B01394" w:rsidRPr="00037A46" w:rsidRDefault="00B01394" w:rsidP="00F41C24">
            <w:pPr>
              <w:spacing w:before="0" w:after="0"/>
              <w:ind w:hanging="764"/>
              <w:rPr>
                <w:b/>
                <w:bCs/>
              </w:rPr>
            </w:pPr>
            <w:r w:rsidRPr="00037A46">
              <w:rPr>
                <w:b/>
                <w:bCs/>
              </w:rPr>
              <w:t> </w:t>
            </w:r>
          </w:p>
        </w:tc>
        <w:tc>
          <w:tcPr>
            <w:tcW w:w="1333" w:type="dxa"/>
            <w:tcBorders>
              <w:top w:val="nil"/>
              <w:bottom w:val="nil"/>
            </w:tcBorders>
            <w:noWrap/>
            <w:vAlign w:val="bottom"/>
          </w:tcPr>
          <w:p w14:paraId="14DBB3E2" w14:textId="77777777" w:rsidR="00B01394" w:rsidRPr="00037A46" w:rsidRDefault="00B01394" w:rsidP="00F41C24">
            <w:pPr>
              <w:spacing w:before="0" w:after="0"/>
              <w:ind w:left="214"/>
              <w:jc w:val="right"/>
              <w:rPr>
                <w:bCs/>
              </w:rPr>
            </w:pPr>
            <w:r w:rsidRPr="00037A46">
              <w:rPr>
                <w:bCs/>
              </w:rPr>
              <w:t>1x3x1450</w:t>
            </w:r>
          </w:p>
        </w:tc>
        <w:tc>
          <w:tcPr>
            <w:tcW w:w="1275" w:type="dxa"/>
            <w:tcBorders>
              <w:top w:val="nil"/>
              <w:bottom w:val="nil"/>
            </w:tcBorders>
            <w:noWrap/>
            <w:vAlign w:val="bottom"/>
          </w:tcPr>
          <w:p w14:paraId="4B90955B" w14:textId="77777777" w:rsidR="00B01394" w:rsidRPr="00037A46" w:rsidRDefault="00B01394" w:rsidP="00F41C24">
            <w:pPr>
              <w:spacing w:before="0" w:after="0"/>
              <w:ind w:left="156"/>
              <w:jc w:val="right"/>
              <w:rPr>
                <w:bCs/>
              </w:rPr>
            </w:pPr>
            <w:r w:rsidRPr="00037A46">
              <w:rPr>
                <w:bCs/>
              </w:rPr>
              <w:t>2x3x1500</w:t>
            </w:r>
          </w:p>
        </w:tc>
        <w:tc>
          <w:tcPr>
            <w:tcW w:w="1232" w:type="dxa"/>
            <w:tcBorders>
              <w:top w:val="nil"/>
              <w:bottom w:val="nil"/>
            </w:tcBorders>
            <w:noWrap/>
            <w:vAlign w:val="bottom"/>
          </w:tcPr>
          <w:p w14:paraId="04BE9D01" w14:textId="77777777" w:rsidR="00B01394" w:rsidRPr="00037A46" w:rsidRDefault="00B01394" w:rsidP="00F41C24">
            <w:pPr>
              <w:spacing w:before="0" w:after="0"/>
              <w:ind w:left="113"/>
              <w:jc w:val="right"/>
              <w:rPr>
                <w:bCs/>
              </w:rPr>
            </w:pPr>
            <w:r w:rsidRPr="00037A46">
              <w:rPr>
                <w:bCs/>
              </w:rPr>
              <w:t>1x3x1450</w:t>
            </w:r>
          </w:p>
        </w:tc>
        <w:tc>
          <w:tcPr>
            <w:tcW w:w="1232" w:type="dxa"/>
            <w:tcBorders>
              <w:top w:val="nil"/>
              <w:bottom w:val="nil"/>
            </w:tcBorders>
            <w:vAlign w:val="bottom"/>
          </w:tcPr>
          <w:p w14:paraId="1F99D3C8" w14:textId="77777777" w:rsidR="00B01394" w:rsidRPr="00B01394" w:rsidRDefault="00B01394" w:rsidP="00F41C24">
            <w:pPr>
              <w:spacing w:before="0" w:after="0"/>
              <w:ind w:left="113"/>
              <w:jc w:val="right"/>
              <w:rPr>
                <w:bCs/>
              </w:rPr>
            </w:pPr>
            <w:r w:rsidRPr="00B01394">
              <w:rPr>
                <w:bCs/>
              </w:rPr>
              <w:t>1x3x1450</w:t>
            </w:r>
          </w:p>
        </w:tc>
        <w:tc>
          <w:tcPr>
            <w:tcW w:w="1232" w:type="dxa"/>
            <w:tcBorders>
              <w:top w:val="nil"/>
              <w:bottom w:val="nil"/>
            </w:tcBorders>
          </w:tcPr>
          <w:p w14:paraId="6B5E5DC5" w14:textId="77777777" w:rsidR="00B01394" w:rsidRPr="00B01394" w:rsidRDefault="00B01394" w:rsidP="00F41C24">
            <w:pPr>
              <w:spacing w:before="0" w:after="0"/>
              <w:ind w:left="113"/>
              <w:jc w:val="right"/>
              <w:rPr>
                <w:bCs/>
              </w:rPr>
            </w:pPr>
            <w:r w:rsidRPr="00B01394">
              <w:rPr>
                <w:bCs/>
              </w:rPr>
              <w:t>3x3x1500</w:t>
            </w:r>
          </w:p>
        </w:tc>
      </w:tr>
      <w:tr w:rsidR="00B01394" w:rsidRPr="00037A46" w14:paraId="12DB341A" w14:textId="77777777" w:rsidTr="00F41C24">
        <w:trPr>
          <w:trHeight w:val="300"/>
          <w:jc w:val="center"/>
        </w:trPr>
        <w:tc>
          <w:tcPr>
            <w:tcW w:w="1305" w:type="dxa"/>
            <w:tcBorders>
              <w:top w:val="nil"/>
              <w:bottom w:val="nil"/>
            </w:tcBorders>
            <w:shd w:val="clear" w:color="auto" w:fill="C0C0C0"/>
            <w:noWrap/>
            <w:vAlign w:val="bottom"/>
          </w:tcPr>
          <w:p w14:paraId="21B0A90C" w14:textId="77777777" w:rsidR="00B01394" w:rsidRPr="00037A46" w:rsidRDefault="00B01394" w:rsidP="00F41C24">
            <w:pPr>
              <w:spacing w:before="0" w:after="0"/>
              <w:ind w:hanging="764"/>
              <w:rPr>
                <w:b/>
                <w:bCs/>
              </w:rPr>
            </w:pPr>
            <w:r w:rsidRPr="00037A46">
              <w:rPr>
                <w:b/>
                <w:bCs/>
              </w:rPr>
              <w:t> </w:t>
            </w:r>
          </w:p>
        </w:tc>
        <w:tc>
          <w:tcPr>
            <w:tcW w:w="1333" w:type="dxa"/>
            <w:tcBorders>
              <w:top w:val="nil"/>
              <w:bottom w:val="nil"/>
            </w:tcBorders>
            <w:noWrap/>
            <w:vAlign w:val="bottom"/>
          </w:tcPr>
          <w:p w14:paraId="1151E80F" w14:textId="77777777" w:rsidR="00B01394" w:rsidRPr="00037A46" w:rsidRDefault="00B01394" w:rsidP="00F41C24">
            <w:pPr>
              <w:spacing w:before="0" w:after="0"/>
              <w:ind w:left="214"/>
              <w:jc w:val="right"/>
              <w:rPr>
                <w:bCs/>
              </w:rPr>
            </w:pPr>
            <w:r w:rsidRPr="00037A46">
              <w:rPr>
                <w:bCs/>
              </w:rPr>
              <w:t>1x3x1500</w:t>
            </w:r>
          </w:p>
        </w:tc>
        <w:tc>
          <w:tcPr>
            <w:tcW w:w="1275" w:type="dxa"/>
            <w:tcBorders>
              <w:top w:val="nil"/>
              <w:bottom w:val="nil"/>
            </w:tcBorders>
            <w:noWrap/>
            <w:vAlign w:val="bottom"/>
          </w:tcPr>
          <w:p w14:paraId="0E4051DB" w14:textId="77777777" w:rsidR="00B01394" w:rsidRPr="00037A46" w:rsidRDefault="00B01394" w:rsidP="00F41C24">
            <w:pPr>
              <w:spacing w:before="0" w:after="0"/>
              <w:ind w:left="156"/>
              <w:jc w:val="right"/>
              <w:rPr>
                <w:bCs/>
              </w:rPr>
            </w:pPr>
            <w:r w:rsidRPr="00037A46">
              <w:rPr>
                <w:bCs/>
              </w:rPr>
              <w:t>1x3x1250</w:t>
            </w:r>
          </w:p>
        </w:tc>
        <w:tc>
          <w:tcPr>
            <w:tcW w:w="1232" w:type="dxa"/>
            <w:tcBorders>
              <w:top w:val="nil"/>
              <w:bottom w:val="nil"/>
            </w:tcBorders>
            <w:noWrap/>
            <w:vAlign w:val="bottom"/>
          </w:tcPr>
          <w:p w14:paraId="54910032" w14:textId="77777777" w:rsidR="00B01394" w:rsidRPr="00037A46" w:rsidRDefault="00B01394" w:rsidP="00F41C24">
            <w:pPr>
              <w:spacing w:before="0" w:after="0"/>
              <w:ind w:left="113"/>
              <w:jc w:val="right"/>
              <w:rPr>
                <w:bCs/>
              </w:rPr>
            </w:pPr>
            <w:r w:rsidRPr="00037A46">
              <w:rPr>
                <w:bCs/>
              </w:rPr>
              <w:t>2x3x1250</w:t>
            </w:r>
          </w:p>
        </w:tc>
        <w:tc>
          <w:tcPr>
            <w:tcW w:w="1232" w:type="dxa"/>
            <w:tcBorders>
              <w:top w:val="nil"/>
              <w:bottom w:val="nil"/>
            </w:tcBorders>
            <w:vAlign w:val="bottom"/>
          </w:tcPr>
          <w:p w14:paraId="59C15C7F" w14:textId="77777777" w:rsidR="00B01394" w:rsidRPr="00B01394" w:rsidRDefault="00B01394" w:rsidP="00F41C24">
            <w:pPr>
              <w:spacing w:before="0" w:after="0"/>
              <w:ind w:left="113"/>
              <w:jc w:val="right"/>
              <w:rPr>
                <w:bCs/>
              </w:rPr>
            </w:pPr>
            <w:r w:rsidRPr="00B01394">
              <w:rPr>
                <w:bCs/>
              </w:rPr>
              <w:t>2x3x1250</w:t>
            </w:r>
          </w:p>
        </w:tc>
        <w:tc>
          <w:tcPr>
            <w:tcW w:w="1232" w:type="dxa"/>
            <w:tcBorders>
              <w:top w:val="nil"/>
              <w:bottom w:val="nil"/>
            </w:tcBorders>
          </w:tcPr>
          <w:p w14:paraId="6A066846" w14:textId="77777777" w:rsidR="00B01394" w:rsidRPr="00B01394" w:rsidRDefault="00B01394" w:rsidP="00F41C24">
            <w:pPr>
              <w:spacing w:before="0" w:after="0"/>
              <w:ind w:left="113"/>
              <w:jc w:val="right"/>
              <w:rPr>
                <w:bCs/>
              </w:rPr>
            </w:pPr>
            <w:r w:rsidRPr="00B01394">
              <w:rPr>
                <w:bCs/>
              </w:rPr>
              <w:t>1x3x1200</w:t>
            </w:r>
          </w:p>
        </w:tc>
      </w:tr>
      <w:tr w:rsidR="00B01394" w:rsidRPr="00037A46" w14:paraId="1A437CD7" w14:textId="77777777" w:rsidTr="00F41C24">
        <w:trPr>
          <w:trHeight w:val="315"/>
          <w:jc w:val="center"/>
        </w:trPr>
        <w:tc>
          <w:tcPr>
            <w:tcW w:w="1305" w:type="dxa"/>
            <w:tcBorders>
              <w:top w:val="nil"/>
              <w:bottom w:val="nil"/>
            </w:tcBorders>
            <w:shd w:val="clear" w:color="auto" w:fill="C0C0C0"/>
            <w:noWrap/>
            <w:vAlign w:val="bottom"/>
          </w:tcPr>
          <w:p w14:paraId="7E6A87C8" w14:textId="77777777" w:rsidR="00B01394" w:rsidRPr="00037A46" w:rsidRDefault="00B01394" w:rsidP="00F41C24">
            <w:pPr>
              <w:spacing w:before="0" w:after="0"/>
              <w:ind w:hanging="764"/>
              <w:rPr>
                <w:b/>
                <w:bCs/>
              </w:rPr>
            </w:pPr>
            <w:r w:rsidRPr="00037A46">
              <w:rPr>
                <w:b/>
                <w:bCs/>
              </w:rPr>
              <w:t> </w:t>
            </w:r>
          </w:p>
        </w:tc>
        <w:tc>
          <w:tcPr>
            <w:tcW w:w="1333" w:type="dxa"/>
            <w:tcBorders>
              <w:top w:val="nil"/>
              <w:bottom w:val="nil"/>
            </w:tcBorders>
            <w:noWrap/>
            <w:vAlign w:val="bottom"/>
          </w:tcPr>
          <w:p w14:paraId="57E808A7" w14:textId="77777777" w:rsidR="00B01394" w:rsidRPr="00037A46" w:rsidRDefault="00B01394" w:rsidP="00F41C24">
            <w:pPr>
              <w:spacing w:before="0" w:after="0"/>
              <w:ind w:left="214"/>
              <w:jc w:val="right"/>
              <w:rPr>
                <w:bCs/>
              </w:rPr>
            </w:pPr>
            <w:r w:rsidRPr="00037A46">
              <w:rPr>
                <w:bCs/>
              </w:rPr>
              <w:t>2x3x1250</w:t>
            </w:r>
          </w:p>
        </w:tc>
        <w:tc>
          <w:tcPr>
            <w:tcW w:w="1275" w:type="dxa"/>
            <w:tcBorders>
              <w:top w:val="nil"/>
              <w:bottom w:val="nil"/>
            </w:tcBorders>
            <w:noWrap/>
            <w:vAlign w:val="bottom"/>
          </w:tcPr>
          <w:p w14:paraId="7BA0D863" w14:textId="77777777" w:rsidR="00B01394" w:rsidRPr="00037A46" w:rsidRDefault="00B01394" w:rsidP="00F41C24">
            <w:pPr>
              <w:spacing w:before="0" w:after="0"/>
              <w:ind w:left="156"/>
              <w:jc w:val="right"/>
              <w:rPr>
                <w:bCs/>
              </w:rPr>
            </w:pPr>
            <w:r w:rsidRPr="00037A46">
              <w:rPr>
                <w:bCs/>
              </w:rPr>
              <w:t>1x3x1200</w:t>
            </w:r>
          </w:p>
        </w:tc>
        <w:tc>
          <w:tcPr>
            <w:tcW w:w="1232" w:type="dxa"/>
            <w:tcBorders>
              <w:top w:val="nil"/>
              <w:bottom w:val="nil"/>
            </w:tcBorders>
            <w:noWrap/>
            <w:vAlign w:val="bottom"/>
          </w:tcPr>
          <w:p w14:paraId="649A597B" w14:textId="77777777" w:rsidR="00B01394" w:rsidRPr="00037A46" w:rsidRDefault="00B01394" w:rsidP="00F41C24">
            <w:pPr>
              <w:spacing w:before="0" w:after="0"/>
              <w:ind w:left="113"/>
              <w:jc w:val="right"/>
              <w:rPr>
                <w:bCs/>
              </w:rPr>
            </w:pPr>
            <w:r w:rsidRPr="00037A46">
              <w:rPr>
                <w:bCs/>
              </w:rPr>
              <w:t> </w:t>
            </w:r>
          </w:p>
        </w:tc>
        <w:tc>
          <w:tcPr>
            <w:tcW w:w="1232" w:type="dxa"/>
            <w:tcBorders>
              <w:top w:val="nil"/>
              <w:bottom w:val="nil"/>
            </w:tcBorders>
            <w:vAlign w:val="bottom"/>
          </w:tcPr>
          <w:p w14:paraId="1067A5EB" w14:textId="77777777" w:rsidR="00B01394" w:rsidRPr="00B01394" w:rsidRDefault="00B01394" w:rsidP="00F41C24">
            <w:pPr>
              <w:spacing w:before="0" w:after="0"/>
              <w:ind w:left="113"/>
              <w:jc w:val="right"/>
              <w:rPr>
                <w:bCs/>
              </w:rPr>
            </w:pPr>
            <w:r w:rsidRPr="00B01394">
              <w:rPr>
                <w:bCs/>
              </w:rPr>
              <w:t> </w:t>
            </w:r>
          </w:p>
        </w:tc>
        <w:tc>
          <w:tcPr>
            <w:tcW w:w="1232" w:type="dxa"/>
            <w:tcBorders>
              <w:top w:val="nil"/>
              <w:bottom w:val="nil"/>
            </w:tcBorders>
          </w:tcPr>
          <w:p w14:paraId="7354E0DD" w14:textId="77777777" w:rsidR="00B01394" w:rsidRPr="00B01394" w:rsidRDefault="00B01394" w:rsidP="00F41C24">
            <w:pPr>
              <w:spacing w:before="0" w:after="0"/>
              <w:ind w:left="113"/>
              <w:jc w:val="right"/>
              <w:rPr>
                <w:bCs/>
              </w:rPr>
            </w:pPr>
            <w:r w:rsidRPr="00B01394">
              <w:rPr>
                <w:bCs/>
              </w:rPr>
              <w:t>1x3x1250</w:t>
            </w:r>
          </w:p>
        </w:tc>
      </w:tr>
      <w:tr w:rsidR="00B01394" w:rsidRPr="00037A46" w14:paraId="20C0E461" w14:textId="77777777" w:rsidTr="00F41C24">
        <w:trPr>
          <w:trHeight w:val="315"/>
          <w:jc w:val="center"/>
        </w:trPr>
        <w:tc>
          <w:tcPr>
            <w:tcW w:w="1305" w:type="dxa"/>
            <w:tcBorders>
              <w:top w:val="single" w:sz="8" w:space="0" w:color="auto"/>
            </w:tcBorders>
            <w:shd w:val="clear" w:color="auto" w:fill="C0C0C0"/>
            <w:noWrap/>
            <w:vAlign w:val="bottom"/>
          </w:tcPr>
          <w:p w14:paraId="2A191601" w14:textId="77777777" w:rsidR="00B01394" w:rsidRPr="00037A46" w:rsidRDefault="00B01394" w:rsidP="00F41C24">
            <w:pPr>
              <w:spacing w:before="0" w:after="0"/>
              <w:ind w:hanging="764"/>
              <w:jc w:val="right"/>
              <w:rPr>
                <w:b/>
                <w:bCs/>
                <w:lang w:val="en-US"/>
              </w:rPr>
            </w:pPr>
            <w:r w:rsidRPr="00037A46">
              <w:rPr>
                <w:b/>
                <w:bCs/>
                <w:lang w:val="en-US"/>
              </w:rPr>
              <w:t>0</w:t>
            </w:r>
          </w:p>
        </w:tc>
        <w:tc>
          <w:tcPr>
            <w:tcW w:w="1333" w:type="dxa"/>
            <w:tcBorders>
              <w:top w:val="single" w:sz="8" w:space="0" w:color="auto"/>
            </w:tcBorders>
            <w:noWrap/>
            <w:vAlign w:val="bottom"/>
          </w:tcPr>
          <w:p w14:paraId="1F6DEC4C" w14:textId="77777777" w:rsidR="00B01394" w:rsidRPr="00037A46" w:rsidRDefault="00B01394" w:rsidP="00F41C24">
            <w:pPr>
              <w:spacing w:before="0" w:after="0"/>
              <w:ind w:left="214"/>
              <w:jc w:val="right"/>
              <w:rPr>
                <w:bCs/>
                <w:lang w:val="en-US"/>
              </w:rPr>
            </w:pPr>
            <w:r w:rsidRPr="00037A46">
              <w:rPr>
                <w:bCs/>
                <w:lang w:val="en-US"/>
              </w:rPr>
              <w:t>21.850</w:t>
            </w:r>
          </w:p>
        </w:tc>
        <w:tc>
          <w:tcPr>
            <w:tcW w:w="1275" w:type="dxa"/>
            <w:tcBorders>
              <w:top w:val="single" w:sz="8" w:space="0" w:color="auto"/>
            </w:tcBorders>
            <w:noWrap/>
            <w:vAlign w:val="bottom"/>
          </w:tcPr>
          <w:p w14:paraId="570EE178" w14:textId="77777777" w:rsidR="00B01394" w:rsidRPr="00037A46" w:rsidRDefault="00B01394" w:rsidP="00F41C24">
            <w:pPr>
              <w:spacing w:before="0" w:after="0"/>
              <w:ind w:left="156"/>
              <w:jc w:val="right"/>
              <w:rPr>
                <w:bCs/>
                <w:lang w:val="en-US"/>
              </w:rPr>
            </w:pPr>
            <w:r w:rsidRPr="00037A46">
              <w:rPr>
                <w:bCs/>
                <w:lang w:val="en-US"/>
              </w:rPr>
              <w:t>24.050</w:t>
            </w:r>
          </w:p>
        </w:tc>
        <w:tc>
          <w:tcPr>
            <w:tcW w:w="1232" w:type="dxa"/>
            <w:tcBorders>
              <w:top w:val="single" w:sz="8" w:space="0" w:color="auto"/>
            </w:tcBorders>
            <w:noWrap/>
            <w:vAlign w:val="bottom"/>
          </w:tcPr>
          <w:p w14:paraId="70ECABD5" w14:textId="77777777" w:rsidR="00B01394" w:rsidRPr="00037A46" w:rsidRDefault="00B01394" w:rsidP="00F41C24">
            <w:pPr>
              <w:spacing w:before="0" w:after="0"/>
              <w:ind w:left="113"/>
              <w:jc w:val="right"/>
              <w:rPr>
                <w:bCs/>
                <w:lang w:val="en-US"/>
              </w:rPr>
            </w:pPr>
            <w:r w:rsidRPr="00037A46">
              <w:rPr>
                <w:bCs/>
                <w:lang w:val="en-US"/>
              </w:rPr>
              <w:t>26.300</w:t>
            </w:r>
          </w:p>
        </w:tc>
        <w:tc>
          <w:tcPr>
            <w:tcW w:w="1232" w:type="dxa"/>
            <w:tcBorders>
              <w:top w:val="single" w:sz="8" w:space="0" w:color="auto"/>
            </w:tcBorders>
            <w:vAlign w:val="bottom"/>
          </w:tcPr>
          <w:p w14:paraId="4288F228" w14:textId="77777777" w:rsidR="00B01394" w:rsidRPr="00B01394" w:rsidRDefault="00B01394" w:rsidP="00F41C24">
            <w:pPr>
              <w:spacing w:before="0" w:after="0"/>
              <w:ind w:left="113"/>
              <w:jc w:val="right"/>
              <w:rPr>
                <w:bCs/>
                <w:lang w:val="en-US"/>
              </w:rPr>
            </w:pPr>
            <w:r w:rsidRPr="00B01394">
              <w:rPr>
                <w:bCs/>
                <w:lang w:val="en-US"/>
              </w:rPr>
              <w:t>26.300</w:t>
            </w:r>
          </w:p>
        </w:tc>
        <w:tc>
          <w:tcPr>
            <w:tcW w:w="1232" w:type="dxa"/>
            <w:tcBorders>
              <w:top w:val="single" w:sz="8" w:space="0" w:color="auto"/>
            </w:tcBorders>
          </w:tcPr>
          <w:p w14:paraId="1ABEB20A" w14:textId="77777777" w:rsidR="00B01394" w:rsidRPr="00B01394" w:rsidRDefault="00B01394" w:rsidP="00F41C24">
            <w:pPr>
              <w:spacing w:before="0" w:after="0"/>
              <w:ind w:left="113"/>
              <w:jc w:val="right"/>
              <w:rPr>
                <w:bCs/>
                <w:lang w:val="en-US"/>
              </w:rPr>
            </w:pPr>
            <w:r w:rsidRPr="00B01394">
              <w:rPr>
                <w:bCs/>
                <w:lang w:val="en-US"/>
              </w:rPr>
              <w:t>27.950</w:t>
            </w:r>
          </w:p>
        </w:tc>
      </w:tr>
      <w:tr w:rsidR="00B01394" w:rsidRPr="00037A46" w14:paraId="08EE7A3F" w14:textId="77777777" w:rsidTr="00F41C24">
        <w:trPr>
          <w:trHeight w:val="300"/>
          <w:jc w:val="center"/>
        </w:trPr>
        <w:tc>
          <w:tcPr>
            <w:tcW w:w="1305" w:type="dxa"/>
            <w:shd w:val="clear" w:color="auto" w:fill="C0C0C0"/>
            <w:noWrap/>
            <w:vAlign w:val="bottom"/>
          </w:tcPr>
          <w:p w14:paraId="2306204D" w14:textId="77777777" w:rsidR="00B01394" w:rsidRPr="00037A46" w:rsidRDefault="00B01394" w:rsidP="00F41C24">
            <w:pPr>
              <w:spacing w:before="0" w:after="0"/>
              <w:ind w:hanging="764"/>
              <w:jc w:val="right"/>
              <w:rPr>
                <w:b/>
                <w:bCs/>
                <w:lang w:val="en-US"/>
              </w:rPr>
            </w:pPr>
            <w:r w:rsidRPr="00037A46">
              <w:rPr>
                <w:b/>
                <w:bCs/>
                <w:lang w:val="en-US"/>
              </w:rPr>
              <w:t>1</w:t>
            </w:r>
          </w:p>
        </w:tc>
        <w:tc>
          <w:tcPr>
            <w:tcW w:w="1333" w:type="dxa"/>
            <w:noWrap/>
            <w:vAlign w:val="bottom"/>
          </w:tcPr>
          <w:p w14:paraId="3D11F341" w14:textId="77777777" w:rsidR="00B01394" w:rsidRPr="00037A46" w:rsidRDefault="00B01394" w:rsidP="00F41C24">
            <w:pPr>
              <w:spacing w:before="0" w:after="0"/>
              <w:ind w:left="214"/>
              <w:jc w:val="right"/>
              <w:rPr>
                <w:bCs/>
                <w:lang w:val="en-US"/>
              </w:rPr>
            </w:pPr>
            <w:r w:rsidRPr="00037A46">
              <w:rPr>
                <w:bCs/>
                <w:lang w:val="en-US"/>
              </w:rPr>
              <w:t>22.600</w:t>
            </w:r>
          </w:p>
        </w:tc>
        <w:tc>
          <w:tcPr>
            <w:tcW w:w="1275" w:type="dxa"/>
            <w:noWrap/>
            <w:vAlign w:val="bottom"/>
          </w:tcPr>
          <w:p w14:paraId="74ADD0D0" w14:textId="77777777" w:rsidR="00B01394" w:rsidRPr="00037A46" w:rsidRDefault="00B01394" w:rsidP="00F41C24">
            <w:pPr>
              <w:spacing w:before="0" w:after="0"/>
              <w:ind w:left="156"/>
              <w:jc w:val="right"/>
              <w:rPr>
                <w:bCs/>
                <w:lang w:val="en-US"/>
              </w:rPr>
            </w:pPr>
            <w:r w:rsidRPr="00037A46">
              <w:rPr>
                <w:bCs/>
                <w:lang w:val="en-US"/>
              </w:rPr>
              <w:t>24.800</w:t>
            </w:r>
          </w:p>
        </w:tc>
        <w:tc>
          <w:tcPr>
            <w:tcW w:w="1232" w:type="dxa"/>
            <w:noWrap/>
            <w:vAlign w:val="bottom"/>
          </w:tcPr>
          <w:p w14:paraId="4B30B159" w14:textId="77777777" w:rsidR="00B01394" w:rsidRPr="00037A46" w:rsidRDefault="00B01394" w:rsidP="00F41C24">
            <w:pPr>
              <w:spacing w:before="0" w:after="0"/>
              <w:ind w:left="113"/>
              <w:jc w:val="right"/>
              <w:rPr>
                <w:bCs/>
                <w:lang w:val="en-US"/>
              </w:rPr>
            </w:pPr>
            <w:r w:rsidRPr="00037A46">
              <w:rPr>
                <w:bCs/>
                <w:lang w:val="en-US"/>
              </w:rPr>
              <w:t>27.050</w:t>
            </w:r>
          </w:p>
        </w:tc>
        <w:tc>
          <w:tcPr>
            <w:tcW w:w="1232" w:type="dxa"/>
            <w:vAlign w:val="bottom"/>
          </w:tcPr>
          <w:p w14:paraId="261091DA" w14:textId="77777777" w:rsidR="00B01394" w:rsidRPr="00B01394" w:rsidRDefault="00B01394" w:rsidP="00F41C24">
            <w:pPr>
              <w:spacing w:before="0" w:after="0"/>
              <w:ind w:left="113"/>
              <w:jc w:val="right"/>
              <w:rPr>
                <w:bCs/>
                <w:lang w:val="en-US"/>
              </w:rPr>
            </w:pPr>
            <w:r w:rsidRPr="00B01394">
              <w:rPr>
                <w:bCs/>
                <w:lang w:val="en-US"/>
              </w:rPr>
              <w:t>27.050</w:t>
            </w:r>
          </w:p>
        </w:tc>
        <w:tc>
          <w:tcPr>
            <w:tcW w:w="1232" w:type="dxa"/>
          </w:tcPr>
          <w:p w14:paraId="64B82EF6" w14:textId="77777777" w:rsidR="00B01394" w:rsidRPr="00B01394" w:rsidRDefault="00B01394" w:rsidP="00F41C24">
            <w:pPr>
              <w:spacing w:before="0" w:after="0"/>
              <w:ind w:left="113"/>
              <w:jc w:val="right"/>
              <w:rPr>
                <w:bCs/>
                <w:lang w:val="en-US"/>
              </w:rPr>
            </w:pPr>
            <w:r w:rsidRPr="00B01394">
              <w:rPr>
                <w:bCs/>
                <w:lang w:val="en-US"/>
              </w:rPr>
              <w:t>28.700</w:t>
            </w:r>
          </w:p>
        </w:tc>
      </w:tr>
      <w:tr w:rsidR="00B01394" w:rsidRPr="00037A46" w14:paraId="455A0660" w14:textId="77777777" w:rsidTr="00F41C24">
        <w:trPr>
          <w:trHeight w:val="300"/>
          <w:jc w:val="center"/>
        </w:trPr>
        <w:tc>
          <w:tcPr>
            <w:tcW w:w="1305" w:type="dxa"/>
            <w:shd w:val="clear" w:color="auto" w:fill="C0C0C0"/>
            <w:noWrap/>
            <w:vAlign w:val="bottom"/>
          </w:tcPr>
          <w:p w14:paraId="3FD4856C" w14:textId="77777777" w:rsidR="00B01394" w:rsidRPr="00037A46" w:rsidRDefault="00B01394" w:rsidP="00F41C24">
            <w:pPr>
              <w:spacing w:before="0" w:after="0"/>
              <w:ind w:hanging="764"/>
              <w:jc w:val="right"/>
              <w:rPr>
                <w:b/>
                <w:bCs/>
                <w:lang w:val="en-US"/>
              </w:rPr>
            </w:pPr>
            <w:r w:rsidRPr="00037A46">
              <w:rPr>
                <w:b/>
                <w:bCs/>
                <w:lang w:val="en-US"/>
              </w:rPr>
              <w:t>2</w:t>
            </w:r>
          </w:p>
        </w:tc>
        <w:tc>
          <w:tcPr>
            <w:tcW w:w="1333" w:type="dxa"/>
            <w:noWrap/>
            <w:vAlign w:val="bottom"/>
          </w:tcPr>
          <w:p w14:paraId="570F6576" w14:textId="77777777" w:rsidR="00B01394" w:rsidRPr="00037A46" w:rsidRDefault="00B01394" w:rsidP="00F41C24">
            <w:pPr>
              <w:spacing w:before="0" w:after="0"/>
              <w:ind w:left="214"/>
              <w:jc w:val="right"/>
              <w:rPr>
                <w:bCs/>
                <w:lang w:val="en-US"/>
              </w:rPr>
            </w:pPr>
            <w:r w:rsidRPr="00037A46">
              <w:rPr>
                <w:bCs/>
                <w:lang w:val="en-US"/>
              </w:rPr>
              <w:t>23.350</w:t>
            </w:r>
          </w:p>
        </w:tc>
        <w:tc>
          <w:tcPr>
            <w:tcW w:w="1275" w:type="dxa"/>
            <w:noWrap/>
            <w:vAlign w:val="bottom"/>
          </w:tcPr>
          <w:p w14:paraId="04B448EC" w14:textId="77777777" w:rsidR="00B01394" w:rsidRPr="00037A46" w:rsidRDefault="00B01394" w:rsidP="00F41C24">
            <w:pPr>
              <w:spacing w:before="0" w:after="0"/>
              <w:ind w:left="156"/>
              <w:jc w:val="right"/>
              <w:rPr>
                <w:bCs/>
                <w:lang w:val="en-US"/>
              </w:rPr>
            </w:pPr>
            <w:r w:rsidRPr="00037A46">
              <w:rPr>
                <w:bCs/>
                <w:lang w:val="en-US"/>
              </w:rPr>
              <w:t>25.550</w:t>
            </w:r>
          </w:p>
        </w:tc>
        <w:tc>
          <w:tcPr>
            <w:tcW w:w="1232" w:type="dxa"/>
            <w:noWrap/>
            <w:vAlign w:val="bottom"/>
          </w:tcPr>
          <w:p w14:paraId="135E2C2D" w14:textId="77777777" w:rsidR="00B01394" w:rsidRPr="00037A46" w:rsidRDefault="00B01394" w:rsidP="00F41C24">
            <w:pPr>
              <w:spacing w:before="0" w:after="0"/>
              <w:ind w:left="113"/>
              <w:jc w:val="right"/>
              <w:rPr>
                <w:bCs/>
                <w:lang w:val="en-US"/>
              </w:rPr>
            </w:pPr>
            <w:r w:rsidRPr="00037A46">
              <w:rPr>
                <w:bCs/>
                <w:lang w:val="en-US"/>
              </w:rPr>
              <w:t>27.800</w:t>
            </w:r>
          </w:p>
        </w:tc>
        <w:tc>
          <w:tcPr>
            <w:tcW w:w="1232" w:type="dxa"/>
            <w:vAlign w:val="bottom"/>
          </w:tcPr>
          <w:p w14:paraId="1ED174CB" w14:textId="77777777" w:rsidR="00B01394" w:rsidRPr="00B01394" w:rsidRDefault="00B01394" w:rsidP="00F41C24">
            <w:pPr>
              <w:spacing w:before="0" w:after="0"/>
              <w:ind w:left="113"/>
              <w:jc w:val="right"/>
              <w:rPr>
                <w:bCs/>
                <w:lang w:val="en-US"/>
              </w:rPr>
            </w:pPr>
            <w:r w:rsidRPr="00B01394">
              <w:rPr>
                <w:bCs/>
                <w:lang w:val="en-US"/>
              </w:rPr>
              <w:t>27.800</w:t>
            </w:r>
          </w:p>
        </w:tc>
        <w:tc>
          <w:tcPr>
            <w:tcW w:w="1232" w:type="dxa"/>
          </w:tcPr>
          <w:p w14:paraId="647A5D4C" w14:textId="77777777" w:rsidR="00B01394" w:rsidRPr="00B01394" w:rsidRDefault="00B01394" w:rsidP="00F41C24">
            <w:pPr>
              <w:spacing w:before="0" w:after="0"/>
              <w:ind w:left="113"/>
              <w:jc w:val="right"/>
              <w:rPr>
                <w:bCs/>
                <w:lang w:val="en-US"/>
              </w:rPr>
            </w:pPr>
            <w:r w:rsidRPr="00B01394">
              <w:rPr>
                <w:bCs/>
                <w:lang w:val="en-US"/>
              </w:rPr>
              <w:t>29.450</w:t>
            </w:r>
          </w:p>
        </w:tc>
      </w:tr>
      <w:tr w:rsidR="00B01394" w:rsidRPr="00037A46" w14:paraId="2BC084EB" w14:textId="77777777" w:rsidTr="00F41C24">
        <w:trPr>
          <w:trHeight w:val="300"/>
          <w:jc w:val="center"/>
        </w:trPr>
        <w:tc>
          <w:tcPr>
            <w:tcW w:w="1305" w:type="dxa"/>
            <w:shd w:val="clear" w:color="auto" w:fill="C0C0C0"/>
            <w:noWrap/>
            <w:vAlign w:val="bottom"/>
          </w:tcPr>
          <w:p w14:paraId="29B35B95" w14:textId="77777777" w:rsidR="00B01394" w:rsidRPr="00037A46" w:rsidRDefault="00B01394" w:rsidP="00F41C24">
            <w:pPr>
              <w:spacing w:before="0" w:after="0"/>
              <w:ind w:hanging="764"/>
              <w:jc w:val="right"/>
              <w:rPr>
                <w:b/>
                <w:bCs/>
                <w:lang w:val="en-US"/>
              </w:rPr>
            </w:pPr>
            <w:r w:rsidRPr="00037A46">
              <w:rPr>
                <w:b/>
                <w:bCs/>
                <w:lang w:val="en-US"/>
              </w:rPr>
              <w:t>3</w:t>
            </w:r>
          </w:p>
        </w:tc>
        <w:tc>
          <w:tcPr>
            <w:tcW w:w="1333" w:type="dxa"/>
            <w:noWrap/>
            <w:vAlign w:val="bottom"/>
          </w:tcPr>
          <w:p w14:paraId="60CD1A46" w14:textId="77777777" w:rsidR="00B01394" w:rsidRPr="00037A46" w:rsidRDefault="00B01394" w:rsidP="00F41C24">
            <w:pPr>
              <w:spacing w:before="0" w:after="0"/>
              <w:ind w:left="214"/>
              <w:jc w:val="right"/>
              <w:rPr>
                <w:bCs/>
                <w:lang w:val="en-US"/>
              </w:rPr>
            </w:pPr>
            <w:r w:rsidRPr="00037A46">
              <w:rPr>
                <w:bCs/>
                <w:lang w:val="en-US"/>
              </w:rPr>
              <w:t>24.050</w:t>
            </w:r>
          </w:p>
        </w:tc>
        <w:tc>
          <w:tcPr>
            <w:tcW w:w="1275" w:type="dxa"/>
            <w:noWrap/>
            <w:vAlign w:val="bottom"/>
          </w:tcPr>
          <w:p w14:paraId="3775E3A5" w14:textId="77777777" w:rsidR="00B01394" w:rsidRPr="00037A46" w:rsidRDefault="00B01394" w:rsidP="00F41C24">
            <w:pPr>
              <w:spacing w:before="0" w:after="0"/>
              <w:ind w:left="156"/>
              <w:jc w:val="right"/>
              <w:rPr>
                <w:bCs/>
                <w:lang w:val="en-US"/>
              </w:rPr>
            </w:pPr>
            <w:r w:rsidRPr="00037A46">
              <w:rPr>
                <w:bCs/>
                <w:lang w:val="en-US"/>
              </w:rPr>
              <w:t>26.300</w:t>
            </w:r>
          </w:p>
        </w:tc>
        <w:tc>
          <w:tcPr>
            <w:tcW w:w="1232" w:type="dxa"/>
            <w:noWrap/>
            <w:vAlign w:val="bottom"/>
          </w:tcPr>
          <w:p w14:paraId="40AB0037" w14:textId="77777777" w:rsidR="00B01394" w:rsidRPr="00037A46" w:rsidRDefault="00B01394" w:rsidP="00F41C24">
            <w:pPr>
              <w:spacing w:before="0" w:after="0"/>
              <w:ind w:left="113"/>
              <w:jc w:val="right"/>
              <w:rPr>
                <w:bCs/>
                <w:lang w:val="en-US"/>
              </w:rPr>
            </w:pPr>
            <w:r w:rsidRPr="00037A46">
              <w:rPr>
                <w:bCs/>
                <w:lang w:val="en-US"/>
              </w:rPr>
              <w:t>28.550</w:t>
            </w:r>
          </w:p>
        </w:tc>
        <w:tc>
          <w:tcPr>
            <w:tcW w:w="1232" w:type="dxa"/>
            <w:vAlign w:val="bottom"/>
          </w:tcPr>
          <w:p w14:paraId="7B341E8F" w14:textId="77777777" w:rsidR="00B01394" w:rsidRPr="00B01394" w:rsidRDefault="00B01394" w:rsidP="00F41C24">
            <w:pPr>
              <w:spacing w:before="0" w:after="0"/>
              <w:ind w:left="113"/>
              <w:jc w:val="right"/>
              <w:rPr>
                <w:bCs/>
                <w:lang w:val="en-US"/>
              </w:rPr>
            </w:pPr>
            <w:r w:rsidRPr="00B01394">
              <w:rPr>
                <w:bCs/>
                <w:lang w:val="en-US"/>
              </w:rPr>
              <w:t>28.550</w:t>
            </w:r>
          </w:p>
        </w:tc>
        <w:tc>
          <w:tcPr>
            <w:tcW w:w="1232" w:type="dxa"/>
          </w:tcPr>
          <w:p w14:paraId="19855953" w14:textId="77777777" w:rsidR="00B01394" w:rsidRPr="00B01394" w:rsidRDefault="00B01394" w:rsidP="00F41C24">
            <w:pPr>
              <w:spacing w:before="0" w:after="0"/>
              <w:ind w:left="113"/>
              <w:jc w:val="right"/>
              <w:rPr>
                <w:bCs/>
                <w:lang w:val="en-US"/>
              </w:rPr>
            </w:pPr>
            <w:r w:rsidRPr="00B01394">
              <w:rPr>
                <w:bCs/>
                <w:lang w:val="en-US"/>
              </w:rPr>
              <w:t>30.200</w:t>
            </w:r>
          </w:p>
        </w:tc>
      </w:tr>
      <w:tr w:rsidR="00B01394" w:rsidRPr="00037A46" w14:paraId="057E8915" w14:textId="77777777" w:rsidTr="00F41C24">
        <w:trPr>
          <w:trHeight w:val="300"/>
          <w:jc w:val="center"/>
        </w:trPr>
        <w:tc>
          <w:tcPr>
            <w:tcW w:w="1305" w:type="dxa"/>
            <w:shd w:val="clear" w:color="auto" w:fill="C0C0C0"/>
            <w:noWrap/>
            <w:vAlign w:val="bottom"/>
          </w:tcPr>
          <w:p w14:paraId="13B7F4F4" w14:textId="77777777" w:rsidR="00B01394" w:rsidRPr="00037A46" w:rsidRDefault="00B01394" w:rsidP="00F41C24">
            <w:pPr>
              <w:spacing w:before="0" w:after="0"/>
              <w:ind w:hanging="764"/>
              <w:jc w:val="right"/>
              <w:rPr>
                <w:b/>
                <w:bCs/>
                <w:lang w:val="en-US"/>
              </w:rPr>
            </w:pPr>
            <w:r w:rsidRPr="00037A46">
              <w:rPr>
                <w:b/>
                <w:bCs/>
                <w:lang w:val="en-US"/>
              </w:rPr>
              <w:t>4</w:t>
            </w:r>
          </w:p>
        </w:tc>
        <w:tc>
          <w:tcPr>
            <w:tcW w:w="1333" w:type="dxa"/>
            <w:noWrap/>
            <w:vAlign w:val="bottom"/>
          </w:tcPr>
          <w:p w14:paraId="133CF65B" w14:textId="77777777" w:rsidR="00B01394" w:rsidRPr="00037A46" w:rsidRDefault="00B01394" w:rsidP="00F41C24">
            <w:pPr>
              <w:spacing w:before="0" w:after="0"/>
              <w:ind w:left="214"/>
              <w:jc w:val="right"/>
              <w:rPr>
                <w:bCs/>
                <w:lang w:val="en-US"/>
              </w:rPr>
            </w:pPr>
            <w:r w:rsidRPr="00037A46">
              <w:rPr>
                <w:bCs/>
                <w:lang w:val="en-US"/>
              </w:rPr>
              <w:t>24.050</w:t>
            </w:r>
          </w:p>
        </w:tc>
        <w:tc>
          <w:tcPr>
            <w:tcW w:w="1275" w:type="dxa"/>
            <w:noWrap/>
            <w:vAlign w:val="bottom"/>
          </w:tcPr>
          <w:p w14:paraId="24C3C000" w14:textId="77777777" w:rsidR="00B01394" w:rsidRPr="00037A46" w:rsidRDefault="00B01394" w:rsidP="00F41C24">
            <w:pPr>
              <w:spacing w:before="0" w:after="0"/>
              <w:ind w:left="156"/>
              <w:jc w:val="right"/>
              <w:rPr>
                <w:bCs/>
                <w:lang w:val="en-US"/>
              </w:rPr>
            </w:pPr>
            <w:r w:rsidRPr="00037A46">
              <w:rPr>
                <w:bCs/>
                <w:lang w:val="en-US"/>
              </w:rPr>
              <w:t>26.300</w:t>
            </w:r>
          </w:p>
        </w:tc>
        <w:tc>
          <w:tcPr>
            <w:tcW w:w="1232" w:type="dxa"/>
            <w:noWrap/>
            <w:vAlign w:val="bottom"/>
          </w:tcPr>
          <w:p w14:paraId="04A989A9" w14:textId="77777777" w:rsidR="00B01394" w:rsidRPr="00037A46" w:rsidRDefault="00B01394" w:rsidP="00F41C24">
            <w:pPr>
              <w:spacing w:before="0" w:after="0"/>
              <w:ind w:left="113"/>
              <w:jc w:val="right"/>
              <w:rPr>
                <w:bCs/>
                <w:lang w:val="en-US"/>
              </w:rPr>
            </w:pPr>
            <w:r w:rsidRPr="00037A46">
              <w:rPr>
                <w:bCs/>
                <w:lang w:val="en-US"/>
              </w:rPr>
              <w:t>28.550</w:t>
            </w:r>
          </w:p>
        </w:tc>
        <w:tc>
          <w:tcPr>
            <w:tcW w:w="1232" w:type="dxa"/>
            <w:vAlign w:val="bottom"/>
          </w:tcPr>
          <w:p w14:paraId="7712BAB5" w14:textId="77777777" w:rsidR="00B01394" w:rsidRPr="00B01394" w:rsidRDefault="00B01394" w:rsidP="00F41C24">
            <w:pPr>
              <w:spacing w:before="0" w:after="0"/>
              <w:ind w:left="113"/>
              <w:jc w:val="right"/>
              <w:rPr>
                <w:bCs/>
                <w:lang w:val="en-US"/>
              </w:rPr>
            </w:pPr>
            <w:r w:rsidRPr="00B01394">
              <w:rPr>
                <w:bCs/>
                <w:lang w:val="en-US"/>
              </w:rPr>
              <w:t>28.550</w:t>
            </w:r>
          </w:p>
        </w:tc>
        <w:tc>
          <w:tcPr>
            <w:tcW w:w="1232" w:type="dxa"/>
          </w:tcPr>
          <w:p w14:paraId="2491B94D" w14:textId="77777777" w:rsidR="00B01394" w:rsidRPr="00B01394" w:rsidRDefault="00B01394" w:rsidP="00F41C24">
            <w:pPr>
              <w:spacing w:before="0" w:after="0"/>
              <w:ind w:left="113"/>
              <w:jc w:val="right"/>
              <w:rPr>
                <w:bCs/>
                <w:lang w:val="en-US"/>
              </w:rPr>
            </w:pPr>
            <w:r w:rsidRPr="00B01394">
              <w:rPr>
                <w:bCs/>
                <w:lang w:val="en-US"/>
              </w:rPr>
              <w:t>30.200</w:t>
            </w:r>
          </w:p>
        </w:tc>
      </w:tr>
      <w:tr w:rsidR="00B01394" w:rsidRPr="00037A46" w14:paraId="039F0C9F" w14:textId="77777777" w:rsidTr="00F41C24">
        <w:trPr>
          <w:trHeight w:val="300"/>
          <w:jc w:val="center"/>
        </w:trPr>
        <w:tc>
          <w:tcPr>
            <w:tcW w:w="1305" w:type="dxa"/>
            <w:shd w:val="clear" w:color="auto" w:fill="C0C0C0"/>
            <w:noWrap/>
            <w:vAlign w:val="bottom"/>
          </w:tcPr>
          <w:p w14:paraId="625D9064" w14:textId="77777777" w:rsidR="00B01394" w:rsidRPr="00037A46" w:rsidRDefault="00B01394" w:rsidP="00F41C24">
            <w:pPr>
              <w:spacing w:before="0" w:after="0"/>
              <w:ind w:hanging="764"/>
              <w:jc w:val="right"/>
              <w:rPr>
                <w:b/>
                <w:bCs/>
                <w:lang w:val="en-US"/>
              </w:rPr>
            </w:pPr>
            <w:r w:rsidRPr="00037A46">
              <w:rPr>
                <w:b/>
                <w:bCs/>
                <w:lang w:val="en-US"/>
              </w:rPr>
              <w:t>5</w:t>
            </w:r>
          </w:p>
        </w:tc>
        <w:tc>
          <w:tcPr>
            <w:tcW w:w="1333" w:type="dxa"/>
            <w:noWrap/>
            <w:vAlign w:val="bottom"/>
          </w:tcPr>
          <w:p w14:paraId="3A793B26" w14:textId="77777777" w:rsidR="00B01394" w:rsidRPr="00037A46" w:rsidRDefault="00B01394" w:rsidP="00F41C24">
            <w:pPr>
              <w:spacing w:before="0" w:after="0"/>
              <w:ind w:left="214"/>
              <w:jc w:val="right"/>
              <w:rPr>
                <w:bCs/>
                <w:lang w:val="en-US"/>
              </w:rPr>
            </w:pPr>
            <w:r w:rsidRPr="00037A46">
              <w:rPr>
                <w:bCs/>
                <w:lang w:val="en-US"/>
              </w:rPr>
              <w:t>24.050</w:t>
            </w:r>
          </w:p>
        </w:tc>
        <w:tc>
          <w:tcPr>
            <w:tcW w:w="1275" w:type="dxa"/>
            <w:noWrap/>
            <w:vAlign w:val="bottom"/>
          </w:tcPr>
          <w:p w14:paraId="57DEED15" w14:textId="77777777" w:rsidR="00B01394" w:rsidRPr="00037A46" w:rsidRDefault="00B01394" w:rsidP="00F41C24">
            <w:pPr>
              <w:spacing w:before="0" w:after="0"/>
              <w:ind w:left="156"/>
              <w:jc w:val="right"/>
              <w:rPr>
                <w:bCs/>
                <w:lang w:val="en-US"/>
              </w:rPr>
            </w:pPr>
            <w:r w:rsidRPr="00037A46">
              <w:rPr>
                <w:bCs/>
                <w:lang w:val="en-US"/>
              </w:rPr>
              <w:t>26.300</w:t>
            </w:r>
          </w:p>
        </w:tc>
        <w:tc>
          <w:tcPr>
            <w:tcW w:w="1232" w:type="dxa"/>
            <w:noWrap/>
            <w:vAlign w:val="bottom"/>
          </w:tcPr>
          <w:p w14:paraId="1E3A1506" w14:textId="77777777" w:rsidR="00B01394" w:rsidRPr="00037A46" w:rsidRDefault="00B01394" w:rsidP="00F41C24">
            <w:pPr>
              <w:spacing w:before="0" w:after="0"/>
              <w:ind w:left="113"/>
              <w:jc w:val="right"/>
              <w:rPr>
                <w:bCs/>
                <w:lang w:val="en-US"/>
              </w:rPr>
            </w:pPr>
            <w:r w:rsidRPr="00037A46">
              <w:rPr>
                <w:bCs/>
                <w:lang w:val="en-US"/>
              </w:rPr>
              <w:t>28.550</w:t>
            </w:r>
          </w:p>
        </w:tc>
        <w:tc>
          <w:tcPr>
            <w:tcW w:w="1232" w:type="dxa"/>
            <w:vAlign w:val="bottom"/>
          </w:tcPr>
          <w:p w14:paraId="35454B37" w14:textId="77777777" w:rsidR="00B01394" w:rsidRPr="00B01394" w:rsidRDefault="00B01394" w:rsidP="00F41C24">
            <w:pPr>
              <w:spacing w:before="0" w:after="0"/>
              <w:ind w:left="113"/>
              <w:jc w:val="right"/>
              <w:rPr>
                <w:bCs/>
                <w:lang w:val="en-US"/>
              </w:rPr>
            </w:pPr>
            <w:r w:rsidRPr="00B01394">
              <w:rPr>
                <w:bCs/>
                <w:lang w:val="en-US"/>
              </w:rPr>
              <w:t>28.550</w:t>
            </w:r>
          </w:p>
        </w:tc>
        <w:tc>
          <w:tcPr>
            <w:tcW w:w="1232" w:type="dxa"/>
          </w:tcPr>
          <w:p w14:paraId="3E63541F" w14:textId="77777777" w:rsidR="00B01394" w:rsidRPr="00B01394" w:rsidRDefault="00B01394" w:rsidP="00F41C24">
            <w:pPr>
              <w:spacing w:before="0" w:after="0"/>
              <w:ind w:left="113"/>
              <w:jc w:val="right"/>
              <w:rPr>
                <w:bCs/>
                <w:lang w:val="en-US"/>
              </w:rPr>
            </w:pPr>
            <w:r w:rsidRPr="00B01394">
              <w:rPr>
                <w:bCs/>
                <w:lang w:val="en-US"/>
              </w:rPr>
              <w:t>30.200</w:t>
            </w:r>
          </w:p>
        </w:tc>
      </w:tr>
      <w:tr w:rsidR="00B01394" w:rsidRPr="00037A46" w14:paraId="2BB73DC6" w14:textId="77777777" w:rsidTr="00F41C24">
        <w:trPr>
          <w:trHeight w:val="300"/>
          <w:jc w:val="center"/>
        </w:trPr>
        <w:tc>
          <w:tcPr>
            <w:tcW w:w="1305" w:type="dxa"/>
            <w:shd w:val="clear" w:color="auto" w:fill="C0C0C0"/>
            <w:noWrap/>
            <w:vAlign w:val="bottom"/>
          </w:tcPr>
          <w:p w14:paraId="07B3DDB2" w14:textId="77777777" w:rsidR="00B01394" w:rsidRPr="00037A46" w:rsidRDefault="00B01394" w:rsidP="00F41C24">
            <w:pPr>
              <w:spacing w:before="0" w:after="0"/>
              <w:ind w:hanging="764"/>
              <w:jc w:val="right"/>
              <w:rPr>
                <w:b/>
                <w:bCs/>
                <w:lang w:val="en-US"/>
              </w:rPr>
            </w:pPr>
            <w:r w:rsidRPr="00037A46">
              <w:rPr>
                <w:b/>
                <w:bCs/>
                <w:lang w:val="en-US"/>
              </w:rPr>
              <w:t>6</w:t>
            </w:r>
          </w:p>
        </w:tc>
        <w:tc>
          <w:tcPr>
            <w:tcW w:w="1333" w:type="dxa"/>
            <w:noWrap/>
            <w:vAlign w:val="bottom"/>
          </w:tcPr>
          <w:p w14:paraId="1A4CB668" w14:textId="77777777" w:rsidR="00B01394" w:rsidRPr="00037A46" w:rsidRDefault="00B01394" w:rsidP="00F41C24">
            <w:pPr>
              <w:spacing w:before="0" w:after="0"/>
              <w:ind w:left="214"/>
              <w:jc w:val="right"/>
              <w:rPr>
                <w:bCs/>
                <w:lang w:val="en-US"/>
              </w:rPr>
            </w:pPr>
            <w:r w:rsidRPr="00037A46">
              <w:rPr>
                <w:bCs/>
                <w:lang w:val="en-US"/>
              </w:rPr>
              <w:t>25.550</w:t>
            </w:r>
          </w:p>
        </w:tc>
        <w:tc>
          <w:tcPr>
            <w:tcW w:w="1275" w:type="dxa"/>
            <w:noWrap/>
            <w:vAlign w:val="bottom"/>
          </w:tcPr>
          <w:p w14:paraId="0BFE64DD" w14:textId="77777777" w:rsidR="00B01394" w:rsidRPr="00037A46" w:rsidRDefault="00B01394" w:rsidP="00F41C24">
            <w:pPr>
              <w:spacing w:before="0" w:after="0"/>
              <w:ind w:left="156"/>
              <w:jc w:val="right"/>
              <w:rPr>
                <w:bCs/>
                <w:lang w:val="en-US"/>
              </w:rPr>
            </w:pPr>
            <w:r w:rsidRPr="00037A46">
              <w:rPr>
                <w:bCs/>
                <w:lang w:val="en-US"/>
              </w:rPr>
              <w:t>27.800</w:t>
            </w:r>
          </w:p>
        </w:tc>
        <w:tc>
          <w:tcPr>
            <w:tcW w:w="1232" w:type="dxa"/>
            <w:noWrap/>
            <w:vAlign w:val="bottom"/>
          </w:tcPr>
          <w:p w14:paraId="397024CA" w14:textId="77777777" w:rsidR="00B01394" w:rsidRPr="00037A46" w:rsidRDefault="00B01394" w:rsidP="00F41C24">
            <w:pPr>
              <w:spacing w:before="0" w:after="0"/>
              <w:ind w:left="113"/>
              <w:jc w:val="right"/>
              <w:rPr>
                <w:bCs/>
                <w:lang w:val="en-US"/>
              </w:rPr>
            </w:pPr>
            <w:r w:rsidRPr="00037A46">
              <w:rPr>
                <w:bCs/>
                <w:lang w:val="en-US"/>
              </w:rPr>
              <w:t>30.000</w:t>
            </w:r>
          </w:p>
        </w:tc>
        <w:tc>
          <w:tcPr>
            <w:tcW w:w="1232" w:type="dxa"/>
            <w:vAlign w:val="bottom"/>
          </w:tcPr>
          <w:p w14:paraId="1E401D32" w14:textId="77777777" w:rsidR="00B01394" w:rsidRPr="00B01394" w:rsidRDefault="00B01394" w:rsidP="00F41C24">
            <w:pPr>
              <w:spacing w:before="0" w:after="0"/>
              <w:ind w:left="113"/>
              <w:jc w:val="right"/>
              <w:rPr>
                <w:bCs/>
                <w:lang w:val="en-US"/>
              </w:rPr>
            </w:pPr>
            <w:r w:rsidRPr="00B01394">
              <w:rPr>
                <w:bCs/>
                <w:lang w:val="en-US"/>
              </w:rPr>
              <w:t>30.000</w:t>
            </w:r>
          </w:p>
        </w:tc>
        <w:tc>
          <w:tcPr>
            <w:tcW w:w="1232" w:type="dxa"/>
          </w:tcPr>
          <w:p w14:paraId="1CACC967" w14:textId="77777777" w:rsidR="00B01394" w:rsidRPr="00B01394" w:rsidRDefault="00B01394" w:rsidP="00F41C24">
            <w:pPr>
              <w:spacing w:before="0" w:after="0"/>
              <w:ind w:left="113"/>
              <w:jc w:val="right"/>
              <w:rPr>
                <w:bCs/>
                <w:lang w:val="en-US"/>
              </w:rPr>
            </w:pPr>
            <w:r w:rsidRPr="00B01394">
              <w:rPr>
                <w:bCs/>
                <w:lang w:val="en-US"/>
              </w:rPr>
              <w:t>31.700</w:t>
            </w:r>
          </w:p>
        </w:tc>
      </w:tr>
      <w:tr w:rsidR="00B01394" w:rsidRPr="00037A46" w14:paraId="32AD1B7B" w14:textId="77777777" w:rsidTr="00F41C24">
        <w:trPr>
          <w:trHeight w:val="300"/>
          <w:jc w:val="center"/>
        </w:trPr>
        <w:tc>
          <w:tcPr>
            <w:tcW w:w="1305" w:type="dxa"/>
            <w:shd w:val="clear" w:color="auto" w:fill="C0C0C0"/>
            <w:noWrap/>
            <w:vAlign w:val="bottom"/>
          </w:tcPr>
          <w:p w14:paraId="2FC9A81A" w14:textId="77777777" w:rsidR="00B01394" w:rsidRPr="00037A46" w:rsidRDefault="00B01394" w:rsidP="00F41C24">
            <w:pPr>
              <w:spacing w:before="0" w:after="0"/>
              <w:ind w:hanging="764"/>
              <w:jc w:val="right"/>
              <w:rPr>
                <w:b/>
                <w:bCs/>
                <w:lang w:val="en-US"/>
              </w:rPr>
            </w:pPr>
            <w:r w:rsidRPr="00037A46">
              <w:rPr>
                <w:b/>
                <w:bCs/>
                <w:lang w:val="en-US"/>
              </w:rPr>
              <w:t>7</w:t>
            </w:r>
          </w:p>
        </w:tc>
        <w:tc>
          <w:tcPr>
            <w:tcW w:w="1333" w:type="dxa"/>
            <w:noWrap/>
            <w:vAlign w:val="bottom"/>
          </w:tcPr>
          <w:p w14:paraId="6642B8BF" w14:textId="77777777" w:rsidR="00B01394" w:rsidRPr="00037A46" w:rsidRDefault="00B01394" w:rsidP="00F41C24">
            <w:pPr>
              <w:spacing w:before="0" w:after="0"/>
              <w:ind w:left="214"/>
              <w:jc w:val="right"/>
              <w:rPr>
                <w:bCs/>
                <w:lang w:val="en-US"/>
              </w:rPr>
            </w:pPr>
            <w:r w:rsidRPr="00037A46">
              <w:rPr>
                <w:bCs/>
                <w:lang w:val="en-US"/>
              </w:rPr>
              <w:t>25.550</w:t>
            </w:r>
          </w:p>
        </w:tc>
        <w:tc>
          <w:tcPr>
            <w:tcW w:w="1275" w:type="dxa"/>
            <w:noWrap/>
            <w:vAlign w:val="bottom"/>
          </w:tcPr>
          <w:p w14:paraId="28B66648" w14:textId="77777777" w:rsidR="00B01394" w:rsidRPr="00037A46" w:rsidRDefault="00B01394" w:rsidP="00F41C24">
            <w:pPr>
              <w:spacing w:before="0" w:after="0"/>
              <w:ind w:left="156"/>
              <w:jc w:val="right"/>
              <w:rPr>
                <w:bCs/>
                <w:lang w:val="en-US"/>
              </w:rPr>
            </w:pPr>
            <w:r w:rsidRPr="00037A46">
              <w:rPr>
                <w:bCs/>
                <w:lang w:val="en-US"/>
              </w:rPr>
              <w:t>27.800</w:t>
            </w:r>
          </w:p>
        </w:tc>
        <w:tc>
          <w:tcPr>
            <w:tcW w:w="1232" w:type="dxa"/>
            <w:noWrap/>
            <w:vAlign w:val="bottom"/>
          </w:tcPr>
          <w:p w14:paraId="787EAB66" w14:textId="77777777" w:rsidR="00B01394" w:rsidRPr="00037A46" w:rsidRDefault="00B01394" w:rsidP="00F41C24">
            <w:pPr>
              <w:spacing w:before="0" w:after="0"/>
              <w:ind w:left="113"/>
              <w:jc w:val="right"/>
              <w:rPr>
                <w:bCs/>
                <w:lang w:val="en-US"/>
              </w:rPr>
            </w:pPr>
            <w:r w:rsidRPr="00037A46">
              <w:rPr>
                <w:bCs/>
                <w:lang w:val="en-US"/>
              </w:rPr>
              <w:t>30.000</w:t>
            </w:r>
          </w:p>
        </w:tc>
        <w:tc>
          <w:tcPr>
            <w:tcW w:w="1232" w:type="dxa"/>
            <w:vAlign w:val="bottom"/>
          </w:tcPr>
          <w:p w14:paraId="2E8260B1" w14:textId="77777777" w:rsidR="00B01394" w:rsidRPr="00B01394" w:rsidRDefault="00B01394" w:rsidP="00F41C24">
            <w:pPr>
              <w:spacing w:before="0" w:after="0"/>
              <w:ind w:left="113"/>
              <w:jc w:val="right"/>
              <w:rPr>
                <w:bCs/>
                <w:lang w:val="en-US"/>
              </w:rPr>
            </w:pPr>
            <w:r w:rsidRPr="00B01394">
              <w:rPr>
                <w:bCs/>
                <w:lang w:val="en-US"/>
              </w:rPr>
              <w:t>30.000</w:t>
            </w:r>
          </w:p>
        </w:tc>
        <w:tc>
          <w:tcPr>
            <w:tcW w:w="1232" w:type="dxa"/>
          </w:tcPr>
          <w:p w14:paraId="5AC42ADC" w14:textId="77777777" w:rsidR="00B01394" w:rsidRPr="00B01394" w:rsidRDefault="00B01394" w:rsidP="00F41C24">
            <w:pPr>
              <w:spacing w:before="0" w:after="0"/>
              <w:ind w:left="113"/>
              <w:jc w:val="right"/>
              <w:rPr>
                <w:bCs/>
                <w:lang w:val="en-US"/>
              </w:rPr>
            </w:pPr>
            <w:r w:rsidRPr="00B01394">
              <w:rPr>
                <w:bCs/>
                <w:lang w:val="en-US"/>
              </w:rPr>
              <w:t>31.700</w:t>
            </w:r>
          </w:p>
        </w:tc>
      </w:tr>
      <w:tr w:rsidR="00B01394" w:rsidRPr="00037A46" w14:paraId="3B0D6C6E" w14:textId="77777777" w:rsidTr="00F41C24">
        <w:trPr>
          <w:trHeight w:val="300"/>
          <w:jc w:val="center"/>
        </w:trPr>
        <w:tc>
          <w:tcPr>
            <w:tcW w:w="1305" w:type="dxa"/>
            <w:shd w:val="clear" w:color="auto" w:fill="C0C0C0"/>
            <w:noWrap/>
            <w:vAlign w:val="bottom"/>
          </w:tcPr>
          <w:p w14:paraId="36040431" w14:textId="77777777" w:rsidR="00B01394" w:rsidRPr="00037A46" w:rsidRDefault="00B01394" w:rsidP="00F41C24">
            <w:pPr>
              <w:spacing w:before="0" w:after="0"/>
              <w:ind w:hanging="764"/>
              <w:jc w:val="right"/>
              <w:rPr>
                <w:b/>
                <w:bCs/>
                <w:lang w:val="en-US"/>
              </w:rPr>
            </w:pPr>
            <w:r w:rsidRPr="00037A46">
              <w:rPr>
                <w:b/>
                <w:bCs/>
                <w:lang w:val="en-US"/>
              </w:rPr>
              <w:t>8</w:t>
            </w:r>
          </w:p>
        </w:tc>
        <w:tc>
          <w:tcPr>
            <w:tcW w:w="1333" w:type="dxa"/>
            <w:noWrap/>
            <w:vAlign w:val="bottom"/>
          </w:tcPr>
          <w:p w14:paraId="5321A2B7" w14:textId="77777777" w:rsidR="00B01394" w:rsidRPr="00037A46" w:rsidRDefault="00B01394" w:rsidP="00F41C24">
            <w:pPr>
              <w:spacing w:before="0" w:after="0"/>
              <w:ind w:left="214"/>
              <w:jc w:val="right"/>
              <w:rPr>
                <w:bCs/>
                <w:lang w:val="en-US"/>
              </w:rPr>
            </w:pPr>
            <w:r w:rsidRPr="00037A46">
              <w:rPr>
                <w:bCs/>
                <w:lang w:val="en-US"/>
              </w:rPr>
              <w:t>25.550</w:t>
            </w:r>
          </w:p>
        </w:tc>
        <w:tc>
          <w:tcPr>
            <w:tcW w:w="1275" w:type="dxa"/>
            <w:noWrap/>
            <w:vAlign w:val="bottom"/>
          </w:tcPr>
          <w:p w14:paraId="4C6C3B4B" w14:textId="77777777" w:rsidR="00B01394" w:rsidRPr="00037A46" w:rsidRDefault="00B01394" w:rsidP="00F41C24">
            <w:pPr>
              <w:spacing w:before="0" w:after="0"/>
              <w:ind w:left="156"/>
              <w:jc w:val="right"/>
              <w:rPr>
                <w:bCs/>
                <w:lang w:val="en-US"/>
              </w:rPr>
            </w:pPr>
            <w:r w:rsidRPr="00037A46">
              <w:rPr>
                <w:bCs/>
                <w:lang w:val="en-US"/>
              </w:rPr>
              <w:t>27.800</w:t>
            </w:r>
          </w:p>
        </w:tc>
        <w:tc>
          <w:tcPr>
            <w:tcW w:w="1232" w:type="dxa"/>
            <w:noWrap/>
            <w:vAlign w:val="bottom"/>
          </w:tcPr>
          <w:p w14:paraId="6F2B8CE7" w14:textId="77777777" w:rsidR="00B01394" w:rsidRPr="00037A46" w:rsidRDefault="00B01394" w:rsidP="00F41C24">
            <w:pPr>
              <w:spacing w:before="0" w:after="0"/>
              <w:ind w:left="113"/>
              <w:jc w:val="right"/>
              <w:rPr>
                <w:bCs/>
                <w:lang w:val="en-US"/>
              </w:rPr>
            </w:pPr>
            <w:r w:rsidRPr="00037A46">
              <w:rPr>
                <w:bCs/>
                <w:lang w:val="en-US"/>
              </w:rPr>
              <w:t>30.000</w:t>
            </w:r>
          </w:p>
        </w:tc>
        <w:tc>
          <w:tcPr>
            <w:tcW w:w="1232" w:type="dxa"/>
            <w:vAlign w:val="bottom"/>
          </w:tcPr>
          <w:p w14:paraId="74C95FE4" w14:textId="77777777" w:rsidR="00B01394" w:rsidRPr="00B01394" w:rsidRDefault="00B01394" w:rsidP="00F41C24">
            <w:pPr>
              <w:spacing w:before="0" w:after="0"/>
              <w:ind w:left="113"/>
              <w:jc w:val="right"/>
              <w:rPr>
                <w:bCs/>
                <w:lang w:val="en-US"/>
              </w:rPr>
            </w:pPr>
            <w:r w:rsidRPr="00B01394">
              <w:rPr>
                <w:bCs/>
                <w:lang w:val="en-US"/>
              </w:rPr>
              <w:t>30.000</w:t>
            </w:r>
          </w:p>
        </w:tc>
        <w:tc>
          <w:tcPr>
            <w:tcW w:w="1232" w:type="dxa"/>
          </w:tcPr>
          <w:p w14:paraId="6C70B645" w14:textId="77777777" w:rsidR="00B01394" w:rsidRPr="00B01394" w:rsidRDefault="00B01394" w:rsidP="00F41C24">
            <w:pPr>
              <w:spacing w:before="0" w:after="0"/>
              <w:ind w:left="113"/>
              <w:jc w:val="right"/>
              <w:rPr>
                <w:bCs/>
                <w:lang w:val="en-US"/>
              </w:rPr>
            </w:pPr>
            <w:r w:rsidRPr="00B01394">
              <w:rPr>
                <w:bCs/>
                <w:lang w:val="en-US"/>
              </w:rPr>
              <w:t>31.700</w:t>
            </w:r>
          </w:p>
        </w:tc>
      </w:tr>
      <w:tr w:rsidR="00B01394" w:rsidRPr="00037A46" w14:paraId="6A99022A" w14:textId="77777777" w:rsidTr="00F41C24">
        <w:trPr>
          <w:trHeight w:val="300"/>
          <w:jc w:val="center"/>
        </w:trPr>
        <w:tc>
          <w:tcPr>
            <w:tcW w:w="1305" w:type="dxa"/>
            <w:shd w:val="clear" w:color="auto" w:fill="C0C0C0"/>
            <w:noWrap/>
            <w:vAlign w:val="bottom"/>
          </w:tcPr>
          <w:p w14:paraId="0D057914" w14:textId="77777777" w:rsidR="00B01394" w:rsidRPr="00037A46" w:rsidRDefault="00B01394" w:rsidP="00F41C24">
            <w:pPr>
              <w:spacing w:before="0" w:after="0"/>
              <w:ind w:hanging="764"/>
              <w:jc w:val="right"/>
              <w:rPr>
                <w:b/>
                <w:bCs/>
                <w:lang w:val="en-US"/>
              </w:rPr>
            </w:pPr>
            <w:r w:rsidRPr="00037A46">
              <w:rPr>
                <w:b/>
                <w:bCs/>
                <w:lang w:val="en-US"/>
              </w:rPr>
              <w:t>9</w:t>
            </w:r>
          </w:p>
        </w:tc>
        <w:tc>
          <w:tcPr>
            <w:tcW w:w="1333" w:type="dxa"/>
            <w:noWrap/>
            <w:vAlign w:val="bottom"/>
          </w:tcPr>
          <w:p w14:paraId="2602A1D3" w14:textId="77777777" w:rsidR="00B01394" w:rsidRPr="00037A46" w:rsidRDefault="00B01394" w:rsidP="00F41C24">
            <w:pPr>
              <w:spacing w:before="0" w:after="0"/>
              <w:ind w:left="214"/>
              <w:jc w:val="right"/>
              <w:rPr>
                <w:bCs/>
                <w:lang w:val="en-US"/>
              </w:rPr>
            </w:pPr>
            <w:r w:rsidRPr="00037A46">
              <w:rPr>
                <w:bCs/>
                <w:lang w:val="en-US"/>
              </w:rPr>
              <w:t>27.050</w:t>
            </w:r>
          </w:p>
        </w:tc>
        <w:tc>
          <w:tcPr>
            <w:tcW w:w="1275" w:type="dxa"/>
            <w:noWrap/>
            <w:vAlign w:val="bottom"/>
          </w:tcPr>
          <w:p w14:paraId="4E06DFE9" w14:textId="77777777" w:rsidR="00B01394" w:rsidRPr="00037A46" w:rsidRDefault="00B01394" w:rsidP="00F41C24">
            <w:pPr>
              <w:spacing w:before="0" w:after="0"/>
              <w:ind w:left="156"/>
              <w:jc w:val="right"/>
              <w:rPr>
                <w:bCs/>
                <w:lang w:val="en-US"/>
              </w:rPr>
            </w:pPr>
            <w:r w:rsidRPr="00037A46">
              <w:rPr>
                <w:bCs/>
                <w:lang w:val="en-US"/>
              </w:rPr>
              <w:t>29.300</w:t>
            </w:r>
          </w:p>
        </w:tc>
        <w:tc>
          <w:tcPr>
            <w:tcW w:w="1232" w:type="dxa"/>
            <w:noWrap/>
            <w:vAlign w:val="bottom"/>
          </w:tcPr>
          <w:p w14:paraId="78C8D9B0" w14:textId="77777777" w:rsidR="00B01394" w:rsidRPr="00037A46" w:rsidRDefault="00B01394" w:rsidP="00F41C24">
            <w:pPr>
              <w:spacing w:before="0" w:after="0"/>
              <w:ind w:left="113"/>
              <w:jc w:val="right"/>
              <w:rPr>
                <w:bCs/>
                <w:lang w:val="en-US"/>
              </w:rPr>
            </w:pPr>
            <w:r w:rsidRPr="00037A46">
              <w:rPr>
                <w:bCs/>
                <w:lang w:val="en-US"/>
              </w:rPr>
              <w:t>31.500</w:t>
            </w:r>
          </w:p>
        </w:tc>
        <w:tc>
          <w:tcPr>
            <w:tcW w:w="1232" w:type="dxa"/>
            <w:vAlign w:val="bottom"/>
          </w:tcPr>
          <w:p w14:paraId="4C54324B" w14:textId="77777777" w:rsidR="00B01394" w:rsidRPr="00B01394" w:rsidRDefault="00B01394" w:rsidP="00F41C24">
            <w:pPr>
              <w:spacing w:before="0" w:after="0"/>
              <w:ind w:left="113"/>
              <w:jc w:val="right"/>
              <w:rPr>
                <w:bCs/>
                <w:lang w:val="en-US"/>
              </w:rPr>
            </w:pPr>
            <w:r w:rsidRPr="00B01394">
              <w:rPr>
                <w:bCs/>
                <w:lang w:val="en-US"/>
              </w:rPr>
              <w:t>31.500</w:t>
            </w:r>
          </w:p>
        </w:tc>
        <w:tc>
          <w:tcPr>
            <w:tcW w:w="1232" w:type="dxa"/>
          </w:tcPr>
          <w:p w14:paraId="551A3CBD" w14:textId="77777777" w:rsidR="00B01394" w:rsidRPr="00B01394" w:rsidRDefault="00B01394" w:rsidP="00F41C24">
            <w:pPr>
              <w:spacing w:before="0" w:after="0"/>
              <w:ind w:left="113"/>
              <w:jc w:val="right"/>
              <w:rPr>
                <w:bCs/>
                <w:lang w:val="en-US"/>
              </w:rPr>
            </w:pPr>
            <w:r w:rsidRPr="00B01394">
              <w:rPr>
                <w:bCs/>
                <w:lang w:val="en-US"/>
              </w:rPr>
              <w:t>33.150</w:t>
            </w:r>
          </w:p>
        </w:tc>
      </w:tr>
      <w:tr w:rsidR="00B01394" w:rsidRPr="00037A46" w14:paraId="635E8330" w14:textId="77777777" w:rsidTr="00F41C24">
        <w:trPr>
          <w:trHeight w:val="300"/>
          <w:jc w:val="center"/>
        </w:trPr>
        <w:tc>
          <w:tcPr>
            <w:tcW w:w="1305" w:type="dxa"/>
            <w:shd w:val="clear" w:color="auto" w:fill="C0C0C0"/>
            <w:noWrap/>
            <w:vAlign w:val="bottom"/>
          </w:tcPr>
          <w:p w14:paraId="0AF4E77E" w14:textId="77777777" w:rsidR="00B01394" w:rsidRPr="00037A46" w:rsidRDefault="00B01394" w:rsidP="00F41C24">
            <w:pPr>
              <w:spacing w:before="0" w:after="0"/>
              <w:ind w:hanging="764"/>
              <w:jc w:val="right"/>
              <w:rPr>
                <w:b/>
                <w:bCs/>
                <w:lang w:val="en-US"/>
              </w:rPr>
            </w:pPr>
            <w:r w:rsidRPr="00037A46">
              <w:rPr>
                <w:b/>
                <w:bCs/>
                <w:lang w:val="en-US"/>
              </w:rPr>
              <w:t>10</w:t>
            </w:r>
          </w:p>
        </w:tc>
        <w:tc>
          <w:tcPr>
            <w:tcW w:w="1333" w:type="dxa"/>
            <w:noWrap/>
            <w:vAlign w:val="bottom"/>
          </w:tcPr>
          <w:p w14:paraId="70618544" w14:textId="77777777" w:rsidR="00B01394" w:rsidRPr="00037A46" w:rsidRDefault="00B01394" w:rsidP="00F41C24">
            <w:pPr>
              <w:spacing w:before="0" w:after="0"/>
              <w:ind w:left="214"/>
              <w:jc w:val="right"/>
              <w:rPr>
                <w:bCs/>
                <w:lang w:val="en-US"/>
              </w:rPr>
            </w:pPr>
            <w:r w:rsidRPr="00037A46">
              <w:rPr>
                <w:bCs/>
                <w:lang w:val="en-US"/>
              </w:rPr>
              <w:t>27.050</w:t>
            </w:r>
          </w:p>
        </w:tc>
        <w:tc>
          <w:tcPr>
            <w:tcW w:w="1275" w:type="dxa"/>
            <w:noWrap/>
            <w:vAlign w:val="bottom"/>
          </w:tcPr>
          <w:p w14:paraId="68428041" w14:textId="77777777" w:rsidR="00B01394" w:rsidRPr="00037A46" w:rsidRDefault="00B01394" w:rsidP="00F41C24">
            <w:pPr>
              <w:spacing w:before="0" w:after="0"/>
              <w:ind w:left="156"/>
              <w:jc w:val="right"/>
              <w:rPr>
                <w:bCs/>
                <w:lang w:val="en-US"/>
              </w:rPr>
            </w:pPr>
            <w:r w:rsidRPr="00037A46">
              <w:rPr>
                <w:bCs/>
                <w:lang w:val="en-US"/>
              </w:rPr>
              <w:t>29.300</w:t>
            </w:r>
          </w:p>
        </w:tc>
        <w:tc>
          <w:tcPr>
            <w:tcW w:w="1232" w:type="dxa"/>
            <w:noWrap/>
            <w:vAlign w:val="bottom"/>
          </w:tcPr>
          <w:p w14:paraId="5A3F35DF" w14:textId="77777777" w:rsidR="00B01394" w:rsidRPr="00037A46" w:rsidRDefault="00B01394" w:rsidP="00F41C24">
            <w:pPr>
              <w:spacing w:before="0" w:after="0"/>
              <w:ind w:left="113"/>
              <w:jc w:val="right"/>
              <w:rPr>
                <w:bCs/>
                <w:lang w:val="en-US"/>
              </w:rPr>
            </w:pPr>
            <w:r w:rsidRPr="00037A46">
              <w:rPr>
                <w:bCs/>
                <w:lang w:val="en-US"/>
              </w:rPr>
              <w:t>31.500</w:t>
            </w:r>
          </w:p>
        </w:tc>
        <w:tc>
          <w:tcPr>
            <w:tcW w:w="1232" w:type="dxa"/>
            <w:vAlign w:val="bottom"/>
          </w:tcPr>
          <w:p w14:paraId="46029A4E" w14:textId="77777777" w:rsidR="00B01394" w:rsidRPr="00B01394" w:rsidRDefault="00B01394" w:rsidP="00F41C24">
            <w:pPr>
              <w:spacing w:before="0" w:after="0"/>
              <w:ind w:left="113"/>
              <w:jc w:val="right"/>
              <w:rPr>
                <w:bCs/>
                <w:lang w:val="en-US"/>
              </w:rPr>
            </w:pPr>
            <w:r w:rsidRPr="00B01394">
              <w:rPr>
                <w:bCs/>
                <w:lang w:val="en-US"/>
              </w:rPr>
              <w:t>31.500</w:t>
            </w:r>
          </w:p>
        </w:tc>
        <w:tc>
          <w:tcPr>
            <w:tcW w:w="1232" w:type="dxa"/>
          </w:tcPr>
          <w:p w14:paraId="6CE68A8F" w14:textId="77777777" w:rsidR="00B01394" w:rsidRPr="00B01394" w:rsidRDefault="00B01394" w:rsidP="00F41C24">
            <w:pPr>
              <w:spacing w:before="0" w:after="0"/>
              <w:ind w:left="113"/>
              <w:jc w:val="right"/>
              <w:rPr>
                <w:bCs/>
                <w:lang w:val="en-US"/>
              </w:rPr>
            </w:pPr>
            <w:r w:rsidRPr="00B01394">
              <w:rPr>
                <w:bCs/>
                <w:lang w:val="en-US"/>
              </w:rPr>
              <w:t>33.150</w:t>
            </w:r>
          </w:p>
        </w:tc>
      </w:tr>
      <w:tr w:rsidR="00B01394" w:rsidRPr="00037A46" w14:paraId="2FD26850" w14:textId="77777777" w:rsidTr="00F41C24">
        <w:trPr>
          <w:trHeight w:val="300"/>
          <w:jc w:val="center"/>
        </w:trPr>
        <w:tc>
          <w:tcPr>
            <w:tcW w:w="1305" w:type="dxa"/>
            <w:shd w:val="clear" w:color="auto" w:fill="C0C0C0"/>
            <w:noWrap/>
            <w:vAlign w:val="bottom"/>
          </w:tcPr>
          <w:p w14:paraId="3BDBB05D" w14:textId="77777777" w:rsidR="00B01394" w:rsidRPr="00037A46" w:rsidRDefault="00B01394" w:rsidP="00F41C24">
            <w:pPr>
              <w:spacing w:before="0" w:after="0"/>
              <w:ind w:hanging="764"/>
              <w:jc w:val="right"/>
              <w:rPr>
                <w:b/>
                <w:bCs/>
                <w:lang w:val="en-US"/>
              </w:rPr>
            </w:pPr>
            <w:r w:rsidRPr="00037A46">
              <w:rPr>
                <w:b/>
                <w:bCs/>
                <w:lang w:val="en-US"/>
              </w:rPr>
              <w:t>11</w:t>
            </w:r>
          </w:p>
        </w:tc>
        <w:tc>
          <w:tcPr>
            <w:tcW w:w="1333" w:type="dxa"/>
            <w:noWrap/>
            <w:vAlign w:val="bottom"/>
          </w:tcPr>
          <w:p w14:paraId="7609B726" w14:textId="77777777" w:rsidR="00B01394" w:rsidRPr="00037A46" w:rsidRDefault="00B01394" w:rsidP="00F41C24">
            <w:pPr>
              <w:spacing w:before="0" w:after="0"/>
              <w:ind w:left="214"/>
              <w:jc w:val="right"/>
              <w:rPr>
                <w:bCs/>
                <w:lang w:val="en-US"/>
              </w:rPr>
            </w:pPr>
            <w:r w:rsidRPr="00037A46">
              <w:rPr>
                <w:bCs/>
                <w:lang w:val="en-US"/>
              </w:rPr>
              <w:t>27.050</w:t>
            </w:r>
          </w:p>
        </w:tc>
        <w:tc>
          <w:tcPr>
            <w:tcW w:w="1275" w:type="dxa"/>
            <w:noWrap/>
            <w:vAlign w:val="bottom"/>
          </w:tcPr>
          <w:p w14:paraId="6DC42510" w14:textId="77777777" w:rsidR="00B01394" w:rsidRPr="00037A46" w:rsidRDefault="00B01394" w:rsidP="00F41C24">
            <w:pPr>
              <w:spacing w:before="0" w:after="0"/>
              <w:ind w:left="156"/>
              <w:jc w:val="right"/>
              <w:rPr>
                <w:bCs/>
                <w:lang w:val="en-US"/>
              </w:rPr>
            </w:pPr>
            <w:r w:rsidRPr="00037A46">
              <w:rPr>
                <w:bCs/>
                <w:lang w:val="en-US"/>
              </w:rPr>
              <w:t>29.300</w:t>
            </w:r>
          </w:p>
        </w:tc>
        <w:tc>
          <w:tcPr>
            <w:tcW w:w="1232" w:type="dxa"/>
            <w:noWrap/>
            <w:vAlign w:val="bottom"/>
          </w:tcPr>
          <w:p w14:paraId="18CEC52F" w14:textId="77777777" w:rsidR="00B01394" w:rsidRPr="00037A46" w:rsidRDefault="00B01394" w:rsidP="00F41C24">
            <w:pPr>
              <w:spacing w:before="0" w:after="0"/>
              <w:ind w:left="113"/>
              <w:jc w:val="right"/>
              <w:rPr>
                <w:bCs/>
                <w:lang w:val="en-US"/>
              </w:rPr>
            </w:pPr>
            <w:r w:rsidRPr="00037A46">
              <w:rPr>
                <w:bCs/>
                <w:lang w:val="en-US"/>
              </w:rPr>
              <w:t>31.500</w:t>
            </w:r>
          </w:p>
        </w:tc>
        <w:tc>
          <w:tcPr>
            <w:tcW w:w="1232" w:type="dxa"/>
            <w:vAlign w:val="bottom"/>
          </w:tcPr>
          <w:p w14:paraId="4F6F64FB" w14:textId="77777777" w:rsidR="00B01394" w:rsidRPr="00B01394" w:rsidRDefault="00B01394" w:rsidP="00F41C24">
            <w:pPr>
              <w:spacing w:before="0" w:after="0"/>
              <w:ind w:left="113"/>
              <w:jc w:val="right"/>
              <w:rPr>
                <w:bCs/>
                <w:lang w:val="en-US"/>
              </w:rPr>
            </w:pPr>
            <w:r w:rsidRPr="00B01394">
              <w:rPr>
                <w:bCs/>
                <w:lang w:val="en-US"/>
              </w:rPr>
              <w:t>31.500</w:t>
            </w:r>
          </w:p>
        </w:tc>
        <w:tc>
          <w:tcPr>
            <w:tcW w:w="1232" w:type="dxa"/>
          </w:tcPr>
          <w:p w14:paraId="7F81C0E7" w14:textId="77777777" w:rsidR="00B01394" w:rsidRPr="00B01394" w:rsidRDefault="00B01394" w:rsidP="00F41C24">
            <w:pPr>
              <w:spacing w:before="0" w:after="0"/>
              <w:ind w:left="113"/>
              <w:jc w:val="right"/>
              <w:rPr>
                <w:bCs/>
                <w:lang w:val="en-US"/>
              </w:rPr>
            </w:pPr>
            <w:r w:rsidRPr="00B01394">
              <w:rPr>
                <w:bCs/>
                <w:lang w:val="en-US"/>
              </w:rPr>
              <w:t>33.150</w:t>
            </w:r>
          </w:p>
        </w:tc>
      </w:tr>
      <w:tr w:rsidR="00B01394" w:rsidRPr="00037A46" w14:paraId="132614CC" w14:textId="77777777" w:rsidTr="00F41C24">
        <w:trPr>
          <w:trHeight w:val="300"/>
          <w:jc w:val="center"/>
        </w:trPr>
        <w:tc>
          <w:tcPr>
            <w:tcW w:w="1305" w:type="dxa"/>
            <w:shd w:val="clear" w:color="auto" w:fill="C0C0C0"/>
            <w:noWrap/>
            <w:vAlign w:val="bottom"/>
          </w:tcPr>
          <w:p w14:paraId="35F88B6C" w14:textId="77777777" w:rsidR="00B01394" w:rsidRPr="00037A46" w:rsidRDefault="00B01394" w:rsidP="00F41C24">
            <w:pPr>
              <w:spacing w:before="0" w:after="0"/>
              <w:ind w:hanging="764"/>
              <w:jc w:val="right"/>
              <w:rPr>
                <w:b/>
                <w:bCs/>
                <w:lang w:val="en-US"/>
              </w:rPr>
            </w:pPr>
            <w:r w:rsidRPr="00037A46">
              <w:rPr>
                <w:b/>
                <w:bCs/>
                <w:lang w:val="en-US"/>
              </w:rPr>
              <w:t>12</w:t>
            </w:r>
          </w:p>
        </w:tc>
        <w:tc>
          <w:tcPr>
            <w:tcW w:w="1333" w:type="dxa"/>
            <w:noWrap/>
            <w:vAlign w:val="bottom"/>
          </w:tcPr>
          <w:p w14:paraId="1B097738" w14:textId="77777777" w:rsidR="00B01394" w:rsidRPr="00037A46" w:rsidRDefault="00B01394" w:rsidP="00F41C24">
            <w:pPr>
              <w:spacing w:before="0" w:after="0"/>
              <w:ind w:left="214"/>
              <w:jc w:val="right"/>
              <w:rPr>
                <w:bCs/>
                <w:lang w:val="en-US"/>
              </w:rPr>
            </w:pPr>
            <w:r w:rsidRPr="00037A46">
              <w:rPr>
                <w:bCs/>
                <w:lang w:val="en-US"/>
              </w:rPr>
              <w:t>28.550</w:t>
            </w:r>
          </w:p>
        </w:tc>
        <w:tc>
          <w:tcPr>
            <w:tcW w:w="1275" w:type="dxa"/>
            <w:noWrap/>
            <w:vAlign w:val="bottom"/>
          </w:tcPr>
          <w:p w14:paraId="552F4FAC" w14:textId="77777777" w:rsidR="00B01394" w:rsidRPr="00037A46" w:rsidRDefault="00B01394" w:rsidP="00F41C24">
            <w:pPr>
              <w:spacing w:before="0" w:after="0"/>
              <w:ind w:left="156"/>
              <w:jc w:val="right"/>
              <w:rPr>
                <w:bCs/>
                <w:lang w:val="en-US"/>
              </w:rPr>
            </w:pPr>
            <w:r w:rsidRPr="00037A46">
              <w:rPr>
                <w:bCs/>
                <w:lang w:val="en-US"/>
              </w:rPr>
              <w:t>30.750</w:t>
            </w:r>
          </w:p>
        </w:tc>
        <w:tc>
          <w:tcPr>
            <w:tcW w:w="1232" w:type="dxa"/>
            <w:noWrap/>
            <w:vAlign w:val="bottom"/>
          </w:tcPr>
          <w:p w14:paraId="13105965" w14:textId="77777777" w:rsidR="00B01394" w:rsidRPr="00037A46" w:rsidRDefault="00B01394" w:rsidP="00F41C24">
            <w:pPr>
              <w:spacing w:before="0" w:after="0"/>
              <w:ind w:left="113"/>
              <w:jc w:val="right"/>
              <w:rPr>
                <w:bCs/>
                <w:lang w:val="en-US"/>
              </w:rPr>
            </w:pPr>
            <w:r w:rsidRPr="00037A46">
              <w:rPr>
                <w:bCs/>
                <w:lang w:val="en-US"/>
              </w:rPr>
              <w:t>33.000</w:t>
            </w:r>
          </w:p>
        </w:tc>
        <w:tc>
          <w:tcPr>
            <w:tcW w:w="1232" w:type="dxa"/>
            <w:vAlign w:val="bottom"/>
          </w:tcPr>
          <w:p w14:paraId="75423E59" w14:textId="77777777" w:rsidR="00B01394" w:rsidRPr="00B01394" w:rsidRDefault="00B01394" w:rsidP="00F41C24">
            <w:pPr>
              <w:spacing w:before="0" w:after="0"/>
              <w:ind w:left="113"/>
              <w:jc w:val="right"/>
              <w:rPr>
                <w:bCs/>
                <w:lang w:val="en-US"/>
              </w:rPr>
            </w:pPr>
            <w:r w:rsidRPr="00B01394">
              <w:rPr>
                <w:bCs/>
                <w:lang w:val="en-US"/>
              </w:rPr>
              <w:t>33.000</w:t>
            </w:r>
          </w:p>
        </w:tc>
        <w:tc>
          <w:tcPr>
            <w:tcW w:w="1232" w:type="dxa"/>
          </w:tcPr>
          <w:p w14:paraId="095EC130" w14:textId="77777777" w:rsidR="00B01394" w:rsidRPr="00B01394" w:rsidRDefault="00B01394" w:rsidP="00F41C24">
            <w:pPr>
              <w:spacing w:before="0" w:after="0"/>
              <w:ind w:left="113"/>
              <w:jc w:val="right"/>
              <w:rPr>
                <w:bCs/>
                <w:lang w:val="en-US"/>
              </w:rPr>
            </w:pPr>
            <w:r w:rsidRPr="00B01394">
              <w:rPr>
                <w:bCs/>
                <w:lang w:val="en-US"/>
              </w:rPr>
              <w:t>34.650</w:t>
            </w:r>
          </w:p>
        </w:tc>
      </w:tr>
      <w:tr w:rsidR="00B01394" w:rsidRPr="00037A46" w14:paraId="7913C44C" w14:textId="77777777" w:rsidTr="00F41C24">
        <w:trPr>
          <w:trHeight w:val="300"/>
          <w:jc w:val="center"/>
        </w:trPr>
        <w:tc>
          <w:tcPr>
            <w:tcW w:w="1305" w:type="dxa"/>
            <w:shd w:val="clear" w:color="auto" w:fill="C0C0C0"/>
            <w:noWrap/>
            <w:vAlign w:val="bottom"/>
          </w:tcPr>
          <w:p w14:paraId="36F89F17" w14:textId="77777777" w:rsidR="00B01394" w:rsidRPr="00037A46" w:rsidRDefault="00B01394" w:rsidP="00F41C24">
            <w:pPr>
              <w:spacing w:before="0" w:after="0"/>
              <w:ind w:hanging="764"/>
              <w:jc w:val="right"/>
              <w:rPr>
                <w:b/>
                <w:bCs/>
                <w:lang w:val="en-US"/>
              </w:rPr>
            </w:pPr>
            <w:r w:rsidRPr="00037A46">
              <w:rPr>
                <w:b/>
                <w:bCs/>
                <w:lang w:val="en-US"/>
              </w:rPr>
              <w:t>13</w:t>
            </w:r>
          </w:p>
        </w:tc>
        <w:tc>
          <w:tcPr>
            <w:tcW w:w="1333" w:type="dxa"/>
            <w:noWrap/>
            <w:vAlign w:val="bottom"/>
          </w:tcPr>
          <w:p w14:paraId="7AFC0C0B" w14:textId="77777777" w:rsidR="00B01394" w:rsidRPr="00037A46" w:rsidRDefault="00B01394" w:rsidP="00F41C24">
            <w:pPr>
              <w:spacing w:before="0" w:after="0"/>
              <w:ind w:left="214"/>
              <w:jc w:val="right"/>
              <w:rPr>
                <w:bCs/>
                <w:lang w:val="en-US"/>
              </w:rPr>
            </w:pPr>
            <w:r w:rsidRPr="00037A46">
              <w:rPr>
                <w:bCs/>
                <w:lang w:val="en-US"/>
              </w:rPr>
              <w:t>28.550</w:t>
            </w:r>
          </w:p>
        </w:tc>
        <w:tc>
          <w:tcPr>
            <w:tcW w:w="1275" w:type="dxa"/>
            <w:noWrap/>
            <w:vAlign w:val="bottom"/>
          </w:tcPr>
          <w:p w14:paraId="32670845" w14:textId="77777777" w:rsidR="00B01394" w:rsidRPr="00037A46" w:rsidRDefault="00B01394" w:rsidP="00F41C24">
            <w:pPr>
              <w:spacing w:before="0" w:after="0"/>
              <w:ind w:left="156"/>
              <w:jc w:val="right"/>
              <w:rPr>
                <w:bCs/>
                <w:lang w:val="en-US"/>
              </w:rPr>
            </w:pPr>
            <w:r w:rsidRPr="00037A46">
              <w:rPr>
                <w:bCs/>
                <w:lang w:val="en-US"/>
              </w:rPr>
              <w:t>30.750</w:t>
            </w:r>
          </w:p>
        </w:tc>
        <w:tc>
          <w:tcPr>
            <w:tcW w:w="1232" w:type="dxa"/>
            <w:noWrap/>
            <w:vAlign w:val="bottom"/>
          </w:tcPr>
          <w:p w14:paraId="35B505BA" w14:textId="77777777" w:rsidR="00B01394" w:rsidRPr="00037A46" w:rsidRDefault="00B01394" w:rsidP="00F41C24">
            <w:pPr>
              <w:spacing w:before="0" w:after="0"/>
              <w:ind w:left="113"/>
              <w:jc w:val="right"/>
              <w:rPr>
                <w:bCs/>
                <w:lang w:val="en-US"/>
              </w:rPr>
            </w:pPr>
            <w:r w:rsidRPr="00037A46">
              <w:rPr>
                <w:bCs/>
                <w:lang w:val="en-US"/>
              </w:rPr>
              <w:t>33.000</w:t>
            </w:r>
          </w:p>
        </w:tc>
        <w:tc>
          <w:tcPr>
            <w:tcW w:w="1232" w:type="dxa"/>
            <w:vAlign w:val="bottom"/>
          </w:tcPr>
          <w:p w14:paraId="7CA96F0F" w14:textId="77777777" w:rsidR="00B01394" w:rsidRPr="00B01394" w:rsidRDefault="00B01394" w:rsidP="00F41C24">
            <w:pPr>
              <w:spacing w:before="0" w:after="0"/>
              <w:ind w:left="113"/>
              <w:jc w:val="right"/>
              <w:rPr>
                <w:bCs/>
                <w:lang w:val="en-US"/>
              </w:rPr>
            </w:pPr>
            <w:r w:rsidRPr="00B01394">
              <w:rPr>
                <w:bCs/>
                <w:lang w:val="en-US"/>
              </w:rPr>
              <w:t>33.000</w:t>
            </w:r>
          </w:p>
        </w:tc>
        <w:tc>
          <w:tcPr>
            <w:tcW w:w="1232" w:type="dxa"/>
          </w:tcPr>
          <w:p w14:paraId="0B167F06" w14:textId="77777777" w:rsidR="00B01394" w:rsidRPr="00B01394" w:rsidRDefault="00B01394" w:rsidP="00F41C24">
            <w:pPr>
              <w:spacing w:before="0" w:after="0"/>
              <w:ind w:left="113"/>
              <w:jc w:val="right"/>
              <w:rPr>
                <w:bCs/>
                <w:lang w:val="en-US"/>
              </w:rPr>
            </w:pPr>
            <w:r w:rsidRPr="00B01394">
              <w:rPr>
                <w:bCs/>
                <w:lang w:val="en-US"/>
              </w:rPr>
              <w:t>34.650</w:t>
            </w:r>
          </w:p>
        </w:tc>
      </w:tr>
      <w:tr w:rsidR="00B01394" w:rsidRPr="00037A46" w14:paraId="0A9E05C1" w14:textId="77777777" w:rsidTr="00F41C24">
        <w:trPr>
          <w:trHeight w:val="300"/>
          <w:jc w:val="center"/>
        </w:trPr>
        <w:tc>
          <w:tcPr>
            <w:tcW w:w="1305" w:type="dxa"/>
            <w:shd w:val="clear" w:color="auto" w:fill="C0C0C0"/>
            <w:noWrap/>
            <w:vAlign w:val="bottom"/>
          </w:tcPr>
          <w:p w14:paraId="065E7D84" w14:textId="77777777" w:rsidR="00B01394" w:rsidRPr="00037A46" w:rsidRDefault="00B01394" w:rsidP="00F41C24">
            <w:pPr>
              <w:spacing w:before="0" w:after="0"/>
              <w:ind w:hanging="764"/>
              <w:jc w:val="right"/>
              <w:rPr>
                <w:b/>
                <w:bCs/>
                <w:lang w:val="en-US"/>
              </w:rPr>
            </w:pPr>
            <w:r w:rsidRPr="00037A46">
              <w:rPr>
                <w:b/>
                <w:bCs/>
                <w:lang w:val="en-US"/>
              </w:rPr>
              <w:t>14</w:t>
            </w:r>
          </w:p>
        </w:tc>
        <w:tc>
          <w:tcPr>
            <w:tcW w:w="1333" w:type="dxa"/>
            <w:noWrap/>
            <w:vAlign w:val="bottom"/>
          </w:tcPr>
          <w:p w14:paraId="7201E5A0" w14:textId="77777777" w:rsidR="00B01394" w:rsidRPr="00037A46" w:rsidRDefault="00B01394" w:rsidP="00F41C24">
            <w:pPr>
              <w:spacing w:before="0" w:after="0"/>
              <w:ind w:left="214"/>
              <w:jc w:val="right"/>
              <w:rPr>
                <w:bCs/>
                <w:lang w:val="en-US"/>
              </w:rPr>
            </w:pPr>
            <w:r w:rsidRPr="00037A46">
              <w:rPr>
                <w:bCs/>
                <w:lang w:val="en-US"/>
              </w:rPr>
              <w:t>28.550</w:t>
            </w:r>
          </w:p>
        </w:tc>
        <w:tc>
          <w:tcPr>
            <w:tcW w:w="1275" w:type="dxa"/>
            <w:noWrap/>
            <w:vAlign w:val="bottom"/>
          </w:tcPr>
          <w:p w14:paraId="4DD31F90" w14:textId="77777777" w:rsidR="00B01394" w:rsidRPr="00037A46" w:rsidRDefault="00B01394" w:rsidP="00F41C24">
            <w:pPr>
              <w:spacing w:before="0" w:after="0"/>
              <w:ind w:left="156"/>
              <w:jc w:val="right"/>
              <w:rPr>
                <w:bCs/>
                <w:lang w:val="en-US"/>
              </w:rPr>
            </w:pPr>
            <w:r w:rsidRPr="00037A46">
              <w:rPr>
                <w:bCs/>
                <w:lang w:val="en-US"/>
              </w:rPr>
              <w:t>30.750</w:t>
            </w:r>
          </w:p>
        </w:tc>
        <w:tc>
          <w:tcPr>
            <w:tcW w:w="1232" w:type="dxa"/>
            <w:noWrap/>
            <w:vAlign w:val="bottom"/>
          </w:tcPr>
          <w:p w14:paraId="376EBBA4" w14:textId="77777777" w:rsidR="00B01394" w:rsidRPr="00037A46" w:rsidRDefault="00B01394" w:rsidP="00F41C24">
            <w:pPr>
              <w:spacing w:before="0" w:after="0"/>
              <w:ind w:left="113"/>
              <w:jc w:val="right"/>
              <w:rPr>
                <w:bCs/>
                <w:lang w:val="en-US"/>
              </w:rPr>
            </w:pPr>
            <w:r w:rsidRPr="00037A46">
              <w:rPr>
                <w:bCs/>
                <w:lang w:val="en-US"/>
              </w:rPr>
              <w:t>33.000</w:t>
            </w:r>
          </w:p>
        </w:tc>
        <w:tc>
          <w:tcPr>
            <w:tcW w:w="1232" w:type="dxa"/>
            <w:vAlign w:val="bottom"/>
          </w:tcPr>
          <w:p w14:paraId="2E2164BC" w14:textId="77777777" w:rsidR="00B01394" w:rsidRPr="00B01394" w:rsidRDefault="00B01394" w:rsidP="00F41C24">
            <w:pPr>
              <w:spacing w:before="0" w:after="0"/>
              <w:ind w:left="113"/>
              <w:jc w:val="right"/>
              <w:rPr>
                <w:bCs/>
                <w:lang w:val="en-US"/>
              </w:rPr>
            </w:pPr>
            <w:r w:rsidRPr="00B01394">
              <w:rPr>
                <w:bCs/>
                <w:lang w:val="en-US"/>
              </w:rPr>
              <w:t>33.000</w:t>
            </w:r>
          </w:p>
        </w:tc>
        <w:tc>
          <w:tcPr>
            <w:tcW w:w="1232" w:type="dxa"/>
          </w:tcPr>
          <w:p w14:paraId="52225830" w14:textId="77777777" w:rsidR="00B01394" w:rsidRPr="00B01394" w:rsidRDefault="00B01394" w:rsidP="00F41C24">
            <w:pPr>
              <w:spacing w:before="0" w:after="0"/>
              <w:ind w:left="113"/>
              <w:jc w:val="right"/>
              <w:rPr>
                <w:bCs/>
                <w:lang w:val="en-US"/>
              </w:rPr>
            </w:pPr>
            <w:r w:rsidRPr="00B01394">
              <w:rPr>
                <w:bCs/>
                <w:lang w:val="en-US"/>
              </w:rPr>
              <w:t>34.650</w:t>
            </w:r>
          </w:p>
        </w:tc>
      </w:tr>
      <w:tr w:rsidR="00B01394" w:rsidRPr="00037A46" w14:paraId="15400816" w14:textId="77777777" w:rsidTr="00F41C24">
        <w:trPr>
          <w:trHeight w:val="300"/>
          <w:jc w:val="center"/>
        </w:trPr>
        <w:tc>
          <w:tcPr>
            <w:tcW w:w="1305" w:type="dxa"/>
            <w:shd w:val="clear" w:color="auto" w:fill="C0C0C0"/>
            <w:noWrap/>
            <w:vAlign w:val="bottom"/>
          </w:tcPr>
          <w:p w14:paraId="6B4F6832" w14:textId="77777777" w:rsidR="00B01394" w:rsidRPr="00037A46" w:rsidRDefault="00B01394" w:rsidP="00F41C24">
            <w:pPr>
              <w:spacing w:before="0" w:after="0"/>
              <w:ind w:hanging="764"/>
              <w:jc w:val="right"/>
              <w:rPr>
                <w:b/>
                <w:bCs/>
                <w:lang w:val="en-US"/>
              </w:rPr>
            </w:pPr>
            <w:r w:rsidRPr="00037A46">
              <w:rPr>
                <w:b/>
                <w:bCs/>
                <w:lang w:val="en-US"/>
              </w:rPr>
              <w:t>15</w:t>
            </w:r>
          </w:p>
        </w:tc>
        <w:tc>
          <w:tcPr>
            <w:tcW w:w="1333" w:type="dxa"/>
            <w:noWrap/>
            <w:vAlign w:val="bottom"/>
          </w:tcPr>
          <w:p w14:paraId="605D3103" w14:textId="77777777" w:rsidR="00B01394" w:rsidRPr="00037A46" w:rsidRDefault="00B01394" w:rsidP="00F41C24">
            <w:pPr>
              <w:spacing w:before="0" w:after="0"/>
              <w:ind w:left="214"/>
              <w:jc w:val="right"/>
              <w:rPr>
                <w:bCs/>
                <w:lang w:val="en-US"/>
              </w:rPr>
            </w:pPr>
            <w:r w:rsidRPr="00037A46">
              <w:rPr>
                <w:bCs/>
                <w:lang w:val="en-US"/>
              </w:rPr>
              <w:t>30.000</w:t>
            </w:r>
          </w:p>
        </w:tc>
        <w:tc>
          <w:tcPr>
            <w:tcW w:w="1275" w:type="dxa"/>
            <w:noWrap/>
            <w:vAlign w:val="bottom"/>
          </w:tcPr>
          <w:p w14:paraId="722E1AD3" w14:textId="77777777" w:rsidR="00B01394" w:rsidRPr="00037A46" w:rsidRDefault="00B01394" w:rsidP="00F41C24">
            <w:pPr>
              <w:spacing w:before="0" w:after="0"/>
              <w:ind w:left="156"/>
              <w:jc w:val="right"/>
              <w:rPr>
                <w:bCs/>
                <w:lang w:val="en-US"/>
              </w:rPr>
            </w:pPr>
            <w:r w:rsidRPr="00037A46">
              <w:rPr>
                <w:bCs/>
                <w:lang w:val="en-US"/>
              </w:rPr>
              <w:t>32.250</w:t>
            </w:r>
          </w:p>
        </w:tc>
        <w:tc>
          <w:tcPr>
            <w:tcW w:w="1232" w:type="dxa"/>
            <w:noWrap/>
            <w:vAlign w:val="bottom"/>
          </w:tcPr>
          <w:p w14:paraId="6DC80F94" w14:textId="77777777" w:rsidR="00B01394" w:rsidRPr="00037A46" w:rsidRDefault="00B01394" w:rsidP="00F41C24">
            <w:pPr>
              <w:spacing w:before="0" w:after="0"/>
              <w:ind w:left="113"/>
              <w:jc w:val="right"/>
              <w:rPr>
                <w:bCs/>
                <w:lang w:val="en-US"/>
              </w:rPr>
            </w:pPr>
            <w:r w:rsidRPr="00037A46">
              <w:rPr>
                <w:bCs/>
                <w:lang w:val="en-US"/>
              </w:rPr>
              <w:t>34.500</w:t>
            </w:r>
          </w:p>
        </w:tc>
        <w:tc>
          <w:tcPr>
            <w:tcW w:w="1232" w:type="dxa"/>
            <w:vAlign w:val="bottom"/>
          </w:tcPr>
          <w:p w14:paraId="2F0A9595" w14:textId="77777777" w:rsidR="00B01394" w:rsidRPr="00B01394" w:rsidRDefault="00B01394" w:rsidP="00F41C24">
            <w:pPr>
              <w:spacing w:before="0" w:after="0"/>
              <w:ind w:left="113"/>
              <w:jc w:val="right"/>
              <w:rPr>
                <w:bCs/>
                <w:lang w:val="en-US"/>
              </w:rPr>
            </w:pPr>
            <w:r w:rsidRPr="00B01394">
              <w:rPr>
                <w:bCs/>
                <w:lang w:val="en-US"/>
              </w:rPr>
              <w:t>34.500</w:t>
            </w:r>
          </w:p>
        </w:tc>
        <w:tc>
          <w:tcPr>
            <w:tcW w:w="1232" w:type="dxa"/>
          </w:tcPr>
          <w:p w14:paraId="44192F80" w14:textId="77777777" w:rsidR="00B01394" w:rsidRPr="00B01394" w:rsidRDefault="00B01394" w:rsidP="00F41C24">
            <w:pPr>
              <w:spacing w:before="0" w:after="0"/>
              <w:ind w:left="113"/>
              <w:jc w:val="right"/>
              <w:rPr>
                <w:bCs/>
                <w:lang w:val="en-US"/>
              </w:rPr>
            </w:pPr>
            <w:r w:rsidRPr="00B01394">
              <w:rPr>
                <w:bCs/>
                <w:lang w:val="en-US"/>
              </w:rPr>
              <w:t>36.150</w:t>
            </w:r>
          </w:p>
        </w:tc>
      </w:tr>
      <w:tr w:rsidR="00B01394" w:rsidRPr="00037A46" w14:paraId="2065AB4F" w14:textId="77777777" w:rsidTr="00F41C24">
        <w:trPr>
          <w:trHeight w:val="300"/>
          <w:jc w:val="center"/>
        </w:trPr>
        <w:tc>
          <w:tcPr>
            <w:tcW w:w="1305" w:type="dxa"/>
            <w:shd w:val="clear" w:color="auto" w:fill="C0C0C0"/>
            <w:noWrap/>
            <w:vAlign w:val="bottom"/>
          </w:tcPr>
          <w:p w14:paraId="5482EB83" w14:textId="77777777" w:rsidR="00B01394" w:rsidRPr="00037A46" w:rsidRDefault="00B01394" w:rsidP="00F41C24">
            <w:pPr>
              <w:spacing w:before="0" w:after="0"/>
              <w:ind w:hanging="764"/>
              <w:jc w:val="right"/>
              <w:rPr>
                <w:b/>
                <w:bCs/>
                <w:lang w:val="en-US"/>
              </w:rPr>
            </w:pPr>
            <w:r w:rsidRPr="00037A46">
              <w:rPr>
                <w:b/>
                <w:bCs/>
                <w:lang w:val="en-US"/>
              </w:rPr>
              <w:t>16</w:t>
            </w:r>
          </w:p>
        </w:tc>
        <w:tc>
          <w:tcPr>
            <w:tcW w:w="1333" w:type="dxa"/>
            <w:noWrap/>
            <w:vAlign w:val="bottom"/>
          </w:tcPr>
          <w:p w14:paraId="3D91F148" w14:textId="77777777" w:rsidR="00B01394" w:rsidRPr="00037A46" w:rsidRDefault="00B01394" w:rsidP="00F41C24">
            <w:pPr>
              <w:spacing w:before="0" w:after="0"/>
              <w:ind w:left="214"/>
              <w:jc w:val="right"/>
              <w:rPr>
                <w:bCs/>
                <w:lang w:val="en-US"/>
              </w:rPr>
            </w:pPr>
            <w:r w:rsidRPr="00037A46">
              <w:rPr>
                <w:bCs/>
                <w:lang w:val="en-US"/>
              </w:rPr>
              <w:t>30.000</w:t>
            </w:r>
          </w:p>
        </w:tc>
        <w:tc>
          <w:tcPr>
            <w:tcW w:w="1275" w:type="dxa"/>
            <w:noWrap/>
            <w:vAlign w:val="bottom"/>
          </w:tcPr>
          <w:p w14:paraId="22E23831" w14:textId="77777777" w:rsidR="00B01394" w:rsidRPr="00037A46" w:rsidRDefault="00B01394" w:rsidP="00F41C24">
            <w:pPr>
              <w:spacing w:before="0" w:after="0"/>
              <w:ind w:left="156"/>
              <w:jc w:val="right"/>
              <w:rPr>
                <w:bCs/>
                <w:lang w:val="en-US"/>
              </w:rPr>
            </w:pPr>
            <w:r w:rsidRPr="00037A46">
              <w:rPr>
                <w:bCs/>
                <w:lang w:val="en-US"/>
              </w:rPr>
              <w:t>32.250</w:t>
            </w:r>
          </w:p>
        </w:tc>
        <w:tc>
          <w:tcPr>
            <w:tcW w:w="1232" w:type="dxa"/>
            <w:noWrap/>
            <w:vAlign w:val="bottom"/>
          </w:tcPr>
          <w:p w14:paraId="5B926BE4" w14:textId="77777777" w:rsidR="00B01394" w:rsidRPr="00037A46" w:rsidRDefault="00B01394" w:rsidP="00F41C24">
            <w:pPr>
              <w:spacing w:before="0" w:after="0"/>
              <w:ind w:left="113"/>
              <w:jc w:val="right"/>
              <w:rPr>
                <w:bCs/>
                <w:lang w:val="en-US"/>
              </w:rPr>
            </w:pPr>
            <w:r w:rsidRPr="00037A46">
              <w:rPr>
                <w:bCs/>
                <w:lang w:val="en-US"/>
              </w:rPr>
              <w:t>34.500</w:t>
            </w:r>
          </w:p>
        </w:tc>
        <w:tc>
          <w:tcPr>
            <w:tcW w:w="1232" w:type="dxa"/>
            <w:vAlign w:val="bottom"/>
          </w:tcPr>
          <w:p w14:paraId="1B41FD98" w14:textId="77777777" w:rsidR="00B01394" w:rsidRPr="00B01394" w:rsidRDefault="00B01394" w:rsidP="00F41C24">
            <w:pPr>
              <w:spacing w:before="0" w:after="0"/>
              <w:ind w:left="113"/>
              <w:jc w:val="right"/>
              <w:rPr>
                <w:bCs/>
                <w:lang w:val="en-US"/>
              </w:rPr>
            </w:pPr>
            <w:r w:rsidRPr="00B01394">
              <w:rPr>
                <w:bCs/>
                <w:lang w:val="en-US"/>
              </w:rPr>
              <w:t>34.500</w:t>
            </w:r>
          </w:p>
        </w:tc>
        <w:tc>
          <w:tcPr>
            <w:tcW w:w="1232" w:type="dxa"/>
          </w:tcPr>
          <w:p w14:paraId="4DAA7C0C" w14:textId="77777777" w:rsidR="00B01394" w:rsidRPr="00B01394" w:rsidRDefault="00B01394" w:rsidP="00F41C24">
            <w:pPr>
              <w:spacing w:before="0" w:after="0"/>
              <w:ind w:left="113"/>
              <w:jc w:val="right"/>
              <w:rPr>
                <w:bCs/>
                <w:lang w:val="en-US"/>
              </w:rPr>
            </w:pPr>
            <w:r w:rsidRPr="00B01394">
              <w:rPr>
                <w:bCs/>
                <w:lang w:val="en-US"/>
              </w:rPr>
              <w:t>36.150</w:t>
            </w:r>
          </w:p>
        </w:tc>
      </w:tr>
      <w:tr w:rsidR="00B01394" w:rsidRPr="00037A46" w14:paraId="35C43B09" w14:textId="77777777" w:rsidTr="00F41C24">
        <w:trPr>
          <w:trHeight w:val="300"/>
          <w:jc w:val="center"/>
        </w:trPr>
        <w:tc>
          <w:tcPr>
            <w:tcW w:w="1305" w:type="dxa"/>
            <w:shd w:val="clear" w:color="auto" w:fill="C0C0C0"/>
            <w:noWrap/>
            <w:vAlign w:val="bottom"/>
          </w:tcPr>
          <w:p w14:paraId="7769AC18" w14:textId="77777777" w:rsidR="00B01394" w:rsidRPr="00037A46" w:rsidRDefault="00B01394" w:rsidP="00F41C24">
            <w:pPr>
              <w:spacing w:before="0" w:after="0"/>
              <w:ind w:hanging="764"/>
              <w:jc w:val="right"/>
              <w:rPr>
                <w:b/>
                <w:bCs/>
                <w:lang w:val="en-US"/>
              </w:rPr>
            </w:pPr>
            <w:r w:rsidRPr="00037A46">
              <w:rPr>
                <w:b/>
                <w:bCs/>
                <w:lang w:val="en-US"/>
              </w:rPr>
              <w:t>17</w:t>
            </w:r>
          </w:p>
        </w:tc>
        <w:tc>
          <w:tcPr>
            <w:tcW w:w="1333" w:type="dxa"/>
            <w:noWrap/>
            <w:vAlign w:val="bottom"/>
          </w:tcPr>
          <w:p w14:paraId="2BFC0FFA" w14:textId="77777777" w:rsidR="00B01394" w:rsidRPr="00037A46" w:rsidRDefault="00B01394" w:rsidP="00F41C24">
            <w:pPr>
              <w:spacing w:before="0" w:after="0"/>
              <w:ind w:left="214"/>
              <w:jc w:val="right"/>
              <w:rPr>
                <w:bCs/>
                <w:lang w:val="en-US"/>
              </w:rPr>
            </w:pPr>
            <w:r w:rsidRPr="00037A46">
              <w:rPr>
                <w:bCs/>
                <w:lang w:val="en-US"/>
              </w:rPr>
              <w:t>30.000</w:t>
            </w:r>
          </w:p>
        </w:tc>
        <w:tc>
          <w:tcPr>
            <w:tcW w:w="1275" w:type="dxa"/>
            <w:noWrap/>
            <w:vAlign w:val="bottom"/>
          </w:tcPr>
          <w:p w14:paraId="7FFDBC03" w14:textId="77777777" w:rsidR="00B01394" w:rsidRPr="00037A46" w:rsidRDefault="00B01394" w:rsidP="00F41C24">
            <w:pPr>
              <w:spacing w:before="0" w:after="0"/>
              <w:ind w:left="156"/>
              <w:jc w:val="right"/>
              <w:rPr>
                <w:bCs/>
                <w:lang w:val="en-US"/>
              </w:rPr>
            </w:pPr>
            <w:r w:rsidRPr="00037A46">
              <w:rPr>
                <w:bCs/>
                <w:lang w:val="en-US"/>
              </w:rPr>
              <w:t>32.250</w:t>
            </w:r>
          </w:p>
        </w:tc>
        <w:tc>
          <w:tcPr>
            <w:tcW w:w="1232" w:type="dxa"/>
            <w:noWrap/>
            <w:vAlign w:val="bottom"/>
          </w:tcPr>
          <w:p w14:paraId="4422C942" w14:textId="77777777" w:rsidR="00B01394" w:rsidRPr="00037A46" w:rsidRDefault="00B01394" w:rsidP="00F41C24">
            <w:pPr>
              <w:spacing w:before="0" w:after="0"/>
              <w:ind w:left="113"/>
              <w:jc w:val="right"/>
              <w:rPr>
                <w:bCs/>
                <w:lang w:val="en-US"/>
              </w:rPr>
            </w:pPr>
            <w:r w:rsidRPr="00037A46">
              <w:rPr>
                <w:bCs/>
                <w:lang w:val="en-US"/>
              </w:rPr>
              <w:t>34.500</w:t>
            </w:r>
          </w:p>
        </w:tc>
        <w:tc>
          <w:tcPr>
            <w:tcW w:w="1232" w:type="dxa"/>
            <w:vAlign w:val="bottom"/>
          </w:tcPr>
          <w:p w14:paraId="058FC0B9" w14:textId="77777777" w:rsidR="00B01394" w:rsidRPr="00B01394" w:rsidRDefault="00B01394" w:rsidP="00F41C24">
            <w:pPr>
              <w:spacing w:before="0" w:after="0"/>
              <w:ind w:left="113"/>
              <w:jc w:val="right"/>
              <w:rPr>
                <w:bCs/>
                <w:lang w:val="en-US"/>
              </w:rPr>
            </w:pPr>
            <w:r w:rsidRPr="00B01394">
              <w:rPr>
                <w:bCs/>
                <w:lang w:val="en-US"/>
              </w:rPr>
              <w:t>34.500</w:t>
            </w:r>
          </w:p>
        </w:tc>
        <w:tc>
          <w:tcPr>
            <w:tcW w:w="1232" w:type="dxa"/>
          </w:tcPr>
          <w:p w14:paraId="76E12137" w14:textId="77777777" w:rsidR="00B01394" w:rsidRPr="00B01394" w:rsidRDefault="00B01394" w:rsidP="00F41C24">
            <w:pPr>
              <w:spacing w:before="0" w:after="0"/>
              <w:ind w:left="113"/>
              <w:jc w:val="right"/>
              <w:rPr>
                <w:bCs/>
                <w:lang w:val="en-US"/>
              </w:rPr>
            </w:pPr>
            <w:r w:rsidRPr="00B01394">
              <w:rPr>
                <w:bCs/>
                <w:lang w:val="en-US"/>
              </w:rPr>
              <w:t>36.150</w:t>
            </w:r>
          </w:p>
        </w:tc>
      </w:tr>
      <w:tr w:rsidR="00B01394" w:rsidRPr="00037A46" w14:paraId="54C1EF92" w14:textId="77777777" w:rsidTr="00F41C24">
        <w:trPr>
          <w:trHeight w:val="300"/>
          <w:jc w:val="center"/>
        </w:trPr>
        <w:tc>
          <w:tcPr>
            <w:tcW w:w="1305" w:type="dxa"/>
            <w:shd w:val="clear" w:color="auto" w:fill="C0C0C0"/>
            <w:noWrap/>
            <w:vAlign w:val="bottom"/>
          </w:tcPr>
          <w:p w14:paraId="44198C14" w14:textId="77777777" w:rsidR="00B01394" w:rsidRPr="00037A46" w:rsidRDefault="00B01394" w:rsidP="00F41C24">
            <w:pPr>
              <w:spacing w:before="0" w:after="0"/>
              <w:ind w:hanging="764"/>
              <w:jc w:val="right"/>
              <w:rPr>
                <w:b/>
                <w:bCs/>
                <w:lang w:val="en-US"/>
              </w:rPr>
            </w:pPr>
            <w:r w:rsidRPr="00037A46">
              <w:rPr>
                <w:b/>
                <w:bCs/>
                <w:lang w:val="en-US"/>
              </w:rPr>
              <w:t>18</w:t>
            </w:r>
          </w:p>
        </w:tc>
        <w:tc>
          <w:tcPr>
            <w:tcW w:w="1333" w:type="dxa"/>
            <w:noWrap/>
            <w:vAlign w:val="bottom"/>
          </w:tcPr>
          <w:p w14:paraId="231FC3DE" w14:textId="77777777" w:rsidR="00B01394" w:rsidRPr="00037A46" w:rsidRDefault="00B01394" w:rsidP="00F41C24">
            <w:pPr>
              <w:spacing w:before="0" w:after="0"/>
              <w:ind w:left="214"/>
              <w:jc w:val="right"/>
              <w:rPr>
                <w:bCs/>
                <w:lang w:val="en-US"/>
              </w:rPr>
            </w:pPr>
            <w:r w:rsidRPr="00037A46">
              <w:rPr>
                <w:bCs/>
                <w:lang w:val="en-US"/>
              </w:rPr>
              <w:t>31.500</w:t>
            </w:r>
          </w:p>
        </w:tc>
        <w:tc>
          <w:tcPr>
            <w:tcW w:w="1275" w:type="dxa"/>
            <w:noWrap/>
            <w:vAlign w:val="bottom"/>
          </w:tcPr>
          <w:p w14:paraId="14A9E502" w14:textId="77777777" w:rsidR="00B01394" w:rsidRPr="00037A46" w:rsidRDefault="00B01394" w:rsidP="00F41C24">
            <w:pPr>
              <w:spacing w:before="0" w:after="0"/>
              <w:ind w:left="156"/>
              <w:jc w:val="right"/>
              <w:rPr>
                <w:bCs/>
                <w:lang w:val="en-US"/>
              </w:rPr>
            </w:pPr>
            <w:r w:rsidRPr="00037A46">
              <w:rPr>
                <w:bCs/>
                <w:lang w:val="en-US"/>
              </w:rPr>
              <w:t>33.750</w:t>
            </w:r>
          </w:p>
        </w:tc>
        <w:tc>
          <w:tcPr>
            <w:tcW w:w="1232" w:type="dxa"/>
            <w:noWrap/>
            <w:vAlign w:val="bottom"/>
          </w:tcPr>
          <w:p w14:paraId="54C32A88" w14:textId="77777777" w:rsidR="00B01394" w:rsidRPr="00037A46" w:rsidRDefault="00B01394" w:rsidP="00F41C24">
            <w:pPr>
              <w:spacing w:before="0" w:after="0"/>
              <w:ind w:left="113"/>
              <w:jc w:val="right"/>
              <w:rPr>
                <w:bCs/>
                <w:lang w:val="en-US"/>
              </w:rPr>
            </w:pPr>
            <w:r w:rsidRPr="00037A46">
              <w:rPr>
                <w:bCs/>
                <w:lang w:val="en-US"/>
              </w:rPr>
              <w:t>35.950</w:t>
            </w:r>
          </w:p>
        </w:tc>
        <w:tc>
          <w:tcPr>
            <w:tcW w:w="1232" w:type="dxa"/>
            <w:vAlign w:val="bottom"/>
          </w:tcPr>
          <w:p w14:paraId="5E439512" w14:textId="77777777" w:rsidR="00B01394" w:rsidRPr="00B01394" w:rsidRDefault="00B01394" w:rsidP="00F41C24">
            <w:pPr>
              <w:spacing w:before="0" w:after="0"/>
              <w:ind w:left="113"/>
              <w:jc w:val="right"/>
              <w:rPr>
                <w:bCs/>
                <w:lang w:val="en-US"/>
              </w:rPr>
            </w:pPr>
            <w:r w:rsidRPr="00B01394">
              <w:rPr>
                <w:bCs/>
                <w:lang w:val="en-US"/>
              </w:rPr>
              <w:t>35.950</w:t>
            </w:r>
          </w:p>
        </w:tc>
        <w:tc>
          <w:tcPr>
            <w:tcW w:w="1232" w:type="dxa"/>
          </w:tcPr>
          <w:p w14:paraId="61BAC26E" w14:textId="77777777" w:rsidR="00B01394" w:rsidRPr="00B01394" w:rsidRDefault="00B01394" w:rsidP="00F41C24">
            <w:pPr>
              <w:spacing w:before="0" w:after="0"/>
              <w:ind w:left="113"/>
              <w:jc w:val="right"/>
              <w:rPr>
                <w:bCs/>
                <w:lang w:val="en-US"/>
              </w:rPr>
            </w:pPr>
            <w:r w:rsidRPr="00B01394">
              <w:rPr>
                <w:bCs/>
                <w:lang w:val="en-US"/>
              </w:rPr>
              <w:t>37.650</w:t>
            </w:r>
          </w:p>
        </w:tc>
      </w:tr>
      <w:tr w:rsidR="00B01394" w:rsidRPr="00037A46" w14:paraId="2A6CE39F" w14:textId="77777777" w:rsidTr="00F41C24">
        <w:trPr>
          <w:trHeight w:val="300"/>
          <w:jc w:val="center"/>
        </w:trPr>
        <w:tc>
          <w:tcPr>
            <w:tcW w:w="1305" w:type="dxa"/>
            <w:shd w:val="clear" w:color="auto" w:fill="C0C0C0"/>
            <w:noWrap/>
            <w:vAlign w:val="bottom"/>
          </w:tcPr>
          <w:p w14:paraId="2F108650" w14:textId="77777777" w:rsidR="00B01394" w:rsidRPr="00037A46" w:rsidRDefault="00B01394" w:rsidP="00F41C24">
            <w:pPr>
              <w:spacing w:before="0" w:after="0"/>
              <w:ind w:hanging="764"/>
              <w:jc w:val="right"/>
              <w:rPr>
                <w:b/>
                <w:bCs/>
                <w:lang w:val="en-US"/>
              </w:rPr>
            </w:pPr>
            <w:r w:rsidRPr="00037A46">
              <w:rPr>
                <w:b/>
                <w:bCs/>
                <w:lang w:val="en-US"/>
              </w:rPr>
              <w:t>19</w:t>
            </w:r>
          </w:p>
        </w:tc>
        <w:tc>
          <w:tcPr>
            <w:tcW w:w="1333" w:type="dxa"/>
            <w:noWrap/>
            <w:vAlign w:val="bottom"/>
          </w:tcPr>
          <w:p w14:paraId="27FD6F79" w14:textId="77777777" w:rsidR="00B01394" w:rsidRPr="00037A46" w:rsidRDefault="00B01394" w:rsidP="00F41C24">
            <w:pPr>
              <w:spacing w:before="0" w:after="0"/>
              <w:ind w:left="214"/>
              <w:jc w:val="right"/>
              <w:rPr>
                <w:bCs/>
                <w:lang w:val="en-US"/>
              </w:rPr>
            </w:pPr>
            <w:r w:rsidRPr="00037A46">
              <w:rPr>
                <w:bCs/>
                <w:lang w:val="en-US"/>
              </w:rPr>
              <w:t>31.500</w:t>
            </w:r>
          </w:p>
        </w:tc>
        <w:tc>
          <w:tcPr>
            <w:tcW w:w="1275" w:type="dxa"/>
            <w:noWrap/>
            <w:vAlign w:val="bottom"/>
          </w:tcPr>
          <w:p w14:paraId="40AA4894" w14:textId="77777777" w:rsidR="00B01394" w:rsidRPr="00037A46" w:rsidRDefault="00B01394" w:rsidP="00F41C24">
            <w:pPr>
              <w:spacing w:before="0" w:after="0"/>
              <w:ind w:left="156"/>
              <w:jc w:val="right"/>
              <w:rPr>
                <w:bCs/>
                <w:lang w:val="en-US"/>
              </w:rPr>
            </w:pPr>
            <w:r w:rsidRPr="00037A46">
              <w:rPr>
                <w:bCs/>
                <w:lang w:val="en-US"/>
              </w:rPr>
              <w:t>33.750</w:t>
            </w:r>
          </w:p>
        </w:tc>
        <w:tc>
          <w:tcPr>
            <w:tcW w:w="1232" w:type="dxa"/>
            <w:noWrap/>
            <w:vAlign w:val="bottom"/>
          </w:tcPr>
          <w:p w14:paraId="5FAF2483" w14:textId="77777777" w:rsidR="00B01394" w:rsidRPr="00037A46" w:rsidRDefault="00B01394" w:rsidP="00F41C24">
            <w:pPr>
              <w:spacing w:before="0" w:after="0"/>
              <w:ind w:left="113"/>
              <w:jc w:val="right"/>
              <w:rPr>
                <w:bCs/>
                <w:lang w:val="en-US"/>
              </w:rPr>
            </w:pPr>
            <w:r w:rsidRPr="00037A46">
              <w:rPr>
                <w:bCs/>
                <w:lang w:val="en-US"/>
              </w:rPr>
              <w:t>35.950</w:t>
            </w:r>
          </w:p>
        </w:tc>
        <w:tc>
          <w:tcPr>
            <w:tcW w:w="1232" w:type="dxa"/>
            <w:vAlign w:val="bottom"/>
          </w:tcPr>
          <w:p w14:paraId="5D18B21F" w14:textId="77777777" w:rsidR="00B01394" w:rsidRPr="00B01394" w:rsidRDefault="00B01394" w:rsidP="00F41C24">
            <w:pPr>
              <w:spacing w:before="0" w:after="0"/>
              <w:ind w:left="113"/>
              <w:jc w:val="right"/>
              <w:rPr>
                <w:bCs/>
                <w:lang w:val="en-US"/>
              </w:rPr>
            </w:pPr>
            <w:r w:rsidRPr="00B01394">
              <w:rPr>
                <w:bCs/>
                <w:lang w:val="en-US"/>
              </w:rPr>
              <w:t>35.950</w:t>
            </w:r>
          </w:p>
        </w:tc>
        <w:tc>
          <w:tcPr>
            <w:tcW w:w="1232" w:type="dxa"/>
          </w:tcPr>
          <w:p w14:paraId="177624C2" w14:textId="77777777" w:rsidR="00B01394" w:rsidRPr="00B01394" w:rsidRDefault="00B01394" w:rsidP="00F41C24">
            <w:pPr>
              <w:spacing w:before="0" w:after="0"/>
              <w:ind w:left="113"/>
              <w:jc w:val="right"/>
              <w:rPr>
                <w:bCs/>
                <w:lang w:val="en-US"/>
              </w:rPr>
            </w:pPr>
            <w:r w:rsidRPr="00B01394">
              <w:rPr>
                <w:bCs/>
                <w:lang w:val="en-US"/>
              </w:rPr>
              <w:t>37.650</w:t>
            </w:r>
          </w:p>
        </w:tc>
      </w:tr>
      <w:tr w:rsidR="00B01394" w:rsidRPr="00037A46" w14:paraId="3E9C1777" w14:textId="77777777" w:rsidTr="00F41C24">
        <w:trPr>
          <w:trHeight w:val="300"/>
          <w:jc w:val="center"/>
        </w:trPr>
        <w:tc>
          <w:tcPr>
            <w:tcW w:w="1305" w:type="dxa"/>
            <w:shd w:val="clear" w:color="auto" w:fill="C0C0C0"/>
            <w:noWrap/>
            <w:vAlign w:val="bottom"/>
          </w:tcPr>
          <w:p w14:paraId="2E6506A1" w14:textId="77777777" w:rsidR="00B01394" w:rsidRPr="00037A46" w:rsidRDefault="00B01394" w:rsidP="00F41C24">
            <w:pPr>
              <w:spacing w:before="0" w:after="0"/>
              <w:ind w:hanging="764"/>
              <w:jc w:val="right"/>
              <w:rPr>
                <w:b/>
                <w:bCs/>
                <w:lang w:val="en-US"/>
              </w:rPr>
            </w:pPr>
            <w:r w:rsidRPr="00037A46">
              <w:rPr>
                <w:b/>
                <w:bCs/>
                <w:lang w:val="en-US"/>
              </w:rPr>
              <w:t>20</w:t>
            </w:r>
          </w:p>
        </w:tc>
        <w:tc>
          <w:tcPr>
            <w:tcW w:w="1333" w:type="dxa"/>
            <w:noWrap/>
            <w:vAlign w:val="bottom"/>
          </w:tcPr>
          <w:p w14:paraId="74BC2D58" w14:textId="77777777" w:rsidR="00B01394" w:rsidRPr="00037A46" w:rsidRDefault="00B01394" w:rsidP="00F41C24">
            <w:pPr>
              <w:spacing w:before="0" w:after="0"/>
              <w:ind w:left="214"/>
              <w:jc w:val="right"/>
              <w:rPr>
                <w:bCs/>
                <w:lang w:val="en-US"/>
              </w:rPr>
            </w:pPr>
            <w:r w:rsidRPr="00037A46">
              <w:rPr>
                <w:bCs/>
                <w:lang w:val="en-US"/>
              </w:rPr>
              <w:t>31.500</w:t>
            </w:r>
          </w:p>
        </w:tc>
        <w:tc>
          <w:tcPr>
            <w:tcW w:w="1275" w:type="dxa"/>
            <w:noWrap/>
            <w:vAlign w:val="bottom"/>
          </w:tcPr>
          <w:p w14:paraId="72248785" w14:textId="77777777" w:rsidR="00B01394" w:rsidRPr="00037A46" w:rsidRDefault="00B01394" w:rsidP="00F41C24">
            <w:pPr>
              <w:spacing w:before="0" w:after="0"/>
              <w:ind w:left="156"/>
              <w:jc w:val="right"/>
              <w:rPr>
                <w:bCs/>
                <w:lang w:val="en-US"/>
              </w:rPr>
            </w:pPr>
            <w:r w:rsidRPr="00037A46">
              <w:rPr>
                <w:bCs/>
                <w:lang w:val="en-US"/>
              </w:rPr>
              <w:t>33.750</w:t>
            </w:r>
          </w:p>
        </w:tc>
        <w:tc>
          <w:tcPr>
            <w:tcW w:w="1232" w:type="dxa"/>
            <w:noWrap/>
            <w:vAlign w:val="bottom"/>
          </w:tcPr>
          <w:p w14:paraId="7E6FF193" w14:textId="77777777" w:rsidR="00B01394" w:rsidRPr="00037A46" w:rsidRDefault="00B01394" w:rsidP="00F41C24">
            <w:pPr>
              <w:spacing w:before="0" w:after="0"/>
              <w:ind w:left="113"/>
              <w:jc w:val="right"/>
              <w:rPr>
                <w:bCs/>
                <w:lang w:val="en-US"/>
              </w:rPr>
            </w:pPr>
            <w:r w:rsidRPr="00037A46">
              <w:rPr>
                <w:bCs/>
                <w:lang w:val="en-US"/>
              </w:rPr>
              <w:t>35.950</w:t>
            </w:r>
          </w:p>
        </w:tc>
        <w:tc>
          <w:tcPr>
            <w:tcW w:w="1232" w:type="dxa"/>
            <w:vAlign w:val="bottom"/>
          </w:tcPr>
          <w:p w14:paraId="279382C6" w14:textId="77777777" w:rsidR="00B01394" w:rsidRPr="00B01394" w:rsidRDefault="00B01394" w:rsidP="00F41C24">
            <w:pPr>
              <w:spacing w:before="0" w:after="0"/>
              <w:ind w:left="113"/>
              <w:jc w:val="right"/>
              <w:rPr>
                <w:bCs/>
                <w:lang w:val="en-US"/>
              </w:rPr>
            </w:pPr>
            <w:r w:rsidRPr="00B01394">
              <w:rPr>
                <w:bCs/>
                <w:lang w:val="en-US"/>
              </w:rPr>
              <w:t>35.950</w:t>
            </w:r>
          </w:p>
        </w:tc>
        <w:tc>
          <w:tcPr>
            <w:tcW w:w="1232" w:type="dxa"/>
          </w:tcPr>
          <w:p w14:paraId="610CAED5" w14:textId="77777777" w:rsidR="00B01394" w:rsidRPr="00B01394" w:rsidRDefault="00B01394" w:rsidP="00F41C24">
            <w:pPr>
              <w:spacing w:before="0" w:after="0"/>
              <w:ind w:left="113"/>
              <w:jc w:val="right"/>
              <w:rPr>
                <w:bCs/>
                <w:lang w:val="en-US"/>
              </w:rPr>
            </w:pPr>
            <w:r w:rsidRPr="00B01394">
              <w:rPr>
                <w:bCs/>
                <w:lang w:val="en-US"/>
              </w:rPr>
              <w:t>37.650</w:t>
            </w:r>
          </w:p>
        </w:tc>
      </w:tr>
      <w:tr w:rsidR="00B01394" w:rsidRPr="00037A46" w14:paraId="3D57B929" w14:textId="77777777" w:rsidTr="00F41C24">
        <w:trPr>
          <w:trHeight w:val="312"/>
          <w:jc w:val="center"/>
        </w:trPr>
        <w:tc>
          <w:tcPr>
            <w:tcW w:w="1305" w:type="dxa"/>
            <w:shd w:val="clear" w:color="auto" w:fill="C0C0C0"/>
            <w:noWrap/>
            <w:vAlign w:val="bottom"/>
          </w:tcPr>
          <w:p w14:paraId="053D1443" w14:textId="77777777" w:rsidR="00B01394" w:rsidRPr="00037A46" w:rsidRDefault="00B01394" w:rsidP="00F41C24">
            <w:pPr>
              <w:spacing w:before="0" w:after="0"/>
              <w:ind w:hanging="764"/>
              <w:jc w:val="right"/>
              <w:rPr>
                <w:b/>
                <w:bCs/>
                <w:lang w:val="en-US"/>
              </w:rPr>
            </w:pPr>
            <w:r w:rsidRPr="00037A46">
              <w:rPr>
                <w:b/>
                <w:bCs/>
                <w:lang w:val="en-US"/>
              </w:rPr>
              <w:t>21</w:t>
            </w:r>
          </w:p>
        </w:tc>
        <w:tc>
          <w:tcPr>
            <w:tcW w:w="1333" w:type="dxa"/>
            <w:noWrap/>
            <w:vAlign w:val="bottom"/>
          </w:tcPr>
          <w:p w14:paraId="133F14A0" w14:textId="77777777" w:rsidR="00B01394" w:rsidRPr="00037A46" w:rsidRDefault="00B01394" w:rsidP="00F41C24">
            <w:pPr>
              <w:spacing w:before="0" w:after="0"/>
              <w:ind w:left="214"/>
              <w:jc w:val="right"/>
              <w:rPr>
                <w:bCs/>
                <w:lang w:val="en-US"/>
              </w:rPr>
            </w:pPr>
            <w:r w:rsidRPr="00037A46">
              <w:rPr>
                <w:bCs/>
                <w:lang w:val="en-US"/>
              </w:rPr>
              <w:t>32.750</w:t>
            </w:r>
          </w:p>
        </w:tc>
        <w:tc>
          <w:tcPr>
            <w:tcW w:w="1275" w:type="dxa"/>
            <w:noWrap/>
            <w:vAlign w:val="bottom"/>
          </w:tcPr>
          <w:p w14:paraId="76070022" w14:textId="77777777" w:rsidR="00B01394" w:rsidRPr="00037A46" w:rsidRDefault="00B01394" w:rsidP="00F41C24">
            <w:pPr>
              <w:spacing w:before="0" w:after="0"/>
              <w:ind w:left="156"/>
              <w:jc w:val="right"/>
              <w:rPr>
                <w:bCs/>
                <w:lang w:val="en-US"/>
              </w:rPr>
            </w:pPr>
            <w:r w:rsidRPr="00037A46">
              <w:rPr>
                <w:bCs/>
                <w:lang w:val="en-US"/>
              </w:rPr>
              <w:t>35.000</w:t>
            </w:r>
          </w:p>
        </w:tc>
        <w:tc>
          <w:tcPr>
            <w:tcW w:w="1232" w:type="dxa"/>
            <w:noWrap/>
            <w:vAlign w:val="bottom"/>
          </w:tcPr>
          <w:p w14:paraId="059D1988" w14:textId="77777777" w:rsidR="00B01394" w:rsidRPr="00037A46" w:rsidRDefault="00B01394" w:rsidP="00F41C24">
            <w:pPr>
              <w:spacing w:before="0" w:after="0"/>
              <w:ind w:left="113"/>
              <w:jc w:val="right"/>
              <w:rPr>
                <w:bCs/>
                <w:lang w:val="en-US"/>
              </w:rPr>
            </w:pPr>
            <w:r w:rsidRPr="00037A46">
              <w:rPr>
                <w:bCs/>
                <w:lang w:val="en-US"/>
              </w:rPr>
              <w:t>37.200</w:t>
            </w:r>
          </w:p>
        </w:tc>
        <w:tc>
          <w:tcPr>
            <w:tcW w:w="1232" w:type="dxa"/>
            <w:vAlign w:val="bottom"/>
          </w:tcPr>
          <w:p w14:paraId="76E92F93" w14:textId="77777777" w:rsidR="00B01394" w:rsidRPr="00B01394" w:rsidRDefault="00B01394" w:rsidP="00F41C24">
            <w:pPr>
              <w:spacing w:before="0" w:after="0"/>
              <w:ind w:left="113"/>
              <w:jc w:val="right"/>
              <w:rPr>
                <w:bCs/>
                <w:lang w:val="en-US"/>
              </w:rPr>
            </w:pPr>
            <w:r w:rsidRPr="00B01394">
              <w:rPr>
                <w:bCs/>
                <w:lang w:val="en-US"/>
              </w:rPr>
              <w:t>37.200</w:t>
            </w:r>
          </w:p>
        </w:tc>
        <w:tc>
          <w:tcPr>
            <w:tcW w:w="1232" w:type="dxa"/>
          </w:tcPr>
          <w:p w14:paraId="6AD30AF1" w14:textId="77777777" w:rsidR="00B01394" w:rsidRPr="00B01394" w:rsidRDefault="00B01394" w:rsidP="00F41C24">
            <w:pPr>
              <w:spacing w:before="0" w:after="0"/>
              <w:ind w:left="113"/>
              <w:jc w:val="right"/>
              <w:rPr>
                <w:bCs/>
                <w:lang w:val="en-US"/>
              </w:rPr>
            </w:pPr>
            <w:r w:rsidRPr="00B01394">
              <w:rPr>
                <w:bCs/>
                <w:lang w:val="en-US"/>
              </w:rPr>
              <w:t>38.850</w:t>
            </w:r>
          </w:p>
        </w:tc>
      </w:tr>
      <w:tr w:rsidR="00B01394" w:rsidRPr="00037A46" w14:paraId="6D80C628" w14:textId="77777777" w:rsidTr="00F41C24">
        <w:trPr>
          <w:trHeight w:val="300"/>
          <w:jc w:val="center"/>
        </w:trPr>
        <w:tc>
          <w:tcPr>
            <w:tcW w:w="1305" w:type="dxa"/>
            <w:shd w:val="clear" w:color="auto" w:fill="C0C0C0"/>
            <w:noWrap/>
            <w:vAlign w:val="bottom"/>
          </w:tcPr>
          <w:p w14:paraId="69672C3D" w14:textId="77777777" w:rsidR="00B01394" w:rsidRPr="00037A46" w:rsidRDefault="00B01394" w:rsidP="00F41C24">
            <w:pPr>
              <w:spacing w:before="0" w:after="0"/>
              <w:ind w:hanging="764"/>
              <w:jc w:val="right"/>
              <w:rPr>
                <w:b/>
                <w:bCs/>
                <w:lang w:val="en-US"/>
              </w:rPr>
            </w:pPr>
            <w:r w:rsidRPr="00037A46">
              <w:rPr>
                <w:b/>
                <w:bCs/>
                <w:lang w:val="en-US"/>
              </w:rPr>
              <w:t>22</w:t>
            </w:r>
          </w:p>
        </w:tc>
        <w:tc>
          <w:tcPr>
            <w:tcW w:w="1333" w:type="dxa"/>
            <w:noWrap/>
            <w:vAlign w:val="bottom"/>
          </w:tcPr>
          <w:p w14:paraId="361911E7" w14:textId="77777777" w:rsidR="00B01394" w:rsidRPr="00037A46" w:rsidRDefault="00B01394" w:rsidP="00F41C24">
            <w:pPr>
              <w:spacing w:before="0" w:after="0"/>
              <w:ind w:left="214"/>
              <w:jc w:val="right"/>
              <w:rPr>
                <w:bCs/>
                <w:lang w:val="en-US"/>
              </w:rPr>
            </w:pPr>
            <w:r w:rsidRPr="00037A46">
              <w:rPr>
                <w:bCs/>
                <w:lang w:val="en-US"/>
              </w:rPr>
              <w:t>32.750</w:t>
            </w:r>
          </w:p>
        </w:tc>
        <w:tc>
          <w:tcPr>
            <w:tcW w:w="1275" w:type="dxa"/>
            <w:noWrap/>
            <w:vAlign w:val="bottom"/>
          </w:tcPr>
          <w:p w14:paraId="7AD09A6A" w14:textId="77777777" w:rsidR="00B01394" w:rsidRPr="00037A46" w:rsidRDefault="00B01394" w:rsidP="00F41C24">
            <w:pPr>
              <w:spacing w:before="0" w:after="0"/>
              <w:ind w:left="156"/>
              <w:jc w:val="right"/>
              <w:rPr>
                <w:bCs/>
                <w:lang w:val="en-US"/>
              </w:rPr>
            </w:pPr>
            <w:r w:rsidRPr="00037A46">
              <w:rPr>
                <w:bCs/>
                <w:lang w:val="en-US"/>
              </w:rPr>
              <w:t>35.000</w:t>
            </w:r>
          </w:p>
        </w:tc>
        <w:tc>
          <w:tcPr>
            <w:tcW w:w="1232" w:type="dxa"/>
            <w:noWrap/>
            <w:vAlign w:val="bottom"/>
          </w:tcPr>
          <w:p w14:paraId="2FC0C9FF" w14:textId="77777777" w:rsidR="00B01394" w:rsidRPr="00037A46" w:rsidRDefault="00B01394" w:rsidP="00F41C24">
            <w:pPr>
              <w:spacing w:before="0" w:after="0"/>
              <w:ind w:left="113"/>
              <w:jc w:val="right"/>
              <w:rPr>
                <w:bCs/>
                <w:lang w:val="en-US"/>
              </w:rPr>
            </w:pPr>
            <w:r w:rsidRPr="00037A46">
              <w:rPr>
                <w:bCs/>
                <w:lang w:val="en-US"/>
              </w:rPr>
              <w:t>37.200</w:t>
            </w:r>
          </w:p>
        </w:tc>
        <w:tc>
          <w:tcPr>
            <w:tcW w:w="1232" w:type="dxa"/>
            <w:vAlign w:val="bottom"/>
          </w:tcPr>
          <w:p w14:paraId="12120E49" w14:textId="77777777" w:rsidR="00B01394" w:rsidRPr="00B01394" w:rsidRDefault="00B01394" w:rsidP="00F41C24">
            <w:pPr>
              <w:spacing w:before="0" w:after="0"/>
              <w:ind w:left="113"/>
              <w:jc w:val="right"/>
              <w:rPr>
                <w:bCs/>
                <w:lang w:val="en-US"/>
              </w:rPr>
            </w:pPr>
            <w:r w:rsidRPr="00B01394">
              <w:rPr>
                <w:bCs/>
                <w:lang w:val="en-US"/>
              </w:rPr>
              <w:t>37.200</w:t>
            </w:r>
          </w:p>
        </w:tc>
        <w:tc>
          <w:tcPr>
            <w:tcW w:w="1232" w:type="dxa"/>
          </w:tcPr>
          <w:p w14:paraId="59BAC768" w14:textId="77777777" w:rsidR="00B01394" w:rsidRPr="00B01394" w:rsidRDefault="00B01394" w:rsidP="00F41C24">
            <w:pPr>
              <w:spacing w:before="0" w:after="0"/>
              <w:ind w:left="113"/>
              <w:jc w:val="right"/>
              <w:rPr>
                <w:bCs/>
                <w:lang w:val="en-US"/>
              </w:rPr>
            </w:pPr>
            <w:r w:rsidRPr="00B01394">
              <w:rPr>
                <w:bCs/>
                <w:lang w:val="en-US"/>
              </w:rPr>
              <w:t>38.850</w:t>
            </w:r>
          </w:p>
        </w:tc>
      </w:tr>
      <w:tr w:rsidR="00B01394" w:rsidRPr="00037A46" w14:paraId="7C7CC8CD" w14:textId="77777777" w:rsidTr="00F41C24">
        <w:trPr>
          <w:trHeight w:val="300"/>
          <w:jc w:val="center"/>
        </w:trPr>
        <w:tc>
          <w:tcPr>
            <w:tcW w:w="1305" w:type="dxa"/>
            <w:shd w:val="clear" w:color="auto" w:fill="C0C0C0"/>
            <w:noWrap/>
            <w:vAlign w:val="bottom"/>
          </w:tcPr>
          <w:p w14:paraId="003EE386" w14:textId="77777777" w:rsidR="00B01394" w:rsidRPr="00037A46" w:rsidRDefault="00B01394" w:rsidP="00F41C24">
            <w:pPr>
              <w:spacing w:before="0" w:after="0"/>
              <w:ind w:hanging="764"/>
              <w:jc w:val="right"/>
              <w:rPr>
                <w:b/>
                <w:bCs/>
                <w:lang w:val="en-US"/>
              </w:rPr>
            </w:pPr>
            <w:r w:rsidRPr="00037A46">
              <w:rPr>
                <w:b/>
                <w:bCs/>
                <w:lang w:val="en-US"/>
              </w:rPr>
              <w:t>23</w:t>
            </w:r>
          </w:p>
        </w:tc>
        <w:tc>
          <w:tcPr>
            <w:tcW w:w="1333" w:type="dxa"/>
            <w:noWrap/>
            <w:vAlign w:val="bottom"/>
          </w:tcPr>
          <w:p w14:paraId="07AB29E1" w14:textId="77777777" w:rsidR="00B01394" w:rsidRPr="00037A46" w:rsidRDefault="00B01394" w:rsidP="00F41C24">
            <w:pPr>
              <w:spacing w:before="0" w:after="0"/>
              <w:ind w:left="214"/>
              <w:jc w:val="right"/>
              <w:rPr>
                <w:bCs/>
                <w:lang w:val="en-US"/>
              </w:rPr>
            </w:pPr>
            <w:r w:rsidRPr="00037A46">
              <w:rPr>
                <w:bCs/>
                <w:lang w:val="en-US"/>
              </w:rPr>
              <w:t>32.750</w:t>
            </w:r>
          </w:p>
        </w:tc>
        <w:tc>
          <w:tcPr>
            <w:tcW w:w="1275" w:type="dxa"/>
            <w:noWrap/>
            <w:vAlign w:val="bottom"/>
          </w:tcPr>
          <w:p w14:paraId="4C7257EF" w14:textId="77777777" w:rsidR="00B01394" w:rsidRPr="00037A46" w:rsidRDefault="00B01394" w:rsidP="00F41C24">
            <w:pPr>
              <w:spacing w:before="0" w:after="0"/>
              <w:ind w:left="156"/>
              <w:jc w:val="right"/>
              <w:rPr>
                <w:bCs/>
                <w:lang w:val="en-US"/>
              </w:rPr>
            </w:pPr>
            <w:r w:rsidRPr="00037A46">
              <w:rPr>
                <w:bCs/>
                <w:lang w:val="en-US"/>
              </w:rPr>
              <w:t>35.000</w:t>
            </w:r>
          </w:p>
        </w:tc>
        <w:tc>
          <w:tcPr>
            <w:tcW w:w="1232" w:type="dxa"/>
            <w:noWrap/>
            <w:vAlign w:val="bottom"/>
          </w:tcPr>
          <w:p w14:paraId="59A440B5" w14:textId="77777777" w:rsidR="00B01394" w:rsidRPr="00037A46" w:rsidRDefault="00B01394" w:rsidP="00F41C24">
            <w:pPr>
              <w:spacing w:before="0" w:after="0"/>
              <w:ind w:left="113"/>
              <w:jc w:val="right"/>
              <w:rPr>
                <w:bCs/>
                <w:lang w:val="en-US"/>
              </w:rPr>
            </w:pPr>
            <w:r w:rsidRPr="00037A46">
              <w:rPr>
                <w:bCs/>
                <w:lang w:val="en-US"/>
              </w:rPr>
              <w:t>37.200</w:t>
            </w:r>
          </w:p>
        </w:tc>
        <w:tc>
          <w:tcPr>
            <w:tcW w:w="1232" w:type="dxa"/>
            <w:vAlign w:val="bottom"/>
          </w:tcPr>
          <w:p w14:paraId="0D5348F5" w14:textId="77777777" w:rsidR="00B01394" w:rsidRPr="00B01394" w:rsidRDefault="00B01394" w:rsidP="00F41C24">
            <w:pPr>
              <w:spacing w:before="0" w:after="0"/>
              <w:ind w:left="113"/>
              <w:jc w:val="right"/>
              <w:rPr>
                <w:bCs/>
                <w:lang w:val="en-US"/>
              </w:rPr>
            </w:pPr>
            <w:r w:rsidRPr="00B01394">
              <w:rPr>
                <w:bCs/>
                <w:lang w:val="en-US"/>
              </w:rPr>
              <w:t>37.200</w:t>
            </w:r>
          </w:p>
        </w:tc>
        <w:tc>
          <w:tcPr>
            <w:tcW w:w="1232" w:type="dxa"/>
          </w:tcPr>
          <w:p w14:paraId="4F229361" w14:textId="77777777" w:rsidR="00B01394" w:rsidRPr="00B01394" w:rsidRDefault="00B01394" w:rsidP="00F41C24">
            <w:pPr>
              <w:spacing w:before="0" w:after="0"/>
              <w:ind w:left="113"/>
              <w:jc w:val="right"/>
              <w:rPr>
                <w:bCs/>
                <w:lang w:val="en-US"/>
              </w:rPr>
            </w:pPr>
            <w:r w:rsidRPr="00B01394">
              <w:rPr>
                <w:bCs/>
                <w:lang w:val="en-US"/>
              </w:rPr>
              <w:t>38.850</w:t>
            </w:r>
          </w:p>
        </w:tc>
      </w:tr>
      <w:tr w:rsidR="00B01394" w:rsidRPr="00037A46" w14:paraId="0CE43899" w14:textId="77777777" w:rsidTr="00F41C24">
        <w:trPr>
          <w:trHeight w:val="344"/>
          <w:jc w:val="center"/>
        </w:trPr>
        <w:tc>
          <w:tcPr>
            <w:tcW w:w="1305" w:type="dxa"/>
            <w:shd w:val="clear" w:color="auto" w:fill="C0C0C0"/>
            <w:noWrap/>
          </w:tcPr>
          <w:p w14:paraId="5A305522" w14:textId="77777777" w:rsidR="00B01394" w:rsidRPr="00037A46" w:rsidRDefault="00B01394" w:rsidP="00F41C24">
            <w:pPr>
              <w:spacing w:before="0" w:after="0"/>
              <w:ind w:hanging="764"/>
              <w:jc w:val="right"/>
              <w:rPr>
                <w:b/>
                <w:bCs/>
                <w:lang w:val="en-US"/>
              </w:rPr>
            </w:pPr>
            <w:r w:rsidRPr="00037A46">
              <w:rPr>
                <w:b/>
                <w:bCs/>
                <w:lang w:val="en-US"/>
              </w:rPr>
              <w:t>24</w:t>
            </w:r>
          </w:p>
        </w:tc>
        <w:tc>
          <w:tcPr>
            <w:tcW w:w="1333" w:type="dxa"/>
            <w:noWrap/>
          </w:tcPr>
          <w:p w14:paraId="0B3EF284" w14:textId="77777777" w:rsidR="00B01394" w:rsidRDefault="00B01394" w:rsidP="00F41C24">
            <w:pPr>
              <w:spacing w:before="0" w:after="0"/>
              <w:ind w:left="214"/>
              <w:jc w:val="right"/>
              <w:rPr>
                <w:bCs/>
                <w:lang w:val="en-US"/>
              </w:rPr>
            </w:pPr>
            <w:r w:rsidRPr="00037A46">
              <w:rPr>
                <w:bCs/>
                <w:lang w:val="en-US"/>
              </w:rPr>
              <w:t>34.000</w:t>
            </w:r>
          </w:p>
          <w:p w14:paraId="08EA5A6B" w14:textId="77777777" w:rsidR="00B01394" w:rsidRPr="0009089A" w:rsidRDefault="00B01394" w:rsidP="00F41C24">
            <w:pPr>
              <w:jc w:val="right"/>
              <w:rPr>
                <w:lang w:val="en-US"/>
              </w:rPr>
            </w:pPr>
          </w:p>
        </w:tc>
        <w:tc>
          <w:tcPr>
            <w:tcW w:w="1275" w:type="dxa"/>
            <w:noWrap/>
          </w:tcPr>
          <w:p w14:paraId="219B71A5" w14:textId="77777777" w:rsidR="00B01394" w:rsidRPr="00037A46" w:rsidRDefault="00B01394" w:rsidP="00F41C24">
            <w:pPr>
              <w:spacing w:before="0" w:after="0"/>
              <w:ind w:left="156"/>
              <w:jc w:val="right"/>
              <w:rPr>
                <w:bCs/>
                <w:lang w:val="en-US"/>
              </w:rPr>
            </w:pPr>
            <w:r w:rsidRPr="00037A46">
              <w:rPr>
                <w:bCs/>
                <w:lang w:val="en-US"/>
              </w:rPr>
              <w:t>36.200</w:t>
            </w:r>
          </w:p>
        </w:tc>
        <w:tc>
          <w:tcPr>
            <w:tcW w:w="1232" w:type="dxa"/>
            <w:noWrap/>
          </w:tcPr>
          <w:p w14:paraId="63639850" w14:textId="77777777" w:rsidR="00B01394" w:rsidRPr="00037A46" w:rsidRDefault="00B01394" w:rsidP="00F41C24">
            <w:pPr>
              <w:spacing w:before="0" w:after="0"/>
              <w:ind w:left="113"/>
              <w:jc w:val="right"/>
              <w:rPr>
                <w:bCs/>
                <w:lang w:val="en-US"/>
              </w:rPr>
            </w:pPr>
            <w:r w:rsidRPr="00037A46">
              <w:rPr>
                <w:bCs/>
                <w:lang w:val="en-US"/>
              </w:rPr>
              <w:t>38.450</w:t>
            </w:r>
          </w:p>
        </w:tc>
        <w:tc>
          <w:tcPr>
            <w:tcW w:w="1232" w:type="dxa"/>
          </w:tcPr>
          <w:p w14:paraId="7ED718F0" w14:textId="77777777" w:rsidR="00B01394" w:rsidRPr="00B01394" w:rsidRDefault="00B01394" w:rsidP="00F41C24">
            <w:pPr>
              <w:spacing w:before="0" w:after="0"/>
              <w:ind w:left="113"/>
              <w:jc w:val="right"/>
              <w:rPr>
                <w:bCs/>
                <w:lang w:val="en-US"/>
              </w:rPr>
            </w:pPr>
            <w:r w:rsidRPr="00B01394">
              <w:rPr>
                <w:bCs/>
                <w:lang w:val="en-US"/>
              </w:rPr>
              <w:t>38.450</w:t>
            </w:r>
          </w:p>
        </w:tc>
        <w:tc>
          <w:tcPr>
            <w:tcW w:w="1232" w:type="dxa"/>
          </w:tcPr>
          <w:p w14:paraId="1CE4B443" w14:textId="77777777" w:rsidR="00B01394" w:rsidRPr="00B01394" w:rsidRDefault="00B01394" w:rsidP="00F41C24">
            <w:pPr>
              <w:spacing w:before="0" w:after="0"/>
              <w:ind w:left="113"/>
              <w:jc w:val="right"/>
              <w:rPr>
                <w:bCs/>
                <w:lang w:val="en-US"/>
              </w:rPr>
            </w:pPr>
            <w:r w:rsidRPr="00B01394">
              <w:rPr>
                <w:bCs/>
                <w:lang w:val="en-US"/>
              </w:rPr>
              <w:t>40.100</w:t>
            </w:r>
          </w:p>
        </w:tc>
      </w:tr>
    </w:tbl>
    <w:p w14:paraId="74E021C7" w14:textId="77777777" w:rsidR="00337F85" w:rsidRPr="00037A46" w:rsidRDefault="00337F85" w:rsidP="003A11FB">
      <w:pPr>
        <w:tabs>
          <w:tab w:val="left" w:pos="709"/>
        </w:tabs>
        <w:ind w:left="0"/>
        <w:rPr>
          <w:lang w:val="en-US"/>
        </w:rPr>
      </w:pPr>
    </w:p>
    <w:p w14:paraId="557CC767" w14:textId="77777777" w:rsidR="008C1875" w:rsidRPr="00037A46" w:rsidRDefault="008C1875" w:rsidP="003A11FB">
      <w:pPr>
        <w:tabs>
          <w:tab w:val="left" w:pos="709"/>
        </w:tabs>
        <w:ind w:left="0"/>
        <w:rPr>
          <w:lang w:val="en-US"/>
        </w:rPr>
      </w:pPr>
    </w:p>
    <w:p w14:paraId="2EFA9ADA" w14:textId="77777777" w:rsidR="008C1875" w:rsidRPr="00037A46" w:rsidRDefault="008C1875" w:rsidP="003A11FB">
      <w:pPr>
        <w:tabs>
          <w:tab w:val="left" w:pos="709"/>
        </w:tabs>
        <w:ind w:left="0"/>
        <w:rPr>
          <w:lang w:val="en-US"/>
        </w:rPr>
      </w:pPr>
    </w:p>
    <w:p w14:paraId="5F136E44" w14:textId="77777777" w:rsidR="00337F85" w:rsidRPr="00037A46" w:rsidRDefault="00337F85" w:rsidP="003A11FB">
      <w:pPr>
        <w:tabs>
          <w:tab w:val="left" w:pos="709"/>
        </w:tabs>
        <w:ind w:left="0"/>
        <w:rPr>
          <w:lang w:val="en-US"/>
        </w:rPr>
      </w:pPr>
    </w:p>
    <w:p w14:paraId="077A1514" w14:textId="77777777" w:rsidR="00337F85" w:rsidRPr="00037A46" w:rsidRDefault="00337F85" w:rsidP="003A11FB">
      <w:pPr>
        <w:tabs>
          <w:tab w:val="left" w:pos="709"/>
        </w:tabs>
        <w:ind w:left="0"/>
        <w:rPr>
          <w:lang w:val="en-US"/>
        </w:rPr>
      </w:pPr>
    </w:p>
    <w:tbl>
      <w:tblPr>
        <w:tblW w:w="6261" w:type="dxa"/>
        <w:jc w:val="center"/>
        <w:tblCellMar>
          <w:left w:w="70" w:type="dxa"/>
          <w:right w:w="70" w:type="dxa"/>
        </w:tblCellMar>
        <w:tblLook w:val="0000" w:firstRow="0" w:lastRow="0" w:firstColumn="0" w:lastColumn="0" w:noHBand="0" w:noVBand="0"/>
      </w:tblPr>
      <w:tblGrid>
        <w:gridCol w:w="1440"/>
        <w:gridCol w:w="1180"/>
        <w:gridCol w:w="1240"/>
        <w:gridCol w:w="1180"/>
        <w:gridCol w:w="1221"/>
      </w:tblGrid>
      <w:tr w:rsidR="00337F85" w:rsidRPr="00037A46" w14:paraId="06515A64" w14:textId="77777777" w:rsidTr="00154DC5">
        <w:trPr>
          <w:trHeight w:val="660"/>
          <w:jc w:val="center"/>
        </w:trPr>
        <w:tc>
          <w:tcPr>
            <w:tcW w:w="1440" w:type="dxa"/>
            <w:tcBorders>
              <w:top w:val="single" w:sz="12" w:space="0" w:color="auto"/>
              <w:left w:val="single" w:sz="12" w:space="0" w:color="auto"/>
              <w:bottom w:val="double" w:sz="6" w:space="0" w:color="auto"/>
              <w:right w:val="double" w:sz="6" w:space="0" w:color="auto"/>
            </w:tcBorders>
            <w:shd w:val="clear" w:color="auto" w:fill="E3E3E3"/>
            <w:vAlign w:val="center"/>
          </w:tcPr>
          <w:p w14:paraId="718742BB" w14:textId="7915094E" w:rsidR="00337F85" w:rsidRPr="00124C52" w:rsidRDefault="00337F85" w:rsidP="00124C52">
            <w:pPr>
              <w:spacing w:before="0" w:after="0"/>
              <w:ind w:hanging="764"/>
              <w:jc w:val="center"/>
              <w:rPr>
                <w:b/>
                <w:bCs/>
              </w:rPr>
            </w:pPr>
            <w:r w:rsidRPr="00037A46">
              <w:rPr>
                <w:rFonts w:cs="Arial"/>
                <w:b/>
                <w:bCs/>
                <w:lang w:val="fr-FR"/>
              </w:rPr>
              <w:br w:type="page"/>
            </w:r>
            <w:r w:rsidR="00124C52" w:rsidRPr="00124C52">
              <w:rPr>
                <w:b/>
                <w:bCs/>
              </w:rPr>
              <w:t>S</w:t>
            </w:r>
            <w:r w:rsidRPr="00124C52">
              <w:rPr>
                <w:b/>
                <w:bCs/>
              </w:rPr>
              <w:t>alaris-</w:t>
            </w:r>
          </w:p>
          <w:p w14:paraId="6D17EF0D" w14:textId="3712E8F3" w:rsidR="00337F85" w:rsidRPr="00037A46" w:rsidRDefault="00337F85" w:rsidP="00124C52">
            <w:pPr>
              <w:spacing w:before="0" w:after="0"/>
              <w:ind w:hanging="764"/>
              <w:jc w:val="center"/>
              <w:rPr>
                <w:rFonts w:cs="Arial"/>
                <w:b/>
                <w:bCs/>
                <w:lang w:val="fr-FR"/>
              </w:rPr>
            </w:pPr>
            <w:r w:rsidRPr="00124C52">
              <w:rPr>
                <w:b/>
                <w:bCs/>
              </w:rPr>
              <w:t>schalen</w:t>
            </w:r>
          </w:p>
        </w:tc>
        <w:tc>
          <w:tcPr>
            <w:tcW w:w="1180" w:type="dxa"/>
            <w:tcBorders>
              <w:top w:val="single" w:sz="12" w:space="0" w:color="auto"/>
              <w:left w:val="double" w:sz="6" w:space="0" w:color="auto"/>
              <w:bottom w:val="double" w:sz="6" w:space="0" w:color="auto"/>
              <w:right w:val="double" w:sz="6" w:space="0" w:color="auto"/>
            </w:tcBorders>
            <w:shd w:val="clear" w:color="auto" w:fill="C0C0C0"/>
            <w:vAlign w:val="center"/>
          </w:tcPr>
          <w:p w14:paraId="4A3AADF3" w14:textId="77777777" w:rsidR="00337F85" w:rsidRPr="00037A46" w:rsidRDefault="00337F85" w:rsidP="00154DC5">
            <w:pPr>
              <w:spacing w:before="0" w:after="0"/>
              <w:ind w:left="-212"/>
              <w:jc w:val="right"/>
              <w:rPr>
                <w:rFonts w:cs="Arial"/>
                <w:b/>
                <w:bCs/>
              </w:rPr>
            </w:pPr>
            <w:r w:rsidRPr="00037A46">
              <w:rPr>
                <w:rFonts w:cs="Arial"/>
                <w:b/>
                <w:bCs/>
              </w:rPr>
              <w:t>BV1</w:t>
            </w:r>
          </w:p>
        </w:tc>
        <w:tc>
          <w:tcPr>
            <w:tcW w:w="1240" w:type="dxa"/>
            <w:tcBorders>
              <w:top w:val="single" w:sz="12" w:space="0" w:color="auto"/>
              <w:left w:val="double" w:sz="6" w:space="0" w:color="auto"/>
              <w:bottom w:val="double" w:sz="6" w:space="0" w:color="auto"/>
              <w:right w:val="double" w:sz="6" w:space="0" w:color="auto"/>
            </w:tcBorders>
            <w:shd w:val="clear" w:color="auto" w:fill="C0C0C0"/>
            <w:vAlign w:val="center"/>
          </w:tcPr>
          <w:p w14:paraId="4830103B" w14:textId="77777777" w:rsidR="00337F85" w:rsidRPr="00037A46" w:rsidRDefault="00337F85" w:rsidP="00154DC5">
            <w:pPr>
              <w:spacing w:before="0" w:after="0"/>
              <w:ind w:left="-212"/>
              <w:jc w:val="right"/>
              <w:rPr>
                <w:rFonts w:cs="Arial"/>
                <w:b/>
                <w:bCs/>
              </w:rPr>
            </w:pPr>
            <w:r w:rsidRPr="00037A46">
              <w:rPr>
                <w:rFonts w:cs="Arial"/>
                <w:b/>
                <w:bCs/>
              </w:rPr>
              <w:t>BV2</w:t>
            </w:r>
          </w:p>
        </w:tc>
        <w:tc>
          <w:tcPr>
            <w:tcW w:w="1180" w:type="dxa"/>
            <w:tcBorders>
              <w:top w:val="single" w:sz="12" w:space="0" w:color="auto"/>
              <w:left w:val="double" w:sz="6" w:space="0" w:color="auto"/>
              <w:bottom w:val="double" w:sz="6" w:space="0" w:color="auto"/>
              <w:right w:val="double" w:sz="6" w:space="0" w:color="auto"/>
            </w:tcBorders>
            <w:shd w:val="clear" w:color="auto" w:fill="C0C0C0"/>
            <w:vAlign w:val="center"/>
          </w:tcPr>
          <w:p w14:paraId="76EB6FD0" w14:textId="77777777" w:rsidR="00337F85" w:rsidRPr="00037A46" w:rsidRDefault="00337F85" w:rsidP="00154DC5">
            <w:pPr>
              <w:spacing w:before="0" w:after="0"/>
              <w:ind w:left="-212"/>
              <w:jc w:val="right"/>
              <w:rPr>
                <w:rFonts w:cs="Arial"/>
                <w:b/>
                <w:bCs/>
              </w:rPr>
            </w:pPr>
            <w:r w:rsidRPr="00037A46">
              <w:rPr>
                <w:rFonts w:cs="Arial"/>
                <w:b/>
                <w:bCs/>
              </w:rPr>
              <w:t>BV3</w:t>
            </w:r>
          </w:p>
        </w:tc>
        <w:tc>
          <w:tcPr>
            <w:tcW w:w="1221" w:type="dxa"/>
            <w:tcBorders>
              <w:top w:val="single" w:sz="12" w:space="0" w:color="auto"/>
              <w:left w:val="double" w:sz="6" w:space="0" w:color="auto"/>
              <w:bottom w:val="double" w:sz="6" w:space="0" w:color="auto"/>
              <w:right w:val="single" w:sz="12" w:space="0" w:color="auto"/>
            </w:tcBorders>
            <w:shd w:val="clear" w:color="auto" w:fill="C0C0C0"/>
            <w:vAlign w:val="center"/>
          </w:tcPr>
          <w:p w14:paraId="412D6A3C" w14:textId="77777777" w:rsidR="00337F85" w:rsidRPr="00037A46" w:rsidRDefault="00337F85" w:rsidP="00154DC5">
            <w:pPr>
              <w:spacing w:before="0" w:after="0"/>
              <w:ind w:left="-212"/>
              <w:jc w:val="right"/>
              <w:rPr>
                <w:rFonts w:cs="Arial"/>
                <w:b/>
                <w:bCs/>
              </w:rPr>
            </w:pPr>
            <w:r w:rsidRPr="00037A46">
              <w:rPr>
                <w:rFonts w:cs="Arial"/>
                <w:b/>
                <w:bCs/>
              </w:rPr>
              <w:t>BV5</w:t>
            </w:r>
          </w:p>
        </w:tc>
      </w:tr>
      <w:tr w:rsidR="00337F85" w:rsidRPr="00037A46" w14:paraId="2A640AEA" w14:textId="77777777" w:rsidTr="00154DC5">
        <w:trPr>
          <w:trHeight w:val="330"/>
          <w:jc w:val="center"/>
        </w:trPr>
        <w:tc>
          <w:tcPr>
            <w:tcW w:w="1440" w:type="dxa"/>
            <w:tcBorders>
              <w:top w:val="double" w:sz="6" w:space="0" w:color="auto"/>
              <w:left w:val="single" w:sz="12" w:space="0" w:color="auto"/>
              <w:bottom w:val="nil"/>
              <w:right w:val="nil"/>
            </w:tcBorders>
            <w:shd w:val="clear" w:color="auto" w:fill="C0C0C0"/>
            <w:noWrap/>
            <w:vAlign w:val="bottom"/>
          </w:tcPr>
          <w:p w14:paraId="7A055297" w14:textId="77777777" w:rsidR="00337F85" w:rsidRPr="00037A46" w:rsidRDefault="00337F85" w:rsidP="00124C52">
            <w:pPr>
              <w:spacing w:before="0" w:after="0"/>
              <w:ind w:hanging="764"/>
              <w:jc w:val="center"/>
              <w:rPr>
                <w:rFonts w:cs="Arial"/>
                <w:b/>
                <w:bCs/>
                <w:lang w:val="fr-FR"/>
              </w:rPr>
            </w:pPr>
            <w:r w:rsidRPr="00037A46">
              <w:rPr>
                <w:rFonts w:cs="Arial"/>
                <w:b/>
                <w:bCs/>
                <w:lang w:val="fr-FR"/>
              </w:rPr>
              <w:t>Minimum</w:t>
            </w:r>
          </w:p>
        </w:tc>
        <w:tc>
          <w:tcPr>
            <w:tcW w:w="1180" w:type="dxa"/>
            <w:tcBorders>
              <w:top w:val="double" w:sz="6" w:space="0" w:color="auto"/>
              <w:left w:val="double" w:sz="6" w:space="0" w:color="auto"/>
              <w:bottom w:val="nil"/>
              <w:right w:val="double" w:sz="6" w:space="0" w:color="auto"/>
            </w:tcBorders>
            <w:noWrap/>
            <w:vAlign w:val="bottom"/>
          </w:tcPr>
          <w:p w14:paraId="393E67C3" w14:textId="77777777" w:rsidR="00337F85" w:rsidRPr="00037A46" w:rsidRDefault="00337F85" w:rsidP="00154DC5">
            <w:pPr>
              <w:spacing w:before="0" w:after="0"/>
              <w:ind w:left="-212"/>
              <w:jc w:val="right"/>
              <w:rPr>
                <w:rFonts w:cs="Arial"/>
                <w:bCs/>
              </w:rPr>
            </w:pPr>
            <w:r w:rsidRPr="00037A46">
              <w:rPr>
                <w:rFonts w:cs="Arial"/>
                <w:bCs/>
              </w:rPr>
              <w:t>17.450</w:t>
            </w:r>
          </w:p>
        </w:tc>
        <w:tc>
          <w:tcPr>
            <w:tcW w:w="1240" w:type="dxa"/>
            <w:tcBorders>
              <w:top w:val="double" w:sz="6" w:space="0" w:color="auto"/>
              <w:left w:val="nil"/>
              <w:bottom w:val="nil"/>
              <w:right w:val="double" w:sz="6" w:space="0" w:color="auto"/>
            </w:tcBorders>
            <w:noWrap/>
            <w:vAlign w:val="bottom"/>
          </w:tcPr>
          <w:p w14:paraId="2A1F75E3" w14:textId="77777777" w:rsidR="00337F85" w:rsidRPr="00037A46" w:rsidRDefault="00337F85" w:rsidP="00154DC5">
            <w:pPr>
              <w:spacing w:before="0" w:after="0"/>
              <w:ind w:left="-212"/>
              <w:jc w:val="right"/>
              <w:rPr>
                <w:rFonts w:cs="Arial"/>
                <w:bCs/>
              </w:rPr>
            </w:pPr>
            <w:r w:rsidRPr="00037A46">
              <w:rPr>
                <w:rFonts w:cs="Arial"/>
                <w:bCs/>
              </w:rPr>
              <w:t>18.950</w:t>
            </w:r>
          </w:p>
        </w:tc>
        <w:tc>
          <w:tcPr>
            <w:tcW w:w="1180" w:type="dxa"/>
            <w:tcBorders>
              <w:top w:val="double" w:sz="6" w:space="0" w:color="auto"/>
              <w:left w:val="nil"/>
              <w:right w:val="double" w:sz="6" w:space="0" w:color="auto"/>
            </w:tcBorders>
            <w:noWrap/>
            <w:vAlign w:val="bottom"/>
          </w:tcPr>
          <w:p w14:paraId="13FA5B56" w14:textId="77777777" w:rsidR="00337F85" w:rsidRPr="00037A46" w:rsidRDefault="00337F85" w:rsidP="00154DC5">
            <w:pPr>
              <w:spacing w:before="0" w:after="0"/>
              <w:ind w:left="-212"/>
              <w:jc w:val="right"/>
              <w:rPr>
                <w:rFonts w:cs="Arial"/>
                <w:bCs/>
              </w:rPr>
            </w:pPr>
            <w:r w:rsidRPr="00037A46">
              <w:rPr>
                <w:rFonts w:cs="Arial"/>
                <w:bCs/>
              </w:rPr>
              <w:t>19.650</w:t>
            </w:r>
          </w:p>
        </w:tc>
        <w:tc>
          <w:tcPr>
            <w:tcW w:w="1221" w:type="dxa"/>
            <w:tcBorders>
              <w:top w:val="double" w:sz="6" w:space="0" w:color="auto"/>
              <w:left w:val="nil"/>
              <w:right w:val="single" w:sz="12" w:space="0" w:color="auto"/>
            </w:tcBorders>
            <w:noWrap/>
            <w:vAlign w:val="bottom"/>
          </w:tcPr>
          <w:p w14:paraId="068EABDE" w14:textId="77777777" w:rsidR="00337F85" w:rsidRPr="00037A46" w:rsidRDefault="00337F85" w:rsidP="00154DC5">
            <w:pPr>
              <w:spacing w:before="0" w:after="0"/>
              <w:ind w:left="-212"/>
              <w:jc w:val="right"/>
              <w:rPr>
                <w:rFonts w:cs="Arial"/>
                <w:bCs/>
              </w:rPr>
            </w:pPr>
            <w:r w:rsidRPr="00037A46">
              <w:rPr>
                <w:rFonts w:cs="Arial"/>
                <w:bCs/>
              </w:rPr>
              <w:t>22.050</w:t>
            </w:r>
          </w:p>
        </w:tc>
      </w:tr>
      <w:tr w:rsidR="00337F85" w:rsidRPr="00037A46" w14:paraId="47CCF132" w14:textId="77777777" w:rsidTr="00154DC5">
        <w:trPr>
          <w:trHeight w:val="330"/>
          <w:jc w:val="center"/>
        </w:trPr>
        <w:tc>
          <w:tcPr>
            <w:tcW w:w="1440" w:type="dxa"/>
            <w:tcBorders>
              <w:top w:val="nil"/>
              <w:left w:val="single" w:sz="12" w:space="0" w:color="auto"/>
              <w:bottom w:val="dotDotDash" w:sz="8" w:space="0" w:color="auto"/>
              <w:right w:val="nil"/>
            </w:tcBorders>
            <w:shd w:val="clear" w:color="auto" w:fill="C0C0C0"/>
            <w:noWrap/>
            <w:vAlign w:val="bottom"/>
          </w:tcPr>
          <w:p w14:paraId="5B036D60" w14:textId="77777777" w:rsidR="00337F85" w:rsidRPr="00037A46" w:rsidRDefault="00337F85" w:rsidP="00124C52">
            <w:pPr>
              <w:spacing w:before="0" w:after="0"/>
              <w:ind w:hanging="764"/>
              <w:jc w:val="center"/>
              <w:rPr>
                <w:rFonts w:cs="Arial"/>
                <w:b/>
                <w:bCs/>
                <w:lang w:val="fr-FR"/>
              </w:rPr>
            </w:pPr>
            <w:r w:rsidRPr="00037A46">
              <w:rPr>
                <w:rFonts w:cs="Arial"/>
                <w:b/>
                <w:bCs/>
                <w:lang w:val="fr-FR"/>
              </w:rPr>
              <w:t>Maximum</w:t>
            </w:r>
          </w:p>
        </w:tc>
        <w:tc>
          <w:tcPr>
            <w:tcW w:w="1180" w:type="dxa"/>
            <w:tcBorders>
              <w:top w:val="nil"/>
              <w:left w:val="double" w:sz="6" w:space="0" w:color="auto"/>
              <w:bottom w:val="dotDotDash" w:sz="8" w:space="0" w:color="auto"/>
              <w:right w:val="double" w:sz="6" w:space="0" w:color="auto"/>
            </w:tcBorders>
            <w:noWrap/>
            <w:vAlign w:val="bottom"/>
          </w:tcPr>
          <w:p w14:paraId="2D87E8D2" w14:textId="77777777" w:rsidR="00337F85" w:rsidRPr="00037A46" w:rsidRDefault="00337F85" w:rsidP="00154DC5">
            <w:pPr>
              <w:spacing w:before="0" w:after="0"/>
              <w:ind w:left="-212"/>
              <w:jc w:val="right"/>
              <w:rPr>
                <w:rFonts w:cs="Arial"/>
                <w:bCs/>
              </w:rPr>
            </w:pPr>
            <w:r w:rsidRPr="00037A46">
              <w:rPr>
                <w:rFonts w:cs="Arial"/>
                <w:bCs/>
              </w:rPr>
              <w:t>23.450</w:t>
            </w:r>
          </w:p>
        </w:tc>
        <w:tc>
          <w:tcPr>
            <w:tcW w:w="1240" w:type="dxa"/>
            <w:tcBorders>
              <w:top w:val="nil"/>
              <w:left w:val="nil"/>
              <w:bottom w:val="dotDotDash" w:sz="8" w:space="0" w:color="auto"/>
              <w:right w:val="double" w:sz="6" w:space="0" w:color="auto"/>
            </w:tcBorders>
            <w:noWrap/>
            <w:vAlign w:val="bottom"/>
          </w:tcPr>
          <w:p w14:paraId="51FB9E2C" w14:textId="77777777" w:rsidR="00337F85" w:rsidRPr="00037A46" w:rsidRDefault="00337F85" w:rsidP="00154DC5">
            <w:pPr>
              <w:spacing w:before="0" w:after="0"/>
              <w:ind w:left="-212"/>
              <w:jc w:val="right"/>
              <w:rPr>
                <w:rFonts w:cs="Arial"/>
                <w:bCs/>
              </w:rPr>
            </w:pPr>
            <w:r w:rsidRPr="00037A46">
              <w:rPr>
                <w:rFonts w:cs="Arial"/>
                <w:bCs/>
              </w:rPr>
              <w:t>26.550</w:t>
            </w:r>
          </w:p>
        </w:tc>
        <w:tc>
          <w:tcPr>
            <w:tcW w:w="1180" w:type="dxa"/>
            <w:tcBorders>
              <w:top w:val="nil"/>
              <w:left w:val="nil"/>
              <w:bottom w:val="dotDotDash" w:sz="4" w:space="0" w:color="auto"/>
              <w:right w:val="double" w:sz="6" w:space="0" w:color="auto"/>
            </w:tcBorders>
            <w:noWrap/>
            <w:vAlign w:val="bottom"/>
          </w:tcPr>
          <w:p w14:paraId="3CEFEEAD" w14:textId="77777777" w:rsidR="00337F85" w:rsidRPr="00037A46" w:rsidRDefault="00337F85" w:rsidP="00154DC5">
            <w:pPr>
              <w:spacing w:before="0" w:after="0"/>
              <w:ind w:left="-212"/>
              <w:jc w:val="right"/>
              <w:rPr>
                <w:rFonts w:cs="Arial"/>
                <w:bCs/>
              </w:rPr>
            </w:pPr>
            <w:r w:rsidRPr="00037A46">
              <w:rPr>
                <w:rFonts w:cs="Arial"/>
                <w:bCs/>
              </w:rPr>
              <w:t>29.250</w:t>
            </w:r>
          </w:p>
        </w:tc>
        <w:tc>
          <w:tcPr>
            <w:tcW w:w="1221" w:type="dxa"/>
            <w:tcBorders>
              <w:top w:val="nil"/>
              <w:left w:val="nil"/>
              <w:bottom w:val="dotDotDash" w:sz="4" w:space="0" w:color="auto"/>
              <w:right w:val="single" w:sz="12" w:space="0" w:color="auto"/>
            </w:tcBorders>
            <w:noWrap/>
            <w:vAlign w:val="bottom"/>
          </w:tcPr>
          <w:p w14:paraId="5BA443E1" w14:textId="77777777" w:rsidR="00337F85" w:rsidRPr="00037A46" w:rsidRDefault="00337F85" w:rsidP="00154DC5">
            <w:pPr>
              <w:spacing w:before="0" w:after="0"/>
              <w:ind w:left="-212"/>
              <w:jc w:val="right"/>
              <w:rPr>
                <w:rFonts w:cs="Arial"/>
                <w:bCs/>
              </w:rPr>
            </w:pPr>
            <w:r w:rsidRPr="00037A46">
              <w:rPr>
                <w:rFonts w:cs="Arial"/>
                <w:bCs/>
              </w:rPr>
              <w:t>33.350</w:t>
            </w:r>
          </w:p>
        </w:tc>
      </w:tr>
      <w:tr w:rsidR="00337F85" w:rsidRPr="00037A46" w14:paraId="294D9A39"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1C4DD891" w14:textId="77777777" w:rsidR="00337F85" w:rsidRPr="00037A46" w:rsidRDefault="00337F85" w:rsidP="00124C52">
            <w:pPr>
              <w:spacing w:before="0" w:after="0"/>
              <w:ind w:hanging="764"/>
              <w:jc w:val="center"/>
              <w:rPr>
                <w:rFonts w:cs="Arial"/>
                <w:b/>
                <w:bCs/>
                <w:lang w:val="fr-FR"/>
              </w:rPr>
            </w:pPr>
            <w:proofErr w:type="spellStart"/>
            <w:r w:rsidRPr="00037A46">
              <w:rPr>
                <w:rFonts w:cs="Arial"/>
                <w:b/>
                <w:bCs/>
                <w:lang w:val="fr-FR"/>
              </w:rPr>
              <w:t>Verhoging</w:t>
            </w:r>
            <w:proofErr w:type="spellEnd"/>
          </w:p>
        </w:tc>
        <w:tc>
          <w:tcPr>
            <w:tcW w:w="1180" w:type="dxa"/>
            <w:tcBorders>
              <w:top w:val="nil"/>
              <w:left w:val="double" w:sz="6" w:space="0" w:color="auto"/>
              <w:bottom w:val="nil"/>
              <w:right w:val="double" w:sz="6" w:space="0" w:color="auto"/>
            </w:tcBorders>
            <w:noWrap/>
            <w:vAlign w:val="bottom"/>
          </w:tcPr>
          <w:p w14:paraId="7179FE80" w14:textId="77777777" w:rsidR="00337F85" w:rsidRPr="00037A46" w:rsidRDefault="00337F85" w:rsidP="00154DC5">
            <w:pPr>
              <w:spacing w:before="0" w:after="0"/>
              <w:ind w:left="-212"/>
              <w:jc w:val="right"/>
              <w:rPr>
                <w:rFonts w:cs="Arial"/>
                <w:bCs/>
              </w:rPr>
            </w:pPr>
            <w:r w:rsidRPr="00037A46">
              <w:rPr>
                <w:rFonts w:cs="Arial"/>
                <w:bCs/>
              </w:rPr>
              <w:t>1x1x450</w:t>
            </w:r>
          </w:p>
        </w:tc>
        <w:tc>
          <w:tcPr>
            <w:tcW w:w="1240" w:type="dxa"/>
            <w:tcBorders>
              <w:top w:val="nil"/>
              <w:left w:val="nil"/>
              <w:bottom w:val="nil"/>
              <w:right w:val="double" w:sz="6" w:space="0" w:color="auto"/>
            </w:tcBorders>
            <w:noWrap/>
            <w:vAlign w:val="bottom"/>
          </w:tcPr>
          <w:p w14:paraId="70256DCE" w14:textId="77777777" w:rsidR="00337F85" w:rsidRPr="00037A46" w:rsidRDefault="00337F85" w:rsidP="00154DC5">
            <w:pPr>
              <w:spacing w:before="0" w:after="0"/>
              <w:ind w:left="-212"/>
              <w:jc w:val="right"/>
              <w:rPr>
                <w:rFonts w:cs="Arial"/>
                <w:bCs/>
              </w:rPr>
            </w:pPr>
            <w:r w:rsidRPr="00037A46">
              <w:rPr>
                <w:rFonts w:cs="Arial"/>
                <w:bCs/>
              </w:rPr>
              <w:t>1x1x650</w:t>
            </w:r>
          </w:p>
        </w:tc>
        <w:tc>
          <w:tcPr>
            <w:tcW w:w="1180" w:type="dxa"/>
            <w:tcBorders>
              <w:top w:val="dotDotDash" w:sz="4" w:space="0" w:color="auto"/>
              <w:left w:val="nil"/>
              <w:bottom w:val="nil"/>
              <w:right w:val="double" w:sz="6" w:space="0" w:color="auto"/>
            </w:tcBorders>
            <w:noWrap/>
            <w:vAlign w:val="bottom"/>
          </w:tcPr>
          <w:p w14:paraId="66F27B09" w14:textId="77777777" w:rsidR="00337F85" w:rsidRPr="00037A46" w:rsidRDefault="00337F85" w:rsidP="00154DC5">
            <w:pPr>
              <w:spacing w:before="0" w:after="0"/>
              <w:ind w:left="-212"/>
              <w:jc w:val="right"/>
              <w:rPr>
                <w:rFonts w:cs="Arial"/>
                <w:bCs/>
              </w:rPr>
            </w:pPr>
            <w:r w:rsidRPr="00037A46">
              <w:rPr>
                <w:rFonts w:cs="Arial"/>
                <w:bCs/>
              </w:rPr>
              <w:t>1x1x800</w:t>
            </w:r>
          </w:p>
        </w:tc>
        <w:tc>
          <w:tcPr>
            <w:tcW w:w="1221" w:type="dxa"/>
            <w:tcBorders>
              <w:top w:val="dotDotDash" w:sz="4" w:space="0" w:color="auto"/>
              <w:left w:val="nil"/>
              <w:bottom w:val="nil"/>
              <w:right w:val="single" w:sz="12" w:space="0" w:color="auto"/>
            </w:tcBorders>
            <w:noWrap/>
            <w:vAlign w:val="bottom"/>
          </w:tcPr>
          <w:p w14:paraId="7F66E434" w14:textId="77777777" w:rsidR="00337F85" w:rsidRPr="00037A46" w:rsidRDefault="00337F85" w:rsidP="00154DC5">
            <w:pPr>
              <w:spacing w:before="0" w:after="0"/>
              <w:ind w:left="-212"/>
              <w:jc w:val="right"/>
              <w:rPr>
                <w:rFonts w:cs="Arial"/>
                <w:bCs/>
              </w:rPr>
            </w:pPr>
            <w:r w:rsidRPr="00037A46">
              <w:rPr>
                <w:rFonts w:cs="Arial"/>
                <w:bCs/>
              </w:rPr>
              <w:t>1x1x950</w:t>
            </w:r>
          </w:p>
        </w:tc>
      </w:tr>
      <w:tr w:rsidR="00337F85" w:rsidRPr="00037A46" w14:paraId="5DAACD5C"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212255F3"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 </w:t>
            </w:r>
          </w:p>
        </w:tc>
        <w:tc>
          <w:tcPr>
            <w:tcW w:w="1180" w:type="dxa"/>
            <w:tcBorders>
              <w:top w:val="nil"/>
              <w:left w:val="double" w:sz="6" w:space="0" w:color="auto"/>
              <w:bottom w:val="nil"/>
              <w:right w:val="double" w:sz="6" w:space="0" w:color="auto"/>
            </w:tcBorders>
            <w:noWrap/>
            <w:vAlign w:val="bottom"/>
          </w:tcPr>
          <w:p w14:paraId="3D480B91" w14:textId="77777777" w:rsidR="00337F85" w:rsidRPr="00037A46" w:rsidRDefault="00337F85" w:rsidP="00154DC5">
            <w:pPr>
              <w:spacing w:before="0" w:after="0"/>
              <w:ind w:left="-212"/>
              <w:jc w:val="right"/>
              <w:rPr>
                <w:rFonts w:cs="Arial"/>
                <w:bCs/>
              </w:rPr>
            </w:pPr>
            <w:r w:rsidRPr="00037A46">
              <w:rPr>
                <w:rFonts w:cs="Arial"/>
                <w:bCs/>
              </w:rPr>
              <w:t>10x2x500</w:t>
            </w:r>
          </w:p>
        </w:tc>
        <w:tc>
          <w:tcPr>
            <w:tcW w:w="1240" w:type="dxa"/>
            <w:tcBorders>
              <w:top w:val="nil"/>
              <w:left w:val="nil"/>
              <w:bottom w:val="nil"/>
              <w:right w:val="double" w:sz="6" w:space="0" w:color="auto"/>
            </w:tcBorders>
            <w:noWrap/>
            <w:vAlign w:val="bottom"/>
          </w:tcPr>
          <w:p w14:paraId="0FF08DAC" w14:textId="77777777" w:rsidR="00337F85" w:rsidRPr="00037A46" w:rsidRDefault="00337F85" w:rsidP="00154DC5">
            <w:pPr>
              <w:spacing w:before="0" w:after="0"/>
              <w:ind w:left="-212"/>
              <w:jc w:val="right"/>
              <w:rPr>
                <w:rFonts w:cs="Arial"/>
                <w:bCs/>
              </w:rPr>
            </w:pPr>
            <w:r w:rsidRPr="00037A46">
              <w:rPr>
                <w:rFonts w:cs="Arial"/>
                <w:bCs/>
              </w:rPr>
              <w:t>2x2x600</w:t>
            </w:r>
          </w:p>
        </w:tc>
        <w:tc>
          <w:tcPr>
            <w:tcW w:w="1180" w:type="dxa"/>
            <w:tcBorders>
              <w:top w:val="nil"/>
              <w:left w:val="nil"/>
              <w:bottom w:val="nil"/>
              <w:right w:val="double" w:sz="6" w:space="0" w:color="auto"/>
            </w:tcBorders>
            <w:noWrap/>
            <w:vAlign w:val="bottom"/>
          </w:tcPr>
          <w:p w14:paraId="1A77CAB7" w14:textId="77777777" w:rsidR="00337F85" w:rsidRPr="00037A46" w:rsidRDefault="00337F85" w:rsidP="00154DC5">
            <w:pPr>
              <w:spacing w:before="0" w:after="0"/>
              <w:ind w:left="-212"/>
              <w:jc w:val="right"/>
              <w:rPr>
                <w:rFonts w:cs="Arial"/>
                <w:bCs/>
              </w:rPr>
            </w:pPr>
            <w:r w:rsidRPr="00037A46">
              <w:rPr>
                <w:rFonts w:cs="Arial"/>
                <w:bCs/>
              </w:rPr>
              <w:t>3x2x800</w:t>
            </w:r>
          </w:p>
        </w:tc>
        <w:tc>
          <w:tcPr>
            <w:tcW w:w="1221" w:type="dxa"/>
            <w:tcBorders>
              <w:top w:val="nil"/>
              <w:left w:val="nil"/>
              <w:bottom w:val="nil"/>
              <w:right w:val="single" w:sz="12" w:space="0" w:color="auto"/>
            </w:tcBorders>
            <w:noWrap/>
            <w:vAlign w:val="bottom"/>
          </w:tcPr>
          <w:p w14:paraId="00A8900C" w14:textId="77777777" w:rsidR="00337F85" w:rsidRPr="00037A46" w:rsidRDefault="00337F85" w:rsidP="00154DC5">
            <w:pPr>
              <w:spacing w:before="0" w:after="0"/>
              <w:ind w:left="-212"/>
              <w:jc w:val="right"/>
              <w:rPr>
                <w:rFonts w:cs="Arial"/>
                <w:bCs/>
              </w:rPr>
            </w:pPr>
            <w:r w:rsidRPr="00037A46">
              <w:rPr>
                <w:rFonts w:cs="Arial"/>
                <w:bCs/>
              </w:rPr>
              <w:t>1x2x900</w:t>
            </w:r>
          </w:p>
        </w:tc>
      </w:tr>
      <w:tr w:rsidR="00337F85" w:rsidRPr="00037A46" w14:paraId="384D76B5"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7C953AAE"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 </w:t>
            </w:r>
          </w:p>
        </w:tc>
        <w:tc>
          <w:tcPr>
            <w:tcW w:w="1180" w:type="dxa"/>
            <w:tcBorders>
              <w:top w:val="nil"/>
              <w:left w:val="double" w:sz="6" w:space="0" w:color="auto"/>
              <w:bottom w:val="nil"/>
              <w:right w:val="double" w:sz="6" w:space="0" w:color="auto"/>
            </w:tcBorders>
            <w:noWrap/>
            <w:vAlign w:val="bottom"/>
          </w:tcPr>
          <w:p w14:paraId="03F91EF9" w14:textId="77777777" w:rsidR="00337F85" w:rsidRPr="00037A46" w:rsidRDefault="00337F85" w:rsidP="00154DC5">
            <w:pPr>
              <w:spacing w:before="0" w:after="0"/>
              <w:ind w:left="-212"/>
              <w:jc w:val="right"/>
              <w:rPr>
                <w:rFonts w:cs="Arial"/>
                <w:bCs/>
              </w:rPr>
            </w:pPr>
            <w:r w:rsidRPr="00037A46">
              <w:rPr>
                <w:rFonts w:cs="Arial"/>
                <w:bCs/>
              </w:rPr>
              <w:t>1x2x550</w:t>
            </w:r>
          </w:p>
        </w:tc>
        <w:tc>
          <w:tcPr>
            <w:tcW w:w="1240" w:type="dxa"/>
            <w:tcBorders>
              <w:top w:val="nil"/>
              <w:left w:val="nil"/>
              <w:bottom w:val="nil"/>
              <w:right w:val="double" w:sz="6" w:space="0" w:color="auto"/>
            </w:tcBorders>
            <w:noWrap/>
            <w:vAlign w:val="bottom"/>
          </w:tcPr>
          <w:p w14:paraId="0725F061" w14:textId="77777777" w:rsidR="00337F85" w:rsidRPr="00037A46" w:rsidRDefault="00337F85" w:rsidP="00154DC5">
            <w:pPr>
              <w:spacing w:before="0" w:after="0"/>
              <w:ind w:left="-212"/>
              <w:jc w:val="right"/>
              <w:rPr>
                <w:rFonts w:cs="Arial"/>
                <w:bCs/>
              </w:rPr>
            </w:pPr>
            <w:r w:rsidRPr="00037A46">
              <w:rPr>
                <w:rFonts w:cs="Arial"/>
                <w:bCs/>
              </w:rPr>
              <w:t>1x2x650</w:t>
            </w:r>
          </w:p>
        </w:tc>
        <w:tc>
          <w:tcPr>
            <w:tcW w:w="1180" w:type="dxa"/>
            <w:tcBorders>
              <w:top w:val="nil"/>
              <w:left w:val="nil"/>
              <w:bottom w:val="nil"/>
              <w:right w:val="double" w:sz="6" w:space="0" w:color="auto"/>
            </w:tcBorders>
            <w:noWrap/>
            <w:vAlign w:val="bottom"/>
          </w:tcPr>
          <w:p w14:paraId="55837C5F" w14:textId="77777777" w:rsidR="00337F85" w:rsidRPr="00037A46" w:rsidRDefault="00337F85" w:rsidP="00154DC5">
            <w:pPr>
              <w:spacing w:before="0" w:after="0"/>
              <w:ind w:left="-212"/>
              <w:jc w:val="right"/>
              <w:rPr>
                <w:rFonts w:cs="Arial"/>
                <w:bCs/>
              </w:rPr>
            </w:pPr>
            <w:r w:rsidRPr="00037A46">
              <w:rPr>
                <w:rFonts w:cs="Arial"/>
                <w:bCs/>
              </w:rPr>
              <w:t>1x2x750</w:t>
            </w:r>
          </w:p>
        </w:tc>
        <w:tc>
          <w:tcPr>
            <w:tcW w:w="1221" w:type="dxa"/>
            <w:tcBorders>
              <w:top w:val="nil"/>
              <w:left w:val="nil"/>
              <w:bottom w:val="nil"/>
              <w:right w:val="single" w:sz="12" w:space="0" w:color="auto"/>
            </w:tcBorders>
            <w:noWrap/>
            <w:vAlign w:val="bottom"/>
          </w:tcPr>
          <w:p w14:paraId="30473F20" w14:textId="77777777" w:rsidR="00337F85" w:rsidRPr="00037A46" w:rsidRDefault="00337F85" w:rsidP="00154DC5">
            <w:pPr>
              <w:spacing w:before="0" w:after="0"/>
              <w:ind w:left="-212"/>
              <w:jc w:val="right"/>
              <w:rPr>
                <w:rFonts w:cs="Arial"/>
                <w:bCs/>
              </w:rPr>
            </w:pPr>
            <w:r w:rsidRPr="00037A46">
              <w:rPr>
                <w:rFonts w:cs="Arial"/>
                <w:bCs/>
              </w:rPr>
              <w:t>5x2x950</w:t>
            </w:r>
          </w:p>
        </w:tc>
      </w:tr>
      <w:tr w:rsidR="00337F85" w:rsidRPr="00037A46" w14:paraId="71E33E43"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0ECFCD8E"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 </w:t>
            </w:r>
          </w:p>
        </w:tc>
        <w:tc>
          <w:tcPr>
            <w:tcW w:w="1180" w:type="dxa"/>
            <w:tcBorders>
              <w:top w:val="nil"/>
              <w:left w:val="double" w:sz="6" w:space="0" w:color="auto"/>
              <w:bottom w:val="nil"/>
              <w:right w:val="double" w:sz="6" w:space="0" w:color="auto"/>
            </w:tcBorders>
            <w:noWrap/>
            <w:vAlign w:val="bottom"/>
          </w:tcPr>
          <w:p w14:paraId="550D8538" w14:textId="77777777" w:rsidR="00337F85" w:rsidRPr="00037A46" w:rsidRDefault="00337F85" w:rsidP="00154DC5">
            <w:pPr>
              <w:spacing w:before="0" w:after="0"/>
              <w:ind w:left="-212"/>
              <w:jc w:val="right"/>
              <w:rPr>
                <w:rFonts w:cs="Arial"/>
                <w:bCs/>
              </w:rPr>
            </w:pPr>
          </w:p>
        </w:tc>
        <w:tc>
          <w:tcPr>
            <w:tcW w:w="1240" w:type="dxa"/>
            <w:tcBorders>
              <w:top w:val="nil"/>
              <w:left w:val="nil"/>
              <w:bottom w:val="nil"/>
              <w:right w:val="double" w:sz="6" w:space="0" w:color="auto"/>
            </w:tcBorders>
            <w:noWrap/>
            <w:vAlign w:val="bottom"/>
          </w:tcPr>
          <w:p w14:paraId="02BC9DDF" w14:textId="77777777" w:rsidR="00337F85" w:rsidRPr="00037A46" w:rsidRDefault="00337F85" w:rsidP="00154DC5">
            <w:pPr>
              <w:spacing w:before="0" w:after="0"/>
              <w:ind w:left="-212"/>
              <w:jc w:val="right"/>
              <w:rPr>
                <w:rFonts w:cs="Arial"/>
                <w:bCs/>
              </w:rPr>
            </w:pPr>
            <w:r w:rsidRPr="00037A46">
              <w:rPr>
                <w:rFonts w:cs="Arial"/>
                <w:bCs/>
              </w:rPr>
              <w:t>1x2x600</w:t>
            </w:r>
          </w:p>
        </w:tc>
        <w:tc>
          <w:tcPr>
            <w:tcW w:w="1180" w:type="dxa"/>
            <w:tcBorders>
              <w:top w:val="nil"/>
              <w:left w:val="nil"/>
              <w:bottom w:val="nil"/>
              <w:right w:val="double" w:sz="6" w:space="0" w:color="auto"/>
            </w:tcBorders>
            <w:noWrap/>
            <w:vAlign w:val="bottom"/>
          </w:tcPr>
          <w:p w14:paraId="19013667" w14:textId="77777777" w:rsidR="00337F85" w:rsidRPr="00037A46" w:rsidRDefault="00337F85" w:rsidP="00154DC5">
            <w:pPr>
              <w:spacing w:before="0" w:after="0"/>
              <w:ind w:left="-212"/>
              <w:jc w:val="right"/>
              <w:rPr>
                <w:rFonts w:cs="Arial"/>
                <w:bCs/>
              </w:rPr>
            </w:pPr>
            <w:r w:rsidRPr="00037A46">
              <w:rPr>
                <w:rFonts w:cs="Arial"/>
                <w:bCs/>
              </w:rPr>
              <w:t>6x2x800</w:t>
            </w:r>
          </w:p>
        </w:tc>
        <w:tc>
          <w:tcPr>
            <w:tcW w:w="1221" w:type="dxa"/>
            <w:tcBorders>
              <w:top w:val="nil"/>
              <w:left w:val="nil"/>
              <w:bottom w:val="nil"/>
              <w:right w:val="single" w:sz="12" w:space="0" w:color="auto"/>
            </w:tcBorders>
            <w:noWrap/>
            <w:vAlign w:val="bottom"/>
          </w:tcPr>
          <w:p w14:paraId="5E90BE59" w14:textId="77777777" w:rsidR="00337F85" w:rsidRPr="00037A46" w:rsidRDefault="00337F85" w:rsidP="00154DC5">
            <w:pPr>
              <w:spacing w:before="0" w:after="0"/>
              <w:ind w:left="-212"/>
              <w:jc w:val="right"/>
              <w:rPr>
                <w:rFonts w:cs="Arial"/>
                <w:bCs/>
              </w:rPr>
            </w:pPr>
            <w:r w:rsidRPr="00037A46">
              <w:rPr>
                <w:rFonts w:cs="Arial"/>
                <w:bCs/>
              </w:rPr>
              <w:t>1x2x900</w:t>
            </w:r>
          </w:p>
        </w:tc>
      </w:tr>
      <w:tr w:rsidR="00337F85" w:rsidRPr="00037A46" w14:paraId="15E5D1F7"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35D879B1"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 </w:t>
            </w:r>
          </w:p>
        </w:tc>
        <w:tc>
          <w:tcPr>
            <w:tcW w:w="1180" w:type="dxa"/>
            <w:tcBorders>
              <w:top w:val="nil"/>
              <w:left w:val="double" w:sz="6" w:space="0" w:color="auto"/>
              <w:bottom w:val="nil"/>
              <w:right w:val="double" w:sz="6" w:space="0" w:color="auto"/>
            </w:tcBorders>
            <w:noWrap/>
            <w:vAlign w:val="bottom"/>
          </w:tcPr>
          <w:p w14:paraId="4CC13DC3" w14:textId="77777777" w:rsidR="00337F85" w:rsidRPr="00037A46" w:rsidRDefault="00337F85" w:rsidP="00154DC5">
            <w:pPr>
              <w:spacing w:before="0" w:after="0"/>
              <w:ind w:left="-212"/>
              <w:jc w:val="right"/>
              <w:rPr>
                <w:rFonts w:cs="Arial"/>
                <w:bCs/>
              </w:rPr>
            </w:pPr>
          </w:p>
        </w:tc>
        <w:tc>
          <w:tcPr>
            <w:tcW w:w="1240" w:type="dxa"/>
            <w:tcBorders>
              <w:top w:val="nil"/>
              <w:left w:val="nil"/>
              <w:bottom w:val="nil"/>
              <w:right w:val="double" w:sz="6" w:space="0" w:color="auto"/>
            </w:tcBorders>
            <w:noWrap/>
            <w:vAlign w:val="bottom"/>
          </w:tcPr>
          <w:p w14:paraId="2C6B401A" w14:textId="77777777" w:rsidR="00337F85" w:rsidRPr="00037A46" w:rsidRDefault="00337F85" w:rsidP="00154DC5">
            <w:pPr>
              <w:spacing w:before="0" w:after="0"/>
              <w:ind w:left="-212"/>
              <w:jc w:val="right"/>
              <w:rPr>
                <w:rFonts w:cs="Arial"/>
                <w:bCs/>
              </w:rPr>
            </w:pPr>
            <w:r w:rsidRPr="00037A46">
              <w:rPr>
                <w:rFonts w:cs="Arial"/>
                <w:bCs/>
              </w:rPr>
              <w:t>1x2x650</w:t>
            </w:r>
          </w:p>
        </w:tc>
        <w:tc>
          <w:tcPr>
            <w:tcW w:w="1180" w:type="dxa"/>
            <w:tcBorders>
              <w:top w:val="nil"/>
              <w:left w:val="nil"/>
              <w:bottom w:val="nil"/>
              <w:right w:val="double" w:sz="6" w:space="0" w:color="auto"/>
            </w:tcBorders>
            <w:noWrap/>
            <w:vAlign w:val="bottom"/>
          </w:tcPr>
          <w:p w14:paraId="2986EC41" w14:textId="77777777" w:rsidR="00337F85" w:rsidRPr="00037A46" w:rsidRDefault="00337F85" w:rsidP="00154DC5">
            <w:pPr>
              <w:spacing w:before="0" w:after="0"/>
              <w:ind w:left="-212"/>
              <w:jc w:val="right"/>
              <w:rPr>
                <w:rFonts w:cs="Arial"/>
                <w:bCs/>
              </w:rPr>
            </w:pPr>
            <w:r w:rsidRPr="00037A46">
              <w:rPr>
                <w:rFonts w:cs="Arial"/>
                <w:bCs/>
              </w:rPr>
              <w:t>1x2x850</w:t>
            </w:r>
          </w:p>
        </w:tc>
        <w:tc>
          <w:tcPr>
            <w:tcW w:w="1221" w:type="dxa"/>
            <w:tcBorders>
              <w:top w:val="nil"/>
              <w:left w:val="nil"/>
              <w:bottom w:val="nil"/>
              <w:right w:val="single" w:sz="12" w:space="0" w:color="auto"/>
            </w:tcBorders>
            <w:noWrap/>
            <w:vAlign w:val="bottom"/>
          </w:tcPr>
          <w:p w14:paraId="3822460A" w14:textId="77777777" w:rsidR="00337F85" w:rsidRPr="00037A46" w:rsidRDefault="00337F85" w:rsidP="00154DC5">
            <w:pPr>
              <w:spacing w:before="0" w:after="0"/>
              <w:ind w:left="-212"/>
              <w:jc w:val="right"/>
              <w:rPr>
                <w:rFonts w:cs="Arial"/>
                <w:bCs/>
              </w:rPr>
            </w:pPr>
            <w:r w:rsidRPr="00037A46">
              <w:rPr>
                <w:rFonts w:cs="Arial"/>
                <w:bCs/>
              </w:rPr>
              <w:t>4x2x950</w:t>
            </w:r>
          </w:p>
        </w:tc>
      </w:tr>
      <w:tr w:rsidR="00337F85" w:rsidRPr="00037A46" w14:paraId="5E8BE8AF"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2CB4AC86"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 </w:t>
            </w:r>
          </w:p>
        </w:tc>
        <w:tc>
          <w:tcPr>
            <w:tcW w:w="1180" w:type="dxa"/>
            <w:tcBorders>
              <w:top w:val="nil"/>
              <w:left w:val="double" w:sz="6" w:space="0" w:color="auto"/>
              <w:bottom w:val="nil"/>
              <w:right w:val="double" w:sz="6" w:space="0" w:color="auto"/>
            </w:tcBorders>
            <w:noWrap/>
            <w:vAlign w:val="bottom"/>
          </w:tcPr>
          <w:p w14:paraId="2A4B6892" w14:textId="77777777" w:rsidR="00337F85" w:rsidRPr="00037A46" w:rsidRDefault="00337F85" w:rsidP="00154DC5">
            <w:pPr>
              <w:spacing w:before="0" w:after="0"/>
              <w:ind w:left="-212"/>
              <w:jc w:val="right"/>
              <w:rPr>
                <w:rFonts w:cs="Arial"/>
                <w:bCs/>
              </w:rPr>
            </w:pPr>
            <w:r w:rsidRPr="00037A46">
              <w:rPr>
                <w:rFonts w:cs="Arial"/>
                <w:bCs/>
              </w:rPr>
              <w:t> </w:t>
            </w:r>
          </w:p>
        </w:tc>
        <w:tc>
          <w:tcPr>
            <w:tcW w:w="1240" w:type="dxa"/>
            <w:tcBorders>
              <w:top w:val="nil"/>
              <w:left w:val="nil"/>
              <w:bottom w:val="nil"/>
              <w:right w:val="double" w:sz="6" w:space="0" w:color="auto"/>
            </w:tcBorders>
            <w:noWrap/>
            <w:vAlign w:val="bottom"/>
          </w:tcPr>
          <w:p w14:paraId="29F7855A" w14:textId="77777777" w:rsidR="00337F85" w:rsidRPr="00037A46" w:rsidRDefault="00337F85" w:rsidP="00154DC5">
            <w:pPr>
              <w:spacing w:before="0" w:after="0"/>
              <w:ind w:left="-212"/>
              <w:jc w:val="right"/>
              <w:rPr>
                <w:rFonts w:cs="Arial"/>
                <w:bCs/>
              </w:rPr>
            </w:pPr>
            <w:r w:rsidRPr="00037A46">
              <w:rPr>
                <w:rFonts w:cs="Arial"/>
                <w:bCs/>
              </w:rPr>
              <w:t>2x2x600</w:t>
            </w:r>
          </w:p>
        </w:tc>
        <w:tc>
          <w:tcPr>
            <w:tcW w:w="1180" w:type="dxa"/>
            <w:tcBorders>
              <w:top w:val="nil"/>
              <w:left w:val="nil"/>
              <w:bottom w:val="nil"/>
              <w:right w:val="double" w:sz="6" w:space="0" w:color="auto"/>
            </w:tcBorders>
            <w:noWrap/>
            <w:vAlign w:val="bottom"/>
          </w:tcPr>
          <w:p w14:paraId="17C39F25" w14:textId="77777777" w:rsidR="00337F85" w:rsidRPr="00037A46" w:rsidRDefault="00337F85" w:rsidP="00154DC5">
            <w:pPr>
              <w:spacing w:before="0" w:after="0"/>
              <w:ind w:left="-212"/>
              <w:jc w:val="right"/>
              <w:rPr>
                <w:rFonts w:cs="Arial"/>
                <w:bCs/>
              </w:rPr>
            </w:pPr>
          </w:p>
        </w:tc>
        <w:tc>
          <w:tcPr>
            <w:tcW w:w="1221" w:type="dxa"/>
            <w:tcBorders>
              <w:top w:val="nil"/>
              <w:left w:val="nil"/>
              <w:bottom w:val="nil"/>
              <w:right w:val="single" w:sz="12" w:space="0" w:color="auto"/>
            </w:tcBorders>
            <w:noWrap/>
            <w:vAlign w:val="bottom"/>
          </w:tcPr>
          <w:p w14:paraId="46BD12ED" w14:textId="77777777" w:rsidR="00337F85" w:rsidRPr="00037A46" w:rsidRDefault="00337F85" w:rsidP="00154DC5">
            <w:pPr>
              <w:spacing w:before="0" w:after="0"/>
              <w:ind w:left="-212"/>
              <w:jc w:val="right"/>
              <w:rPr>
                <w:rFonts w:cs="Arial"/>
                <w:bCs/>
              </w:rPr>
            </w:pPr>
          </w:p>
        </w:tc>
      </w:tr>
      <w:tr w:rsidR="00337F85" w:rsidRPr="00037A46" w14:paraId="226F303B"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386A7291"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 </w:t>
            </w:r>
          </w:p>
        </w:tc>
        <w:tc>
          <w:tcPr>
            <w:tcW w:w="1180" w:type="dxa"/>
            <w:tcBorders>
              <w:top w:val="nil"/>
              <w:left w:val="double" w:sz="6" w:space="0" w:color="auto"/>
              <w:bottom w:val="nil"/>
              <w:right w:val="double" w:sz="6" w:space="0" w:color="auto"/>
            </w:tcBorders>
            <w:noWrap/>
            <w:vAlign w:val="bottom"/>
          </w:tcPr>
          <w:p w14:paraId="66B9FB37" w14:textId="77777777" w:rsidR="00337F85" w:rsidRPr="00037A46" w:rsidRDefault="00337F85" w:rsidP="00154DC5">
            <w:pPr>
              <w:spacing w:before="0" w:after="0"/>
              <w:ind w:left="-212"/>
              <w:jc w:val="right"/>
              <w:rPr>
                <w:rFonts w:cs="Arial"/>
                <w:bCs/>
              </w:rPr>
            </w:pPr>
            <w:r w:rsidRPr="00037A46">
              <w:rPr>
                <w:rFonts w:cs="Arial"/>
                <w:bCs/>
              </w:rPr>
              <w:t> </w:t>
            </w:r>
          </w:p>
        </w:tc>
        <w:tc>
          <w:tcPr>
            <w:tcW w:w="1240" w:type="dxa"/>
            <w:tcBorders>
              <w:top w:val="nil"/>
              <w:left w:val="nil"/>
              <w:bottom w:val="nil"/>
              <w:right w:val="double" w:sz="6" w:space="0" w:color="auto"/>
            </w:tcBorders>
            <w:noWrap/>
            <w:vAlign w:val="bottom"/>
          </w:tcPr>
          <w:p w14:paraId="07E76552" w14:textId="77777777" w:rsidR="00337F85" w:rsidRPr="00037A46" w:rsidRDefault="00337F85" w:rsidP="00154DC5">
            <w:pPr>
              <w:spacing w:before="0" w:after="0"/>
              <w:ind w:left="-212"/>
              <w:jc w:val="right"/>
              <w:rPr>
                <w:rFonts w:cs="Arial"/>
                <w:bCs/>
              </w:rPr>
            </w:pPr>
            <w:r w:rsidRPr="00037A46">
              <w:rPr>
                <w:rFonts w:cs="Arial"/>
                <w:bCs/>
              </w:rPr>
              <w:t>1x2x550</w:t>
            </w:r>
          </w:p>
        </w:tc>
        <w:tc>
          <w:tcPr>
            <w:tcW w:w="1180" w:type="dxa"/>
            <w:tcBorders>
              <w:top w:val="nil"/>
              <w:left w:val="nil"/>
              <w:bottom w:val="nil"/>
              <w:right w:val="double" w:sz="6" w:space="0" w:color="auto"/>
            </w:tcBorders>
            <w:noWrap/>
            <w:vAlign w:val="bottom"/>
          </w:tcPr>
          <w:p w14:paraId="5326A353" w14:textId="77777777" w:rsidR="00337F85" w:rsidRPr="00037A46" w:rsidRDefault="00337F85" w:rsidP="00154DC5">
            <w:pPr>
              <w:spacing w:before="0" w:after="0"/>
              <w:ind w:left="-212"/>
              <w:jc w:val="right"/>
              <w:rPr>
                <w:rFonts w:cs="Arial"/>
                <w:bCs/>
              </w:rPr>
            </w:pPr>
          </w:p>
        </w:tc>
        <w:tc>
          <w:tcPr>
            <w:tcW w:w="1221" w:type="dxa"/>
            <w:tcBorders>
              <w:top w:val="nil"/>
              <w:left w:val="nil"/>
              <w:bottom w:val="nil"/>
              <w:right w:val="single" w:sz="12" w:space="0" w:color="auto"/>
            </w:tcBorders>
            <w:noWrap/>
            <w:vAlign w:val="bottom"/>
          </w:tcPr>
          <w:p w14:paraId="0C548B43" w14:textId="77777777" w:rsidR="00337F85" w:rsidRPr="00037A46" w:rsidRDefault="00337F85" w:rsidP="00154DC5">
            <w:pPr>
              <w:spacing w:before="0" w:after="0"/>
              <w:ind w:left="-212"/>
              <w:jc w:val="right"/>
              <w:rPr>
                <w:rFonts w:cs="Arial"/>
                <w:bCs/>
              </w:rPr>
            </w:pPr>
          </w:p>
        </w:tc>
      </w:tr>
      <w:tr w:rsidR="00337F85" w:rsidRPr="00037A46" w14:paraId="4910AEB5"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1E9A0554"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 </w:t>
            </w:r>
          </w:p>
        </w:tc>
        <w:tc>
          <w:tcPr>
            <w:tcW w:w="1180" w:type="dxa"/>
            <w:tcBorders>
              <w:top w:val="nil"/>
              <w:left w:val="double" w:sz="6" w:space="0" w:color="auto"/>
              <w:bottom w:val="nil"/>
              <w:right w:val="double" w:sz="6" w:space="0" w:color="auto"/>
            </w:tcBorders>
            <w:noWrap/>
            <w:vAlign w:val="bottom"/>
          </w:tcPr>
          <w:p w14:paraId="15CB1C58" w14:textId="77777777" w:rsidR="00337F85" w:rsidRPr="00037A46" w:rsidRDefault="00337F85" w:rsidP="00154DC5">
            <w:pPr>
              <w:spacing w:before="0" w:after="0"/>
              <w:ind w:left="-212"/>
              <w:jc w:val="right"/>
              <w:rPr>
                <w:rFonts w:cs="Arial"/>
                <w:bCs/>
              </w:rPr>
            </w:pPr>
            <w:r w:rsidRPr="00037A46">
              <w:rPr>
                <w:rFonts w:cs="Arial"/>
                <w:bCs/>
              </w:rPr>
              <w:t> </w:t>
            </w:r>
          </w:p>
        </w:tc>
        <w:tc>
          <w:tcPr>
            <w:tcW w:w="1240" w:type="dxa"/>
            <w:tcBorders>
              <w:top w:val="nil"/>
              <w:left w:val="nil"/>
              <w:bottom w:val="nil"/>
              <w:right w:val="double" w:sz="6" w:space="0" w:color="auto"/>
            </w:tcBorders>
            <w:noWrap/>
            <w:vAlign w:val="bottom"/>
          </w:tcPr>
          <w:p w14:paraId="2C0B119E" w14:textId="77777777" w:rsidR="00337F85" w:rsidRPr="00037A46" w:rsidRDefault="00337F85" w:rsidP="00154DC5">
            <w:pPr>
              <w:spacing w:before="0" w:after="0"/>
              <w:ind w:left="-212"/>
              <w:jc w:val="right"/>
              <w:rPr>
                <w:rFonts w:cs="Arial"/>
                <w:bCs/>
              </w:rPr>
            </w:pPr>
            <w:r w:rsidRPr="00037A46">
              <w:rPr>
                <w:rFonts w:cs="Arial"/>
                <w:bCs/>
              </w:rPr>
              <w:t>1x2x700</w:t>
            </w:r>
          </w:p>
        </w:tc>
        <w:tc>
          <w:tcPr>
            <w:tcW w:w="1180" w:type="dxa"/>
            <w:tcBorders>
              <w:top w:val="nil"/>
              <w:left w:val="nil"/>
              <w:bottom w:val="nil"/>
              <w:right w:val="double" w:sz="6" w:space="0" w:color="auto"/>
            </w:tcBorders>
            <w:noWrap/>
            <w:vAlign w:val="bottom"/>
          </w:tcPr>
          <w:p w14:paraId="3FAFB656" w14:textId="77777777" w:rsidR="00337F85" w:rsidRPr="00037A46" w:rsidRDefault="00337F85" w:rsidP="00154DC5">
            <w:pPr>
              <w:spacing w:before="0" w:after="0"/>
              <w:ind w:left="-212"/>
              <w:jc w:val="right"/>
              <w:rPr>
                <w:rFonts w:cs="Arial"/>
                <w:bCs/>
              </w:rPr>
            </w:pPr>
          </w:p>
        </w:tc>
        <w:tc>
          <w:tcPr>
            <w:tcW w:w="1221" w:type="dxa"/>
            <w:tcBorders>
              <w:top w:val="nil"/>
              <w:left w:val="nil"/>
              <w:bottom w:val="nil"/>
              <w:right w:val="single" w:sz="12" w:space="0" w:color="auto"/>
            </w:tcBorders>
            <w:noWrap/>
            <w:vAlign w:val="bottom"/>
          </w:tcPr>
          <w:p w14:paraId="52F2D636" w14:textId="77777777" w:rsidR="00337F85" w:rsidRPr="00037A46" w:rsidRDefault="00337F85" w:rsidP="00154DC5">
            <w:pPr>
              <w:spacing w:before="0" w:after="0"/>
              <w:ind w:left="-212"/>
              <w:jc w:val="right"/>
              <w:rPr>
                <w:rFonts w:cs="Arial"/>
                <w:bCs/>
              </w:rPr>
            </w:pPr>
          </w:p>
        </w:tc>
      </w:tr>
      <w:tr w:rsidR="00337F85" w:rsidRPr="00037A46" w14:paraId="71FCB920"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200B2E79"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 </w:t>
            </w:r>
          </w:p>
        </w:tc>
        <w:tc>
          <w:tcPr>
            <w:tcW w:w="1180" w:type="dxa"/>
            <w:tcBorders>
              <w:top w:val="nil"/>
              <w:left w:val="double" w:sz="6" w:space="0" w:color="auto"/>
              <w:bottom w:val="nil"/>
              <w:right w:val="double" w:sz="6" w:space="0" w:color="auto"/>
            </w:tcBorders>
            <w:noWrap/>
            <w:vAlign w:val="bottom"/>
          </w:tcPr>
          <w:p w14:paraId="68028DD4" w14:textId="77777777" w:rsidR="00337F85" w:rsidRPr="00037A46" w:rsidRDefault="00337F85" w:rsidP="00154DC5">
            <w:pPr>
              <w:spacing w:before="0" w:after="0"/>
              <w:ind w:left="-212"/>
              <w:jc w:val="right"/>
              <w:rPr>
                <w:rFonts w:cs="Arial"/>
                <w:bCs/>
              </w:rPr>
            </w:pPr>
            <w:r w:rsidRPr="00037A46">
              <w:rPr>
                <w:rFonts w:cs="Arial"/>
                <w:bCs/>
              </w:rPr>
              <w:t> </w:t>
            </w:r>
          </w:p>
        </w:tc>
        <w:tc>
          <w:tcPr>
            <w:tcW w:w="1240" w:type="dxa"/>
            <w:tcBorders>
              <w:top w:val="nil"/>
              <w:left w:val="nil"/>
              <w:bottom w:val="nil"/>
              <w:right w:val="double" w:sz="6" w:space="0" w:color="auto"/>
            </w:tcBorders>
            <w:noWrap/>
            <w:vAlign w:val="bottom"/>
          </w:tcPr>
          <w:p w14:paraId="4507EEDC" w14:textId="77777777" w:rsidR="00337F85" w:rsidRPr="00037A46" w:rsidRDefault="00337F85" w:rsidP="00154DC5">
            <w:pPr>
              <w:spacing w:before="0" w:after="0"/>
              <w:ind w:left="-212"/>
              <w:jc w:val="right"/>
              <w:rPr>
                <w:rFonts w:cs="Arial"/>
                <w:bCs/>
              </w:rPr>
            </w:pPr>
            <w:r w:rsidRPr="00037A46">
              <w:rPr>
                <w:rFonts w:cs="Arial"/>
                <w:bCs/>
              </w:rPr>
              <w:t>1x2x650</w:t>
            </w:r>
          </w:p>
        </w:tc>
        <w:tc>
          <w:tcPr>
            <w:tcW w:w="1180" w:type="dxa"/>
            <w:tcBorders>
              <w:top w:val="nil"/>
              <w:left w:val="nil"/>
              <w:bottom w:val="nil"/>
              <w:right w:val="double" w:sz="6" w:space="0" w:color="auto"/>
            </w:tcBorders>
            <w:noWrap/>
            <w:vAlign w:val="bottom"/>
          </w:tcPr>
          <w:p w14:paraId="5C633687" w14:textId="77777777" w:rsidR="00337F85" w:rsidRPr="00037A46" w:rsidRDefault="00337F85" w:rsidP="00154DC5">
            <w:pPr>
              <w:spacing w:before="0" w:after="0"/>
              <w:ind w:left="-212"/>
              <w:jc w:val="right"/>
              <w:rPr>
                <w:rFonts w:cs="Arial"/>
                <w:bCs/>
              </w:rPr>
            </w:pPr>
          </w:p>
        </w:tc>
        <w:tc>
          <w:tcPr>
            <w:tcW w:w="1221" w:type="dxa"/>
            <w:tcBorders>
              <w:top w:val="nil"/>
              <w:left w:val="nil"/>
              <w:bottom w:val="nil"/>
              <w:right w:val="single" w:sz="12" w:space="0" w:color="auto"/>
            </w:tcBorders>
            <w:noWrap/>
            <w:vAlign w:val="bottom"/>
          </w:tcPr>
          <w:p w14:paraId="652FB341" w14:textId="77777777" w:rsidR="00337F85" w:rsidRPr="00037A46" w:rsidRDefault="00337F85" w:rsidP="00154DC5">
            <w:pPr>
              <w:spacing w:before="0" w:after="0"/>
              <w:ind w:left="-212"/>
              <w:jc w:val="right"/>
              <w:rPr>
                <w:rFonts w:cs="Arial"/>
                <w:bCs/>
              </w:rPr>
            </w:pPr>
          </w:p>
        </w:tc>
      </w:tr>
      <w:tr w:rsidR="00337F85" w:rsidRPr="00037A46" w14:paraId="069DA74D" w14:textId="77777777" w:rsidTr="00154DC5">
        <w:trPr>
          <w:trHeight w:val="330"/>
          <w:jc w:val="center"/>
        </w:trPr>
        <w:tc>
          <w:tcPr>
            <w:tcW w:w="1440" w:type="dxa"/>
            <w:tcBorders>
              <w:top w:val="nil"/>
              <w:left w:val="single" w:sz="12" w:space="0" w:color="auto"/>
              <w:bottom w:val="double" w:sz="6" w:space="0" w:color="auto"/>
              <w:right w:val="double" w:sz="6" w:space="0" w:color="auto"/>
            </w:tcBorders>
            <w:shd w:val="clear" w:color="auto" w:fill="C0C0C0"/>
            <w:noWrap/>
            <w:vAlign w:val="bottom"/>
          </w:tcPr>
          <w:p w14:paraId="0756EBC7"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 </w:t>
            </w:r>
          </w:p>
        </w:tc>
        <w:tc>
          <w:tcPr>
            <w:tcW w:w="1180" w:type="dxa"/>
            <w:tcBorders>
              <w:top w:val="nil"/>
              <w:left w:val="nil"/>
              <w:bottom w:val="double" w:sz="6" w:space="0" w:color="auto"/>
              <w:right w:val="double" w:sz="6" w:space="0" w:color="auto"/>
            </w:tcBorders>
            <w:noWrap/>
            <w:vAlign w:val="bottom"/>
          </w:tcPr>
          <w:p w14:paraId="2C9FDB2E" w14:textId="77777777" w:rsidR="00337F85" w:rsidRPr="00037A46" w:rsidRDefault="00337F85" w:rsidP="00154DC5">
            <w:pPr>
              <w:spacing w:before="0" w:after="0"/>
              <w:ind w:left="-212"/>
              <w:jc w:val="right"/>
              <w:rPr>
                <w:rFonts w:cs="Arial"/>
                <w:bCs/>
              </w:rPr>
            </w:pPr>
            <w:r w:rsidRPr="00037A46">
              <w:rPr>
                <w:rFonts w:cs="Arial"/>
                <w:bCs/>
              </w:rPr>
              <w:t> </w:t>
            </w:r>
          </w:p>
        </w:tc>
        <w:tc>
          <w:tcPr>
            <w:tcW w:w="1240" w:type="dxa"/>
            <w:tcBorders>
              <w:top w:val="nil"/>
              <w:left w:val="nil"/>
              <w:bottom w:val="double" w:sz="6" w:space="0" w:color="auto"/>
              <w:right w:val="double" w:sz="6" w:space="0" w:color="auto"/>
            </w:tcBorders>
            <w:noWrap/>
            <w:vAlign w:val="bottom"/>
          </w:tcPr>
          <w:p w14:paraId="0BA83BCC" w14:textId="77777777" w:rsidR="00337F85" w:rsidRPr="00037A46" w:rsidRDefault="00337F85" w:rsidP="00154DC5">
            <w:pPr>
              <w:spacing w:before="0" w:after="0"/>
              <w:ind w:left="-212"/>
              <w:jc w:val="right"/>
              <w:rPr>
                <w:rFonts w:cs="Arial"/>
                <w:bCs/>
              </w:rPr>
            </w:pPr>
            <w:r w:rsidRPr="00037A46">
              <w:rPr>
                <w:rFonts w:cs="Arial"/>
                <w:bCs/>
              </w:rPr>
              <w:t>1x2x750</w:t>
            </w:r>
          </w:p>
        </w:tc>
        <w:tc>
          <w:tcPr>
            <w:tcW w:w="1180" w:type="dxa"/>
            <w:tcBorders>
              <w:top w:val="nil"/>
              <w:left w:val="nil"/>
              <w:bottom w:val="double" w:sz="6" w:space="0" w:color="auto"/>
              <w:right w:val="double" w:sz="6" w:space="0" w:color="auto"/>
            </w:tcBorders>
            <w:noWrap/>
            <w:vAlign w:val="bottom"/>
          </w:tcPr>
          <w:p w14:paraId="500AAA8B" w14:textId="77777777" w:rsidR="00337F85" w:rsidRPr="00037A46" w:rsidRDefault="00337F85" w:rsidP="00154DC5">
            <w:pPr>
              <w:spacing w:before="0" w:after="0"/>
              <w:ind w:left="-212"/>
              <w:jc w:val="right"/>
              <w:rPr>
                <w:rFonts w:cs="Arial"/>
                <w:bCs/>
              </w:rPr>
            </w:pPr>
            <w:r w:rsidRPr="00037A46">
              <w:rPr>
                <w:rFonts w:cs="Arial"/>
                <w:bCs/>
              </w:rPr>
              <w:t> </w:t>
            </w:r>
          </w:p>
        </w:tc>
        <w:tc>
          <w:tcPr>
            <w:tcW w:w="1221" w:type="dxa"/>
            <w:tcBorders>
              <w:top w:val="nil"/>
              <w:left w:val="nil"/>
              <w:bottom w:val="double" w:sz="6" w:space="0" w:color="auto"/>
              <w:right w:val="single" w:sz="12" w:space="0" w:color="auto"/>
            </w:tcBorders>
            <w:noWrap/>
            <w:vAlign w:val="bottom"/>
          </w:tcPr>
          <w:p w14:paraId="443D817E" w14:textId="77777777" w:rsidR="00337F85" w:rsidRPr="00037A46" w:rsidRDefault="00337F85" w:rsidP="00154DC5">
            <w:pPr>
              <w:spacing w:before="0" w:after="0"/>
              <w:ind w:left="-212"/>
              <w:jc w:val="right"/>
              <w:rPr>
                <w:rFonts w:cs="Arial"/>
                <w:bCs/>
              </w:rPr>
            </w:pPr>
            <w:r w:rsidRPr="00037A46">
              <w:rPr>
                <w:rFonts w:cs="Arial"/>
                <w:bCs/>
              </w:rPr>
              <w:t> </w:t>
            </w:r>
          </w:p>
        </w:tc>
      </w:tr>
      <w:tr w:rsidR="00337F85" w:rsidRPr="00037A46" w14:paraId="7EAA9DD9" w14:textId="77777777" w:rsidTr="00154DC5">
        <w:trPr>
          <w:trHeight w:val="330"/>
          <w:jc w:val="center"/>
        </w:trPr>
        <w:tc>
          <w:tcPr>
            <w:tcW w:w="1440" w:type="dxa"/>
            <w:tcBorders>
              <w:top w:val="double" w:sz="6" w:space="0" w:color="auto"/>
              <w:left w:val="single" w:sz="12" w:space="0" w:color="auto"/>
              <w:bottom w:val="nil"/>
              <w:right w:val="nil"/>
            </w:tcBorders>
            <w:shd w:val="clear" w:color="auto" w:fill="C0C0C0"/>
            <w:noWrap/>
            <w:vAlign w:val="bottom"/>
          </w:tcPr>
          <w:p w14:paraId="6927F75B"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0</w:t>
            </w:r>
          </w:p>
        </w:tc>
        <w:tc>
          <w:tcPr>
            <w:tcW w:w="1180" w:type="dxa"/>
            <w:tcBorders>
              <w:top w:val="double" w:sz="6" w:space="0" w:color="auto"/>
              <w:left w:val="double" w:sz="6" w:space="0" w:color="auto"/>
              <w:bottom w:val="nil"/>
              <w:right w:val="double" w:sz="6" w:space="0" w:color="auto"/>
            </w:tcBorders>
            <w:noWrap/>
            <w:vAlign w:val="bottom"/>
          </w:tcPr>
          <w:p w14:paraId="3D495BB7" w14:textId="77777777" w:rsidR="00337F85" w:rsidRPr="00037A46" w:rsidRDefault="00337F85" w:rsidP="00154DC5">
            <w:pPr>
              <w:spacing w:before="0" w:after="0"/>
              <w:ind w:left="-212"/>
              <w:jc w:val="right"/>
              <w:rPr>
                <w:rFonts w:cs="Arial"/>
                <w:bCs/>
              </w:rPr>
            </w:pPr>
            <w:r w:rsidRPr="00037A46">
              <w:rPr>
                <w:rFonts w:cs="Arial"/>
                <w:bCs/>
              </w:rPr>
              <w:t>17.450</w:t>
            </w:r>
          </w:p>
        </w:tc>
        <w:tc>
          <w:tcPr>
            <w:tcW w:w="1240" w:type="dxa"/>
            <w:tcBorders>
              <w:top w:val="double" w:sz="6" w:space="0" w:color="auto"/>
              <w:left w:val="nil"/>
              <w:bottom w:val="nil"/>
              <w:right w:val="double" w:sz="6" w:space="0" w:color="auto"/>
            </w:tcBorders>
            <w:noWrap/>
            <w:vAlign w:val="bottom"/>
          </w:tcPr>
          <w:p w14:paraId="42504669" w14:textId="77777777" w:rsidR="00337F85" w:rsidRPr="00037A46" w:rsidRDefault="00337F85" w:rsidP="00154DC5">
            <w:pPr>
              <w:spacing w:before="0" w:after="0"/>
              <w:ind w:left="-212"/>
              <w:jc w:val="right"/>
              <w:rPr>
                <w:rFonts w:cs="Arial"/>
                <w:bCs/>
              </w:rPr>
            </w:pPr>
            <w:r w:rsidRPr="00037A46">
              <w:rPr>
                <w:rFonts w:cs="Arial"/>
                <w:bCs/>
              </w:rPr>
              <w:t>18.950</w:t>
            </w:r>
          </w:p>
        </w:tc>
        <w:tc>
          <w:tcPr>
            <w:tcW w:w="1180" w:type="dxa"/>
            <w:tcBorders>
              <w:top w:val="double" w:sz="6" w:space="0" w:color="auto"/>
              <w:left w:val="nil"/>
              <w:bottom w:val="nil"/>
              <w:right w:val="double" w:sz="6" w:space="0" w:color="auto"/>
            </w:tcBorders>
            <w:noWrap/>
            <w:vAlign w:val="bottom"/>
          </w:tcPr>
          <w:p w14:paraId="1CA9F633" w14:textId="77777777" w:rsidR="00337F85" w:rsidRPr="00037A46" w:rsidRDefault="00337F85" w:rsidP="00154DC5">
            <w:pPr>
              <w:spacing w:before="0" w:after="0"/>
              <w:ind w:left="-212"/>
              <w:jc w:val="right"/>
              <w:rPr>
                <w:rFonts w:cs="Arial"/>
                <w:bCs/>
              </w:rPr>
            </w:pPr>
            <w:r w:rsidRPr="00037A46">
              <w:rPr>
                <w:rFonts w:cs="Arial"/>
                <w:bCs/>
              </w:rPr>
              <w:t>19.650</w:t>
            </w:r>
          </w:p>
        </w:tc>
        <w:tc>
          <w:tcPr>
            <w:tcW w:w="1221" w:type="dxa"/>
            <w:tcBorders>
              <w:top w:val="double" w:sz="6" w:space="0" w:color="auto"/>
              <w:left w:val="nil"/>
              <w:bottom w:val="nil"/>
              <w:right w:val="single" w:sz="12" w:space="0" w:color="auto"/>
            </w:tcBorders>
            <w:noWrap/>
            <w:vAlign w:val="bottom"/>
          </w:tcPr>
          <w:p w14:paraId="3F56C404" w14:textId="77777777" w:rsidR="00337F85" w:rsidRPr="00037A46" w:rsidRDefault="00337F85" w:rsidP="00154DC5">
            <w:pPr>
              <w:spacing w:before="0" w:after="0"/>
              <w:ind w:left="-212"/>
              <w:jc w:val="right"/>
              <w:rPr>
                <w:rFonts w:cs="Arial"/>
                <w:bCs/>
              </w:rPr>
            </w:pPr>
            <w:r w:rsidRPr="00037A46">
              <w:rPr>
                <w:rFonts w:cs="Arial"/>
                <w:bCs/>
              </w:rPr>
              <w:t>22.050</w:t>
            </w:r>
          </w:p>
        </w:tc>
      </w:tr>
      <w:tr w:rsidR="00337F85" w:rsidRPr="00037A46" w14:paraId="4F770B4F"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72768A36"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1</w:t>
            </w:r>
          </w:p>
        </w:tc>
        <w:tc>
          <w:tcPr>
            <w:tcW w:w="1180" w:type="dxa"/>
            <w:tcBorders>
              <w:top w:val="nil"/>
              <w:left w:val="double" w:sz="6" w:space="0" w:color="auto"/>
              <w:bottom w:val="nil"/>
              <w:right w:val="double" w:sz="6" w:space="0" w:color="auto"/>
            </w:tcBorders>
            <w:noWrap/>
            <w:vAlign w:val="bottom"/>
          </w:tcPr>
          <w:p w14:paraId="48A12789" w14:textId="77777777" w:rsidR="00337F85" w:rsidRPr="00037A46" w:rsidRDefault="00337F85" w:rsidP="00154DC5">
            <w:pPr>
              <w:spacing w:before="0" w:after="0"/>
              <w:ind w:left="-212"/>
              <w:jc w:val="right"/>
              <w:rPr>
                <w:rFonts w:cs="Arial"/>
                <w:bCs/>
              </w:rPr>
            </w:pPr>
            <w:r w:rsidRPr="00037A46">
              <w:rPr>
                <w:rFonts w:cs="Arial"/>
                <w:bCs/>
              </w:rPr>
              <w:t>17.900</w:t>
            </w:r>
          </w:p>
        </w:tc>
        <w:tc>
          <w:tcPr>
            <w:tcW w:w="1240" w:type="dxa"/>
            <w:tcBorders>
              <w:top w:val="nil"/>
              <w:left w:val="nil"/>
              <w:bottom w:val="nil"/>
              <w:right w:val="double" w:sz="6" w:space="0" w:color="auto"/>
            </w:tcBorders>
            <w:noWrap/>
            <w:vAlign w:val="bottom"/>
          </w:tcPr>
          <w:p w14:paraId="69769E97" w14:textId="77777777" w:rsidR="00337F85" w:rsidRPr="00037A46" w:rsidRDefault="00337F85" w:rsidP="00154DC5">
            <w:pPr>
              <w:spacing w:before="0" w:after="0"/>
              <w:ind w:left="-212"/>
              <w:jc w:val="right"/>
              <w:rPr>
                <w:rFonts w:cs="Arial"/>
                <w:bCs/>
              </w:rPr>
            </w:pPr>
            <w:r w:rsidRPr="00037A46">
              <w:rPr>
                <w:rFonts w:cs="Arial"/>
                <w:bCs/>
              </w:rPr>
              <w:t>19.600</w:t>
            </w:r>
          </w:p>
        </w:tc>
        <w:tc>
          <w:tcPr>
            <w:tcW w:w="1180" w:type="dxa"/>
            <w:tcBorders>
              <w:top w:val="nil"/>
              <w:left w:val="nil"/>
              <w:bottom w:val="nil"/>
              <w:right w:val="double" w:sz="6" w:space="0" w:color="auto"/>
            </w:tcBorders>
            <w:noWrap/>
            <w:vAlign w:val="bottom"/>
          </w:tcPr>
          <w:p w14:paraId="06AEEF4F" w14:textId="77777777" w:rsidR="00337F85" w:rsidRPr="00037A46" w:rsidRDefault="00337F85" w:rsidP="00154DC5">
            <w:pPr>
              <w:spacing w:before="0" w:after="0"/>
              <w:ind w:left="-212"/>
              <w:jc w:val="right"/>
              <w:rPr>
                <w:rFonts w:cs="Arial"/>
                <w:bCs/>
              </w:rPr>
            </w:pPr>
            <w:r w:rsidRPr="00037A46">
              <w:rPr>
                <w:rFonts w:cs="Arial"/>
                <w:bCs/>
              </w:rPr>
              <w:t>20.450</w:t>
            </w:r>
          </w:p>
        </w:tc>
        <w:tc>
          <w:tcPr>
            <w:tcW w:w="1221" w:type="dxa"/>
            <w:tcBorders>
              <w:top w:val="nil"/>
              <w:left w:val="nil"/>
              <w:bottom w:val="nil"/>
              <w:right w:val="single" w:sz="12" w:space="0" w:color="auto"/>
            </w:tcBorders>
            <w:noWrap/>
            <w:vAlign w:val="bottom"/>
          </w:tcPr>
          <w:p w14:paraId="001F651F" w14:textId="77777777" w:rsidR="00337F85" w:rsidRPr="00037A46" w:rsidRDefault="00337F85" w:rsidP="00154DC5">
            <w:pPr>
              <w:spacing w:before="0" w:after="0"/>
              <w:ind w:left="-212"/>
              <w:jc w:val="right"/>
              <w:rPr>
                <w:rFonts w:cs="Arial"/>
                <w:bCs/>
              </w:rPr>
            </w:pPr>
            <w:r w:rsidRPr="00037A46">
              <w:rPr>
                <w:rFonts w:cs="Arial"/>
                <w:bCs/>
              </w:rPr>
              <w:t>23.000</w:t>
            </w:r>
          </w:p>
        </w:tc>
      </w:tr>
      <w:tr w:rsidR="00337F85" w:rsidRPr="00037A46" w14:paraId="62E2D5DE"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24F9C69F"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2</w:t>
            </w:r>
          </w:p>
        </w:tc>
        <w:tc>
          <w:tcPr>
            <w:tcW w:w="1180" w:type="dxa"/>
            <w:tcBorders>
              <w:top w:val="nil"/>
              <w:left w:val="double" w:sz="6" w:space="0" w:color="auto"/>
              <w:bottom w:val="nil"/>
              <w:right w:val="double" w:sz="6" w:space="0" w:color="auto"/>
            </w:tcBorders>
            <w:noWrap/>
            <w:vAlign w:val="bottom"/>
          </w:tcPr>
          <w:p w14:paraId="1D45795C" w14:textId="77777777" w:rsidR="00337F85" w:rsidRPr="00037A46" w:rsidRDefault="00337F85" w:rsidP="00154DC5">
            <w:pPr>
              <w:spacing w:before="0" w:after="0"/>
              <w:ind w:left="-212"/>
              <w:jc w:val="right"/>
              <w:rPr>
                <w:rFonts w:cs="Arial"/>
                <w:bCs/>
              </w:rPr>
            </w:pPr>
            <w:r w:rsidRPr="00037A46">
              <w:rPr>
                <w:rFonts w:cs="Arial"/>
                <w:bCs/>
              </w:rPr>
              <w:t>17.900</w:t>
            </w:r>
          </w:p>
        </w:tc>
        <w:tc>
          <w:tcPr>
            <w:tcW w:w="1240" w:type="dxa"/>
            <w:tcBorders>
              <w:top w:val="nil"/>
              <w:left w:val="nil"/>
              <w:bottom w:val="nil"/>
              <w:right w:val="double" w:sz="6" w:space="0" w:color="auto"/>
            </w:tcBorders>
            <w:noWrap/>
            <w:vAlign w:val="bottom"/>
          </w:tcPr>
          <w:p w14:paraId="0D4D8FB9" w14:textId="77777777" w:rsidR="00337F85" w:rsidRPr="00037A46" w:rsidRDefault="00337F85" w:rsidP="00154DC5">
            <w:pPr>
              <w:spacing w:before="0" w:after="0"/>
              <w:ind w:left="-212"/>
              <w:jc w:val="right"/>
              <w:rPr>
                <w:rFonts w:cs="Arial"/>
                <w:bCs/>
              </w:rPr>
            </w:pPr>
            <w:r w:rsidRPr="00037A46">
              <w:rPr>
                <w:rFonts w:cs="Arial"/>
                <w:bCs/>
              </w:rPr>
              <w:t>19.600</w:t>
            </w:r>
          </w:p>
        </w:tc>
        <w:tc>
          <w:tcPr>
            <w:tcW w:w="1180" w:type="dxa"/>
            <w:tcBorders>
              <w:top w:val="nil"/>
              <w:left w:val="nil"/>
              <w:bottom w:val="nil"/>
              <w:right w:val="double" w:sz="6" w:space="0" w:color="auto"/>
            </w:tcBorders>
            <w:noWrap/>
            <w:vAlign w:val="bottom"/>
          </w:tcPr>
          <w:p w14:paraId="738F62C1" w14:textId="77777777" w:rsidR="00337F85" w:rsidRPr="00037A46" w:rsidRDefault="00337F85" w:rsidP="00154DC5">
            <w:pPr>
              <w:spacing w:before="0" w:after="0"/>
              <w:ind w:left="-212"/>
              <w:jc w:val="right"/>
              <w:rPr>
                <w:rFonts w:cs="Arial"/>
                <w:bCs/>
              </w:rPr>
            </w:pPr>
            <w:r w:rsidRPr="00037A46">
              <w:rPr>
                <w:rFonts w:cs="Arial"/>
                <w:bCs/>
              </w:rPr>
              <w:t>20.450</w:t>
            </w:r>
          </w:p>
        </w:tc>
        <w:tc>
          <w:tcPr>
            <w:tcW w:w="1221" w:type="dxa"/>
            <w:tcBorders>
              <w:top w:val="nil"/>
              <w:left w:val="nil"/>
              <w:bottom w:val="nil"/>
              <w:right w:val="single" w:sz="12" w:space="0" w:color="auto"/>
            </w:tcBorders>
            <w:noWrap/>
            <w:vAlign w:val="bottom"/>
          </w:tcPr>
          <w:p w14:paraId="5ECC68F1" w14:textId="77777777" w:rsidR="00337F85" w:rsidRPr="00037A46" w:rsidRDefault="00337F85" w:rsidP="00154DC5">
            <w:pPr>
              <w:spacing w:before="0" w:after="0"/>
              <w:ind w:left="-212"/>
              <w:jc w:val="right"/>
              <w:rPr>
                <w:rFonts w:cs="Arial"/>
                <w:bCs/>
              </w:rPr>
            </w:pPr>
            <w:r w:rsidRPr="00037A46">
              <w:rPr>
                <w:rFonts w:cs="Arial"/>
                <w:bCs/>
              </w:rPr>
              <w:t>23.000</w:t>
            </w:r>
          </w:p>
        </w:tc>
      </w:tr>
      <w:tr w:rsidR="00337F85" w:rsidRPr="00037A46" w14:paraId="6ABE2759"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33338A34"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3</w:t>
            </w:r>
          </w:p>
        </w:tc>
        <w:tc>
          <w:tcPr>
            <w:tcW w:w="1180" w:type="dxa"/>
            <w:tcBorders>
              <w:top w:val="nil"/>
              <w:left w:val="double" w:sz="6" w:space="0" w:color="auto"/>
              <w:bottom w:val="nil"/>
              <w:right w:val="double" w:sz="6" w:space="0" w:color="auto"/>
            </w:tcBorders>
            <w:noWrap/>
            <w:vAlign w:val="bottom"/>
          </w:tcPr>
          <w:p w14:paraId="5B49BD96" w14:textId="77777777" w:rsidR="00337F85" w:rsidRPr="00037A46" w:rsidRDefault="00337F85" w:rsidP="00154DC5">
            <w:pPr>
              <w:spacing w:before="0" w:after="0"/>
              <w:ind w:left="-212"/>
              <w:jc w:val="right"/>
              <w:rPr>
                <w:rFonts w:cs="Arial"/>
                <w:bCs/>
              </w:rPr>
            </w:pPr>
            <w:r w:rsidRPr="00037A46">
              <w:rPr>
                <w:rFonts w:cs="Arial"/>
                <w:bCs/>
              </w:rPr>
              <w:t>18.400</w:t>
            </w:r>
          </w:p>
        </w:tc>
        <w:tc>
          <w:tcPr>
            <w:tcW w:w="1240" w:type="dxa"/>
            <w:tcBorders>
              <w:top w:val="nil"/>
              <w:left w:val="nil"/>
              <w:bottom w:val="nil"/>
              <w:right w:val="double" w:sz="6" w:space="0" w:color="auto"/>
            </w:tcBorders>
            <w:noWrap/>
            <w:vAlign w:val="bottom"/>
          </w:tcPr>
          <w:p w14:paraId="36FB1562" w14:textId="77777777" w:rsidR="00337F85" w:rsidRPr="00037A46" w:rsidRDefault="00337F85" w:rsidP="00154DC5">
            <w:pPr>
              <w:spacing w:before="0" w:after="0"/>
              <w:ind w:left="-212"/>
              <w:jc w:val="right"/>
              <w:rPr>
                <w:rFonts w:cs="Arial"/>
                <w:bCs/>
              </w:rPr>
            </w:pPr>
            <w:r w:rsidRPr="00037A46">
              <w:rPr>
                <w:rFonts w:cs="Arial"/>
                <w:bCs/>
              </w:rPr>
              <w:t>20.200</w:t>
            </w:r>
          </w:p>
        </w:tc>
        <w:tc>
          <w:tcPr>
            <w:tcW w:w="1180" w:type="dxa"/>
            <w:tcBorders>
              <w:top w:val="nil"/>
              <w:left w:val="nil"/>
              <w:bottom w:val="nil"/>
              <w:right w:val="double" w:sz="6" w:space="0" w:color="auto"/>
            </w:tcBorders>
            <w:noWrap/>
            <w:vAlign w:val="bottom"/>
          </w:tcPr>
          <w:p w14:paraId="59702E09" w14:textId="77777777" w:rsidR="00337F85" w:rsidRPr="00037A46" w:rsidRDefault="00337F85" w:rsidP="00154DC5">
            <w:pPr>
              <w:spacing w:before="0" w:after="0"/>
              <w:ind w:left="-212"/>
              <w:jc w:val="right"/>
              <w:rPr>
                <w:rFonts w:cs="Arial"/>
                <w:bCs/>
              </w:rPr>
            </w:pPr>
            <w:r w:rsidRPr="00037A46">
              <w:rPr>
                <w:rFonts w:cs="Arial"/>
                <w:bCs/>
              </w:rPr>
              <w:t>21.250</w:t>
            </w:r>
          </w:p>
        </w:tc>
        <w:tc>
          <w:tcPr>
            <w:tcW w:w="1221" w:type="dxa"/>
            <w:tcBorders>
              <w:top w:val="nil"/>
              <w:left w:val="nil"/>
              <w:bottom w:val="nil"/>
              <w:right w:val="single" w:sz="12" w:space="0" w:color="auto"/>
            </w:tcBorders>
            <w:noWrap/>
            <w:vAlign w:val="bottom"/>
          </w:tcPr>
          <w:p w14:paraId="3FA2FC84" w14:textId="77777777" w:rsidR="00337F85" w:rsidRPr="00037A46" w:rsidRDefault="00337F85" w:rsidP="00154DC5">
            <w:pPr>
              <w:spacing w:before="0" w:after="0"/>
              <w:ind w:left="-212"/>
              <w:jc w:val="right"/>
              <w:rPr>
                <w:rFonts w:cs="Arial"/>
                <w:bCs/>
              </w:rPr>
            </w:pPr>
            <w:r w:rsidRPr="00037A46">
              <w:rPr>
                <w:rFonts w:cs="Arial"/>
                <w:bCs/>
              </w:rPr>
              <w:t>23.900</w:t>
            </w:r>
          </w:p>
        </w:tc>
      </w:tr>
      <w:tr w:rsidR="00337F85" w:rsidRPr="00037A46" w14:paraId="5318E3C9"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1BF8618B"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4</w:t>
            </w:r>
          </w:p>
        </w:tc>
        <w:tc>
          <w:tcPr>
            <w:tcW w:w="1180" w:type="dxa"/>
            <w:tcBorders>
              <w:top w:val="nil"/>
              <w:left w:val="double" w:sz="6" w:space="0" w:color="auto"/>
              <w:bottom w:val="nil"/>
              <w:right w:val="double" w:sz="6" w:space="0" w:color="auto"/>
            </w:tcBorders>
            <w:noWrap/>
            <w:vAlign w:val="bottom"/>
          </w:tcPr>
          <w:p w14:paraId="22C2CDAA" w14:textId="77777777" w:rsidR="00337F85" w:rsidRPr="00037A46" w:rsidRDefault="00337F85" w:rsidP="00154DC5">
            <w:pPr>
              <w:spacing w:before="0" w:after="0"/>
              <w:ind w:left="-212"/>
              <w:jc w:val="right"/>
              <w:rPr>
                <w:rFonts w:cs="Arial"/>
                <w:bCs/>
              </w:rPr>
            </w:pPr>
            <w:r w:rsidRPr="00037A46">
              <w:rPr>
                <w:rFonts w:cs="Arial"/>
                <w:bCs/>
              </w:rPr>
              <w:t>18.400</w:t>
            </w:r>
          </w:p>
        </w:tc>
        <w:tc>
          <w:tcPr>
            <w:tcW w:w="1240" w:type="dxa"/>
            <w:tcBorders>
              <w:top w:val="nil"/>
              <w:left w:val="nil"/>
              <w:bottom w:val="nil"/>
              <w:right w:val="double" w:sz="6" w:space="0" w:color="auto"/>
            </w:tcBorders>
            <w:noWrap/>
            <w:vAlign w:val="bottom"/>
          </w:tcPr>
          <w:p w14:paraId="2658C721" w14:textId="77777777" w:rsidR="00337F85" w:rsidRPr="00037A46" w:rsidRDefault="00337F85" w:rsidP="00154DC5">
            <w:pPr>
              <w:spacing w:before="0" w:after="0"/>
              <w:ind w:left="-212"/>
              <w:jc w:val="right"/>
              <w:rPr>
                <w:rFonts w:cs="Arial"/>
                <w:bCs/>
              </w:rPr>
            </w:pPr>
            <w:r w:rsidRPr="00037A46">
              <w:rPr>
                <w:rFonts w:cs="Arial"/>
                <w:bCs/>
              </w:rPr>
              <w:t>20.200</w:t>
            </w:r>
          </w:p>
        </w:tc>
        <w:tc>
          <w:tcPr>
            <w:tcW w:w="1180" w:type="dxa"/>
            <w:tcBorders>
              <w:top w:val="nil"/>
              <w:left w:val="nil"/>
              <w:bottom w:val="nil"/>
              <w:right w:val="double" w:sz="6" w:space="0" w:color="auto"/>
            </w:tcBorders>
            <w:noWrap/>
            <w:vAlign w:val="bottom"/>
          </w:tcPr>
          <w:p w14:paraId="36DC04B2" w14:textId="77777777" w:rsidR="00337F85" w:rsidRPr="00037A46" w:rsidRDefault="00337F85" w:rsidP="00154DC5">
            <w:pPr>
              <w:spacing w:before="0" w:after="0"/>
              <w:ind w:left="-212"/>
              <w:jc w:val="right"/>
              <w:rPr>
                <w:rFonts w:cs="Arial"/>
                <w:bCs/>
              </w:rPr>
            </w:pPr>
            <w:r w:rsidRPr="00037A46">
              <w:rPr>
                <w:rFonts w:cs="Arial"/>
                <w:bCs/>
              </w:rPr>
              <w:t>21.250</w:t>
            </w:r>
          </w:p>
        </w:tc>
        <w:tc>
          <w:tcPr>
            <w:tcW w:w="1221" w:type="dxa"/>
            <w:tcBorders>
              <w:top w:val="nil"/>
              <w:left w:val="nil"/>
              <w:bottom w:val="nil"/>
              <w:right w:val="single" w:sz="12" w:space="0" w:color="auto"/>
            </w:tcBorders>
            <w:noWrap/>
            <w:vAlign w:val="bottom"/>
          </w:tcPr>
          <w:p w14:paraId="31ACF3FC" w14:textId="77777777" w:rsidR="00337F85" w:rsidRPr="00037A46" w:rsidRDefault="00337F85" w:rsidP="00154DC5">
            <w:pPr>
              <w:spacing w:before="0" w:after="0"/>
              <w:ind w:left="-212"/>
              <w:jc w:val="right"/>
              <w:rPr>
                <w:rFonts w:cs="Arial"/>
                <w:bCs/>
              </w:rPr>
            </w:pPr>
            <w:r w:rsidRPr="00037A46">
              <w:rPr>
                <w:rFonts w:cs="Arial"/>
                <w:bCs/>
              </w:rPr>
              <w:t>23.900</w:t>
            </w:r>
          </w:p>
        </w:tc>
      </w:tr>
      <w:tr w:rsidR="00337F85" w:rsidRPr="00037A46" w14:paraId="38E714E2"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7CE77CAB"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5</w:t>
            </w:r>
          </w:p>
        </w:tc>
        <w:tc>
          <w:tcPr>
            <w:tcW w:w="1180" w:type="dxa"/>
            <w:tcBorders>
              <w:top w:val="nil"/>
              <w:left w:val="double" w:sz="6" w:space="0" w:color="auto"/>
              <w:bottom w:val="nil"/>
              <w:right w:val="double" w:sz="6" w:space="0" w:color="auto"/>
            </w:tcBorders>
            <w:noWrap/>
            <w:vAlign w:val="bottom"/>
          </w:tcPr>
          <w:p w14:paraId="57A6A67A" w14:textId="77777777" w:rsidR="00337F85" w:rsidRPr="00037A46" w:rsidRDefault="00337F85" w:rsidP="00154DC5">
            <w:pPr>
              <w:spacing w:before="0" w:after="0"/>
              <w:ind w:left="-212"/>
              <w:jc w:val="right"/>
              <w:rPr>
                <w:rFonts w:cs="Arial"/>
                <w:bCs/>
              </w:rPr>
            </w:pPr>
            <w:r w:rsidRPr="00037A46">
              <w:rPr>
                <w:rFonts w:cs="Arial"/>
                <w:bCs/>
              </w:rPr>
              <w:t>18.900</w:t>
            </w:r>
          </w:p>
        </w:tc>
        <w:tc>
          <w:tcPr>
            <w:tcW w:w="1240" w:type="dxa"/>
            <w:tcBorders>
              <w:top w:val="nil"/>
              <w:left w:val="nil"/>
              <w:bottom w:val="nil"/>
              <w:right w:val="double" w:sz="6" w:space="0" w:color="auto"/>
            </w:tcBorders>
            <w:noWrap/>
            <w:vAlign w:val="bottom"/>
          </w:tcPr>
          <w:p w14:paraId="2F4D87FD" w14:textId="77777777" w:rsidR="00337F85" w:rsidRPr="00037A46" w:rsidRDefault="00337F85" w:rsidP="00154DC5">
            <w:pPr>
              <w:spacing w:before="0" w:after="0"/>
              <w:ind w:left="-212"/>
              <w:jc w:val="right"/>
              <w:rPr>
                <w:rFonts w:cs="Arial"/>
                <w:bCs/>
              </w:rPr>
            </w:pPr>
            <w:r w:rsidRPr="00037A46">
              <w:rPr>
                <w:rFonts w:cs="Arial"/>
                <w:bCs/>
              </w:rPr>
              <w:t>20.800</w:t>
            </w:r>
          </w:p>
        </w:tc>
        <w:tc>
          <w:tcPr>
            <w:tcW w:w="1180" w:type="dxa"/>
            <w:tcBorders>
              <w:top w:val="nil"/>
              <w:left w:val="nil"/>
              <w:bottom w:val="nil"/>
              <w:right w:val="double" w:sz="6" w:space="0" w:color="auto"/>
            </w:tcBorders>
            <w:noWrap/>
            <w:vAlign w:val="bottom"/>
          </w:tcPr>
          <w:p w14:paraId="4C66BD71" w14:textId="77777777" w:rsidR="00337F85" w:rsidRPr="00037A46" w:rsidRDefault="00337F85" w:rsidP="00154DC5">
            <w:pPr>
              <w:spacing w:before="0" w:after="0"/>
              <w:ind w:left="-212"/>
              <w:jc w:val="right"/>
              <w:rPr>
                <w:rFonts w:cs="Arial"/>
                <w:bCs/>
              </w:rPr>
            </w:pPr>
            <w:r w:rsidRPr="00037A46">
              <w:rPr>
                <w:rFonts w:cs="Arial"/>
                <w:bCs/>
              </w:rPr>
              <w:t>22.050</w:t>
            </w:r>
          </w:p>
        </w:tc>
        <w:tc>
          <w:tcPr>
            <w:tcW w:w="1221" w:type="dxa"/>
            <w:tcBorders>
              <w:top w:val="nil"/>
              <w:left w:val="nil"/>
              <w:bottom w:val="nil"/>
              <w:right w:val="single" w:sz="12" w:space="0" w:color="auto"/>
            </w:tcBorders>
            <w:noWrap/>
            <w:vAlign w:val="bottom"/>
          </w:tcPr>
          <w:p w14:paraId="1C7E6B4C" w14:textId="77777777" w:rsidR="00337F85" w:rsidRPr="00037A46" w:rsidRDefault="00337F85" w:rsidP="00154DC5">
            <w:pPr>
              <w:spacing w:before="0" w:after="0"/>
              <w:ind w:left="-212"/>
              <w:jc w:val="right"/>
              <w:rPr>
                <w:rFonts w:cs="Arial"/>
                <w:bCs/>
              </w:rPr>
            </w:pPr>
            <w:r w:rsidRPr="00037A46">
              <w:rPr>
                <w:rFonts w:cs="Arial"/>
                <w:bCs/>
              </w:rPr>
              <w:t>24.850</w:t>
            </w:r>
          </w:p>
        </w:tc>
      </w:tr>
      <w:tr w:rsidR="00337F85" w:rsidRPr="00037A46" w14:paraId="5E116FE0"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1418E684"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6</w:t>
            </w:r>
          </w:p>
        </w:tc>
        <w:tc>
          <w:tcPr>
            <w:tcW w:w="1180" w:type="dxa"/>
            <w:tcBorders>
              <w:top w:val="nil"/>
              <w:left w:val="double" w:sz="6" w:space="0" w:color="auto"/>
              <w:bottom w:val="nil"/>
              <w:right w:val="double" w:sz="6" w:space="0" w:color="auto"/>
            </w:tcBorders>
            <w:noWrap/>
            <w:vAlign w:val="bottom"/>
          </w:tcPr>
          <w:p w14:paraId="1A500336" w14:textId="77777777" w:rsidR="00337F85" w:rsidRPr="00037A46" w:rsidRDefault="00337F85" w:rsidP="00154DC5">
            <w:pPr>
              <w:spacing w:before="0" w:after="0"/>
              <w:ind w:left="-212"/>
              <w:jc w:val="right"/>
              <w:rPr>
                <w:rFonts w:cs="Arial"/>
                <w:bCs/>
              </w:rPr>
            </w:pPr>
            <w:r w:rsidRPr="00037A46">
              <w:rPr>
                <w:rFonts w:cs="Arial"/>
                <w:bCs/>
              </w:rPr>
              <w:t>18.900</w:t>
            </w:r>
          </w:p>
        </w:tc>
        <w:tc>
          <w:tcPr>
            <w:tcW w:w="1240" w:type="dxa"/>
            <w:tcBorders>
              <w:top w:val="nil"/>
              <w:left w:val="nil"/>
              <w:bottom w:val="nil"/>
              <w:right w:val="double" w:sz="6" w:space="0" w:color="auto"/>
            </w:tcBorders>
            <w:noWrap/>
            <w:vAlign w:val="bottom"/>
          </w:tcPr>
          <w:p w14:paraId="0A97FD5F" w14:textId="77777777" w:rsidR="00337F85" w:rsidRPr="00037A46" w:rsidRDefault="00337F85" w:rsidP="00154DC5">
            <w:pPr>
              <w:spacing w:before="0" w:after="0"/>
              <w:ind w:left="-212"/>
              <w:jc w:val="right"/>
              <w:rPr>
                <w:rFonts w:cs="Arial"/>
                <w:bCs/>
              </w:rPr>
            </w:pPr>
            <w:r w:rsidRPr="00037A46">
              <w:rPr>
                <w:rFonts w:cs="Arial"/>
                <w:bCs/>
              </w:rPr>
              <w:t>20.800</w:t>
            </w:r>
          </w:p>
        </w:tc>
        <w:tc>
          <w:tcPr>
            <w:tcW w:w="1180" w:type="dxa"/>
            <w:tcBorders>
              <w:top w:val="nil"/>
              <w:left w:val="nil"/>
              <w:bottom w:val="nil"/>
              <w:right w:val="double" w:sz="6" w:space="0" w:color="auto"/>
            </w:tcBorders>
            <w:noWrap/>
            <w:vAlign w:val="bottom"/>
          </w:tcPr>
          <w:p w14:paraId="03DFD552" w14:textId="77777777" w:rsidR="00337F85" w:rsidRPr="00037A46" w:rsidRDefault="00337F85" w:rsidP="00154DC5">
            <w:pPr>
              <w:spacing w:before="0" w:after="0"/>
              <w:ind w:left="-212"/>
              <w:jc w:val="right"/>
              <w:rPr>
                <w:rFonts w:cs="Arial"/>
                <w:bCs/>
              </w:rPr>
            </w:pPr>
            <w:r w:rsidRPr="00037A46">
              <w:rPr>
                <w:rFonts w:cs="Arial"/>
                <w:bCs/>
              </w:rPr>
              <w:t>22.050</w:t>
            </w:r>
          </w:p>
        </w:tc>
        <w:tc>
          <w:tcPr>
            <w:tcW w:w="1221" w:type="dxa"/>
            <w:tcBorders>
              <w:top w:val="nil"/>
              <w:left w:val="nil"/>
              <w:bottom w:val="nil"/>
              <w:right w:val="single" w:sz="12" w:space="0" w:color="auto"/>
            </w:tcBorders>
            <w:noWrap/>
            <w:vAlign w:val="bottom"/>
          </w:tcPr>
          <w:p w14:paraId="3D0759EB" w14:textId="77777777" w:rsidR="00337F85" w:rsidRPr="00037A46" w:rsidRDefault="00337F85" w:rsidP="00154DC5">
            <w:pPr>
              <w:spacing w:before="0" w:after="0"/>
              <w:ind w:left="-212"/>
              <w:jc w:val="right"/>
              <w:rPr>
                <w:rFonts w:cs="Arial"/>
                <w:bCs/>
              </w:rPr>
            </w:pPr>
            <w:r w:rsidRPr="00037A46">
              <w:rPr>
                <w:rFonts w:cs="Arial"/>
                <w:bCs/>
              </w:rPr>
              <w:t>24.850</w:t>
            </w:r>
          </w:p>
        </w:tc>
      </w:tr>
      <w:tr w:rsidR="00337F85" w:rsidRPr="00037A46" w14:paraId="145B2156"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5DFDC69B"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7</w:t>
            </w:r>
          </w:p>
        </w:tc>
        <w:tc>
          <w:tcPr>
            <w:tcW w:w="1180" w:type="dxa"/>
            <w:tcBorders>
              <w:top w:val="nil"/>
              <w:left w:val="double" w:sz="6" w:space="0" w:color="auto"/>
              <w:bottom w:val="nil"/>
              <w:right w:val="double" w:sz="6" w:space="0" w:color="auto"/>
            </w:tcBorders>
            <w:noWrap/>
            <w:vAlign w:val="bottom"/>
          </w:tcPr>
          <w:p w14:paraId="6BB9072A" w14:textId="77777777" w:rsidR="00337F85" w:rsidRPr="00037A46" w:rsidRDefault="00337F85" w:rsidP="00154DC5">
            <w:pPr>
              <w:spacing w:before="0" w:after="0"/>
              <w:ind w:left="-212"/>
              <w:jc w:val="right"/>
              <w:rPr>
                <w:rFonts w:cs="Arial"/>
                <w:bCs/>
              </w:rPr>
            </w:pPr>
            <w:r w:rsidRPr="00037A46">
              <w:rPr>
                <w:rFonts w:cs="Arial"/>
                <w:bCs/>
              </w:rPr>
              <w:t>19.400</w:t>
            </w:r>
          </w:p>
        </w:tc>
        <w:tc>
          <w:tcPr>
            <w:tcW w:w="1240" w:type="dxa"/>
            <w:tcBorders>
              <w:top w:val="nil"/>
              <w:left w:val="nil"/>
              <w:bottom w:val="nil"/>
              <w:right w:val="double" w:sz="6" w:space="0" w:color="auto"/>
            </w:tcBorders>
            <w:noWrap/>
            <w:vAlign w:val="bottom"/>
          </w:tcPr>
          <w:p w14:paraId="3454D4D0" w14:textId="77777777" w:rsidR="00337F85" w:rsidRPr="00037A46" w:rsidRDefault="00337F85" w:rsidP="00154DC5">
            <w:pPr>
              <w:spacing w:before="0" w:after="0"/>
              <w:ind w:left="-212"/>
              <w:jc w:val="right"/>
              <w:rPr>
                <w:rFonts w:cs="Arial"/>
                <w:bCs/>
              </w:rPr>
            </w:pPr>
            <w:r w:rsidRPr="00037A46">
              <w:rPr>
                <w:rFonts w:cs="Arial"/>
                <w:bCs/>
              </w:rPr>
              <w:t>21.450</w:t>
            </w:r>
          </w:p>
        </w:tc>
        <w:tc>
          <w:tcPr>
            <w:tcW w:w="1180" w:type="dxa"/>
            <w:tcBorders>
              <w:top w:val="nil"/>
              <w:left w:val="nil"/>
              <w:bottom w:val="nil"/>
              <w:right w:val="double" w:sz="6" w:space="0" w:color="auto"/>
            </w:tcBorders>
            <w:noWrap/>
            <w:vAlign w:val="bottom"/>
          </w:tcPr>
          <w:p w14:paraId="35750176" w14:textId="77777777" w:rsidR="00337F85" w:rsidRPr="00037A46" w:rsidRDefault="00337F85" w:rsidP="00154DC5">
            <w:pPr>
              <w:spacing w:before="0" w:after="0"/>
              <w:ind w:left="-212"/>
              <w:jc w:val="right"/>
              <w:rPr>
                <w:rFonts w:cs="Arial"/>
                <w:bCs/>
              </w:rPr>
            </w:pPr>
            <w:r w:rsidRPr="00037A46">
              <w:rPr>
                <w:rFonts w:cs="Arial"/>
                <w:bCs/>
              </w:rPr>
              <w:t>22.850</w:t>
            </w:r>
          </w:p>
        </w:tc>
        <w:tc>
          <w:tcPr>
            <w:tcW w:w="1221" w:type="dxa"/>
            <w:tcBorders>
              <w:top w:val="nil"/>
              <w:left w:val="nil"/>
              <w:bottom w:val="nil"/>
              <w:right w:val="single" w:sz="12" w:space="0" w:color="auto"/>
            </w:tcBorders>
            <w:noWrap/>
            <w:vAlign w:val="bottom"/>
          </w:tcPr>
          <w:p w14:paraId="64C5D3CC" w14:textId="77777777" w:rsidR="00337F85" w:rsidRPr="00037A46" w:rsidRDefault="00337F85" w:rsidP="00154DC5">
            <w:pPr>
              <w:spacing w:before="0" w:after="0"/>
              <w:ind w:left="-212"/>
              <w:jc w:val="right"/>
              <w:rPr>
                <w:rFonts w:cs="Arial"/>
                <w:bCs/>
              </w:rPr>
            </w:pPr>
            <w:r w:rsidRPr="00037A46">
              <w:rPr>
                <w:rFonts w:cs="Arial"/>
                <w:bCs/>
              </w:rPr>
              <w:t>25.800</w:t>
            </w:r>
          </w:p>
        </w:tc>
      </w:tr>
      <w:tr w:rsidR="00337F85" w:rsidRPr="00037A46" w14:paraId="73EC6FC7"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071AAD1F"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8</w:t>
            </w:r>
          </w:p>
        </w:tc>
        <w:tc>
          <w:tcPr>
            <w:tcW w:w="1180" w:type="dxa"/>
            <w:tcBorders>
              <w:top w:val="nil"/>
              <w:left w:val="double" w:sz="6" w:space="0" w:color="auto"/>
              <w:bottom w:val="nil"/>
              <w:right w:val="double" w:sz="6" w:space="0" w:color="auto"/>
            </w:tcBorders>
            <w:noWrap/>
            <w:vAlign w:val="bottom"/>
          </w:tcPr>
          <w:p w14:paraId="25703FAD" w14:textId="77777777" w:rsidR="00337F85" w:rsidRPr="00037A46" w:rsidRDefault="00337F85" w:rsidP="00154DC5">
            <w:pPr>
              <w:spacing w:before="0" w:after="0"/>
              <w:ind w:left="-212"/>
              <w:jc w:val="right"/>
              <w:rPr>
                <w:rFonts w:cs="Arial"/>
                <w:bCs/>
              </w:rPr>
            </w:pPr>
            <w:r w:rsidRPr="00037A46">
              <w:rPr>
                <w:rFonts w:cs="Arial"/>
                <w:bCs/>
              </w:rPr>
              <w:t>19.400</w:t>
            </w:r>
          </w:p>
        </w:tc>
        <w:tc>
          <w:tcPr>
            <w:tcW w:w="1240" w:type="dxa"/>
            <w:tcBorders>
              <w:top w:val="nil"/>
              <w:left w:val="nil"/>
              <w:bottom w:val="nil"/>
              <w:right w:val="double" w:sz="6" w:space="0" w:color="auto"/>
            </w:tcBorders>
            <w:noWrap/>
            <w:vAlign w:val="bottom"/>
          </w:tcPr>
          <w:p w14:paraId="5E479947" w14:textId="77777777" w:rsidR="00337F85" w:rsidRPr="00037A46" w:rsidRDefault="00337F85" w:rsidP="00154DC5">
            <w:pPr>
              <w:spacing w:before="0" w:after="0"/>
              <w:ind w:left="-212"/>
              <w:jc w:val="right"/>
              <w:rPr>
                <w:rFonts w:cs="Arial"/>
                <w:bCs/>
              </w:rPr>
            </w:pPr>
            <w:r w:rsidRPr="00037A46">
              <w:rPr>
                <w:rFonts w:cs="Arial"/>
                <w:bCs/>
              </w:rPr>
              <w:t>21.450</w:t>
            </w:r>
          </w:p>
        </w:tc>
        <w:tc>
          <w:tcPr>
            <w:tcW w:w="1180" w:type="dxa"/>
            <w:tcBorders>
              <w:top w:val="nil"/>
              <w:left w:val="nil"/>
              <w:bottom w:val="nil"/>
              <w:right w:val="double" w:sz="6" w:space="0" w:color="auto"/>
            </w:tcBorders>
            <w:noWrap/>
            <w:vAlign w:val="bottom"/>
          </w:tcPr>
          <w:p w14:paraId="7BD012EE" w14:textId="77777777" w:rsidR="00337F85" w:rsidRPr="00037A46" w:rsidRDefault="00337F85" w:rsidP="00154DC5">
            <w:pPr>
              <w:spacing w:before="0" w:after="0"/>
              <w:ind w:left="-212"/>
              <w:jc w:val="right"/>
              <w:rPr>
                <w:rFonts w:cs="Arial"/>
                <w:bCs/>
              </w:rPr>
            </w:pPr>
            <w:r w:rsidRPr="00037A46">
              <w:rPr>
                <w:rFonts w:cs="Arial"/>
                <w:bCs/>
              </w:rPr>
              <w:t>22.850</w:t>
            </w:r>
          </w:p>
        </w:tc>
        <w:tc>
          <w:tcPr>
            <w:tcW w:w="1221" w:type="dxa"/>
            <w:tcBorders>
              <w:top w:val="nil"/>
              <w:left w:val="nil"/>
              <w:bottom w:val="nil"/>
              <w:right w:val="single" w:sz="12" w:space="0" w:color="auto"/>
            </w:tcBorders>
            <w:noWrap/>
            <w:vAlign w:val="bottom"/>
          </w:tcPr>
          <w:p w14:paraId="78732201" w14:textId="77777777" w:rsidR="00337F85" w:rsidRPr="00037A46" w:rsidRDefault="00337F85" w:rsidP="00154DC5">
            <w:pPr>
              <w:spacing w:before="0" w:after="0"/>
              <w:ind w:left="-212"/>
              <w:jc w:val="right"/>
              <w:rPr>
                <w:rFonts w:cs="Arial"/>
                <w:bCs/>
              </w:rPr>
            </w:pPr>
            <w:r w:rsidRPr="00037A46">
              <w:rPr>
                <w:rFonts w:cs="Arial"/>
                <w:bCs/>
              </w:rPr>
              <w:t>25.800</w:t>
            </w:r>
          </w:p>
        </w:tc>
      </w:tr>
      <w:tr w:rsidR="00337F85" w:rsidRPr="00037A46" w14:paraId="1A955E16"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50892964"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9</w:t>
            </w:r>
          </w:p>
        </w:tc>
        <w:tc>
          <w:tcPr>
            <w:tcW w:w="1180" w:type="dxa"/>
            <w:tcBorders>
              <w:top w:val="nil"/>
              <w:left w:val="double" w:sz="6" w:space="0" w:color="auto"/>
              <w:bottom w:val="nil"/>
              <w:right w:val="double" w:sz="6" w:space="0" w:color="auto"/>
            </w:tcBorders>
            <w:noWrap/>
            <w:vAlign w:val="bottom"/>
          </w:tcPr>
          <w:p w14:paraId="3905C429" w14:textId="77777777" w:rsidR="00337F85" w:rsidRPr="00037A46" w:rsidRDefault="00337F85" w:rsidP="00154DC5">
            <w:pPr>
              <w:spacing w:before="0" w:after="0"/>
              <w:ind w:left="-212"/>
              <w:jc w:val="right"/>
              <w:rPr>
                <w:rFonts w:cs="Arial"/>
                <w:bCs/>
              </w:rPr>
            </w:pPr>
            <w:r w:rsidRPr="00037A46">
              <w:rPr>
                <w:rFonts w:cs="Arial"/>
                <w:bCs/>
              </w:rPr>
              <w:t>19.900</w:t>
            </w:r>
          </w:p>
        </w:tc>
        <w:tc>
          <w:tcPr>
            <w:tcW w:w="1240" w:type="dxa"/>
            <w:tcBorders>
              <w:top w:val="nil"/>
              <w:left w:val="nil"/>
              <w:bottom w:val="nil"/>
              <w:right w:val="double" w:sz="6" w:space="0" w:color="auto"/>
            </w:tcBorders>
            <w:noWrap/>
            <w:vAlign w:val="bottom"/>
          </w:tcPr>
          <w:p w14:paraId="2D4322C6" w14:textId="77777777" w:rsidR="00337F85" w:rsidRPr="00037A46" w:rsidRDefault="00337F85" w:rsidP="00154DC5">
            <w:pPr>
              <w:spacing w:before="0" w:after="0"/>
              <w:ind w:left="-212"/>
              <w:jc w:val="right"/>
              <w:rPr>
                <w:rFonts w:cs="Arial"/>
                <w:bCs/>
              </w:rPr>
            </w:pPr>
            <w:r w:rsidRPr="00037A46">
              <w:rPr>
                <w:rFonts w:cs="Arial"/>
                <w:bCs/>
              </w:rPr>
              <w:t>22.050</w:t>
            </w:r>
          </w:p>
        </w:tc>
        <w:tc>
          <w:tcPr>
            <w:tcW w:w="1180" w:type="dxa"/>
            <w:tcBorders>
              <w:top w:val="nil"/>
              <w:left w:val="nil"/>
              <w:bottom w:val="nil"/>
              <w:right w:val="double" w:sz="6" w:space="0" w:color="auto"/>
            </w:tcBorders>
            <w:noWrap/>
            <w:vAlign w:val="bottom"/>
          </w:tcPr>
          <w:p w14:paraId="0399E385" w14:textId="77777777" w:rsidR="00337F85" w:rsidRPr="00037A46" w:rsidRDefault="00337F85" w:rsidP="00154DC5">
            <w:pPr>
              <w:spacing w:before="0" w:after="0"/>
              <w:ind w:left="-212"/>
              <w:jc w:val="right"/>
              <w:rPr>
                <w:rFonts w:cs="Arial"/>
                <w:bCs/>
              </w:rPr>
            </w:pPr>
            <w:r w:rsidRPr="00037A46">
              <w:rPr>
                <w:rFonts w:cs="Arial"/>
                <w:bCs/>
              </w:rPr>
              <w:t>23.600</w:t>
            </w:r>
          </w:p>
        </w:tc>
        <w:tc>
          <w:tcPr>
            <w:tcW w:w="1221" w:type="dxa"/>
            <w:tcBorders>
              <w:top w:val="nil"/>
              <w:left w:val="nil"/>
              <w:bottom w:val="nil"/>
              <w:right w:val="single" w:sz="12" w:space="0" w:color="auto"/>
            </w:tcBorders>
            <w:noWrap/>
            <w:vAlign w:val="bottom"/>
          </w:tcPr>
          <w:p w14:paraId="41BA13C6" w14:textId="77777777" w:rsidR="00337F85" w:rsidRPr="00037A46" w:rsidRDefault="00337F85" w:rsidP="00154DC5">
            <w:pPr>
              <w:spacing w:before="0" w:after="0"/>
              <w:ind w:left="-212"/>
              <w:jc w:val="right"/>
              <w:rPr>
                <w:rFonts w:cs="Arial"/>
                <w:bCs/>
              </w:rPr>
            </w:pPr>
            <w:r w:rsidRPr="00037A46">
              <w:rPr>
                <w:rFonts w:cs="Arial"/>
                <w:bCs/>
              </w:rPr>
              <w:t>26.750</w:t>
            </w:r>
          </w:p>
        </w:tc>
      </w:tr>
      <w:tr w:rsidR="00337F85" w:rsidRPr="00037A46" w14:paraId="728CE969"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6F472C95"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10</w:t>
            </w:r>
          </w:p>
        </w:tc>
        <w:tc>
          <w:tcPr>
            <w:tcW w:w="1180" w:type="dxa"/>
            <w:tcBorders>
              <w:top w:val="nil"/>
              <w:left w:val="double" w:sz="6" w:space="0" w:color="auto"/>
              <w:bottom w:val="nil"/>
              <w:right w:val="double" w:sz="6" w:space="0" w:color="auto"/>
            </w:tcBorders>
            <w:noWrap/>
            <w:vAlign w:val="bottom"/>
          </w:tcPr>
          <w:p w14:paraId="188651FB" w14:textId="77777777" w:rsidR="00337F85" w:rsidRPr="00037A46" w:rsidRDefault="00337F85" w:rsidP="00154DC5">
            <w:pPr>
              <w:spacing w:before="0" w:after="0"/>
              <w:ind w:left="-212"/>
              <w:jc w:val="right"/>
              <w:rPr>
                <w:rFonts w:cs="Arial"/>
                <w:bCs/>
              </w:rPr>
            </w:pPr>
            <w:r w:rsidRPr="00037A46">
              <w:rPr>
                <w:rFonts w:cs="Arial"/>
                <w:bCs/>
              </w:rPr>
              <w:t>19.900</w:t>
            </w:r>
          </w:p>
        </w:tc>
        <w:tc>
          <w:tcPr>
            <w:tcW w:w="1240" w:type="dxa"/>
            <w:tcBorders>
              <w:top w:val="nil"/>
              <w:left w:val="nil"/>
              <w:bottom w:val="nil"/>
              <w:right w:val="double" w:sz="6" w:space="0" w:color="auto"/>
            </w:tcBorders>
            <w:noWrap/>
            <w:vAlign w:val="bottom"/>
          </w:tcPr>
          <w:p w14:paraId="7403DBC7" w14:textId="77777777" w:rsidR="00337F85" w:rsidRPr="00037A46" w:rsidRDefault="00337F85" w:rsidP="00154DC5">
            <w:pPr>
              <w:spacing w:before="0" w:after="0"/>
              <w:ind w:left="-212"/>
              <w:jc w:val="right"/>
              <w:rPr>
                <w:rFonts w:cs="Arial"/>
                <w:bCs/>
              </w:rPr>
            </w:pPr>
            <w:r w:rsidRPr="00037A46">
              <w:rPr>
                <w:rFonts w:cs="Arial"/>
                <w:bCs/>
              </w:rPr>
              <w:t>22.050</w:t>
            </w:r>
          </w:p>
        </w:tc>
        <w:tc>
          <w:tcPr>
            <w:tcW w:w="1180" w:type="dxa"/>
            <w:tcBorders>
              <w:top w:val="nil"/>
              <w:left w:val="nil"/>
              <w:bottom w:val="nil"/>
              <w:right w:val="double" w:sz="6" w:space="0" w:color="auto"/>
            </w:tcBorders>
            <w:noWrap/>
            <w:vAlign w:val="bottom"/>
          </w:tcPr>
          <w:p w14:paraId="53135A14" w14:textId="77777777" w:rsidR="00337F85" w:rsidRPr="00037A46" w:rsidRDefault="00337F85" w:rsidP="00154DC5">
            <w:pPr>
              <w:spacing w:before="0" w:after="0"/>
              <w:ind w:left="-212"/>
              <w:jc w:val="right"/>
              <w:rPr>
                <w:rFonts w:cs="Arial"/>
                <w:bCs/>
              </w:rPr>
            </w:pPr>
            <w:r w:rsidRPr="00037A46">
              <w:rPr>
                <w:rFonts w:cs="Arial"/>
                <w:bCs/>
              </w:rPr>
              <w:t>23.600</w:t>
            </w:r>
          </w:p>
        </w:tc>
        <w:tc>
          <w:tcPr>
            <w:tcW w:w="1221" w:type="dxa"/>
            <w:tcBorders>
              <w:top w:val="nil"/>
              <w:left w:val="nil"/>
              <w:bottom w:val="nil"/>
              <w:right w:val="single" w:sz="12" w:space="0" w:color="auto"/>
            </w:tcBorders>
            <w:noWrap/>
            <w:vAlign w:val="bottom"/>
          </w:tcPr>
          <w:p w14:paraId="2873839D" w14:textId="77777777" w:rsidR="00337F85" w:rsidRPr="00037A46" w:rsidRDefault="00337F85" w:rsidP="00154DC5">
            <w:pPr>
              <w:spacing w:before="0" w:after="0"/>
              <w:ind w:left="-212"/>
              <w:jc w:val="right"/>
              <w:rPr>
                <w:rFonts w:cs="Arial"/>
                <w:bCs/>
              </w:rPr>
            </w:pPr>
            <w:r w:rsidRPr="00037A46">
              <w:rPr>
                <w:rFonts w:cs="Arial"/>
                <w:bCs/>
              </w:rPr>
              <w:t>26.750</w:t>
            </w:r>
          </w:p>
        </w:tc>
      </w:tr>
      <w:tr w:rsidR="00337F85" w:rsidRPr="00037A46" w14:paraId="685936AD"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22E35702"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11</w:t>
            </w:r>
          </w:p>
        </w:tc>
        <w:tc>
          <w:tcPr>
            <w:tcW w:w="1180" w:type="dxa"/>
            <w:tcBorders>
              <w:top w:val="nil"/>
              <w:left w:val="double" w:sz="6" w:space="0" w:color="auto"/>
              <w:bottom w:val="nil"/>
              <w:right w:val="double" w:sz="6" w:space="0" w:color="auto"/>
            </w:tcBorders>
            <w:noWrap/>
            <w:vAlign w:val="bottom"/>
          </w:tcPr>
          <w:p w14:paraId="068DB6EE" w14:textId="77777777" w:rsidR="00337F85" w:rsidRPr="00037A46" w:rsidRDefault="00337F85" w:rsidP="00154DC5">
            <w:pPr>
              <w:spacing w:before="0" w:after="0"/>
              <w:ind w:left="-212"/>
              <w:jc w:val="right"/>
              <w:rPr>
                <w:rFonts w:cs="Arial"/>
                <w:bCs/>
              </w:rPr>
            </w:pPr>
            <w:r w:rsidRPr="00037A46">
              <w:rPr>
                <w:rFonts w:cs="Arial"/>
                <w:bCs/>
              </w:rPr>
              <w:t>20.400</w:t>
            </w:r>
          </w:p>
        </w:tc>
        <w:tc>
          <w:tcPr>
            <w:tcW w:w="1240" w:type="dxa"/>
            <w:tcBorders>
              <w:top w:val="nil"/>
              <w:left w:val="nil"/>
              <w:bottom w:val="nil"/>
              <w:right w:val="double" w:sz="6" w:space="0" w:color="auto"/>
            </w:tcBorders>
            <w:noWrap/>
            <w:vAlign w:val="bottom"/>
          </w:tcPr>
          <w:p w14:paraId="05AF7BB7" w14:textId="77777777" w:rsidR="00337F85" w:rsidRPr="00037A46" w:rsidRDefault="00337F85" w:rsidP="00154DC5">
            <w:pPr>
              <w:spacing w:before="0" w:after="0"/>
              <w:ind w:left="-212"/>
              <w:jc w:val="right"/>
              <w:rPr>
                <w:rFonts w:cs="Arial"/>
                <w:bCs/>
              </w:rPr>
            </w:pPr>
            <w:r w:rsidRPr="00037A46">
              <w:rPr>
                <w:rFonts w:cs="Arial"/>
                <w:bCs/>
              </w:rPr>
              <w:t>22.700</w:t>
            </w:r>
          </w:p>
        </w:tc>
        <w:tc>
          <w:tcPr>
            <w:tcW w:w="1180" w:type="dxa"/>
            <w:tcBorders>
              <w:top w:val="nil"/>
              <w:left w:val="nil"/>
              <w:bottom w:val="nil"/>
              <w:right w:val="double" w:sz="6" w:space="0" w:color="auto"/>
            </w:tcBorders>
            <w:noWrap/>
            <w:vAlign w:val="bottom"/>
          </w:tcPr>
          <w:p w14:paraId="3829D840" w14:textId="77777777" w:rsidR="00337F85" w:rsidRPr="00037A46" w:rsidRDefault="00337F85" w:rsidP="00154DC5">
            <w:pPr>
              <w:spacing w:before="0" w:after="0"/>
              <w:ind w:left="-212"/>
              <w:jc w:val="right"/>
              <w:rPr>
                <w:rFonts w:cs="Arial"/>
                <w:bCs/>
              </w:rPr>
            </w:pPr>
            <w:r w:rsidRPr="00037A46">
              <w:rPr>
                <w:rFonts w:cs="Arial"/>
                <w:bCs/>
              </w:rPr>
              <w:t>24.400</w:t>
            </w:r>
          </w:p>
        </w:tc>
        <w:tc>
          <w:tcPr>
            <w:tcW w:w="1221" w:type="dxa"/>
            <w:tcBorders>
              <w:top w:val="nil"/>
              <w:left w:val="nil"/>
              <w:bottom w:val="nil"/>
              <w:right w:val="single" w:sz="12" w:space="0" w:color="auto"/>
            </w:tcBorders>
            <w:noWrap/>
            <w:vAlign w:val="bottom"/>
          </w:tcPr>
          <w:p w14:paraId="3859CEA4" w14:textId="77777777" w:rsidR="00337F85" w:rsidRPr="00037A46" w:rsidRDefault="00337F85" w:rsidP="00154DC5">
            <w:pPr>
              <w:spacing w:before="0" w:after="0"/>
              <w:ind w:left="-212"/>
              <w:jc w:val="right"/>
              <w:rPr>
                <w:rFonts w:cs="Arial"/>
                <w:bCs/>
              </w:rPr>
            </w:pPr>
            <w:r w:rsidRPr="00037A46">
              <w:rPr>
                <w:rFonts w:cs="Arial"/>
                <w:bCs/>
              </w:rPr>
              <w:t>27.700</w:t>
            </w:r>
          </w:p>
        </w:tc>
      </w:tr>
      <w:tr w:rsidR="00337F85" w:rsidRPr="00037A46" w14:paraId="7220FEF9"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41938787"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12</w:t>
            </w:r>
          </w:p>
        </w:tc>
        <w:tc>
          <w:tcPr>
            <w:tcW w:w="1180" w:type="dxa"/>
            <w:tcBorders>
              <w:top w:val="nil"/>
              <w:left w:val="double" w:sz="6" w:space="0" w:color="auto"/>
              <w:bottom w:val="nil"/>
              <w:right w:val="double" w:sz="6" w:space="0" w:color="auto"/>
            </w:tcBorders>
            <w:noWrap/>
            <w:vAlign w:val="bottom"/>
          </w:tcPr>
          <w:p w14:paraId="53C32979" w14:textId="77777777" w:rsidR="00337F85" w:rsidRPr="00037A46" w:rsidRDefault="00337F85" w:rsidP="00154DC5">
            <w:pPr>
              <w:spacing w:before="0" w:after="0"/>
              <w:ind w:left="-212"/>
              <w:jc w:val="right"/>
              <w:rPr>
                <w:rFonts w:cs="Arial"/>
                <w:bCs/>
              </w:rPr>
            </w:pPr>
            <w:r w:rsidRPr="00037A46">
              <w:rPr>
                <w:rFonts w:cs="Arial"/>
                <w:bCs/>
              </w:rPr>
              <w:t>20.400</w:t>
            </w:r>
          </w:p>
        </w:tc>
        <w:tc>
          <w:tcPr>
            <w:tcW w:w="1240" w:type="dxa"/>
            <w:tcBorders>
              <w:top w:val="nil"/>
              <w:left w:val="nil"/>
              <w:bottom w:val="nil"/>
              <w:right w:val="nil"/>
            </w:tcBorders>
            <w:noWrap/>
            <w:vAlign w:val="bottom"/>
          </w:tcPr>
          <w:p w14:paraId="011AE239" w14:textId="77777777" w:rsidR="00337F85" w:rsidRPr="00037A46" w:rsidRDefault="00337F85" w:rsidP="00154DC5">
            <w:pPr>
              <w:spacing w:before="0" w:after="0"/>
              <w:ind w:left="-212"/>
              <w:jc w:val="right"/>
              <w:rPr>
                <w:rFonts w:cs="Arial"/>
                <w:bCs/>
              </w:rPr>
            </w:pPr>
            <w:r w:rsidRPr="00037A46">
              <w:rPr>
                <w:rFonts w:cs="Arial"/>
                <w:bCs/>
              </w:rPr>
              <w:t>22.700</w:t>
            </w:r>
          </w:p>
        </w:tc>
        <w:tc>
          <w:tcPr>
            <w:tcW w:w="1180" w:type="dxa"/>
            <w:tcBorders>
              <w:top w:val="nil"/>
              <w:left w:val="double" w:sz="6" w:space="0" w:color="auto"/>
              <w:bottom w:val="nil"/>
              <w:right w:val="double" w:sz="6" w:space="0" w:color="auto"/>
            </w:tcBorders>
            <w:noWrap/>
            <w:vAlign w:val="bottom"/>
          </w:tcPr>
          <w:p w14:paraId="7F656152" w14:textId="77777777" w:rsidR="00337F85" w:rsidRPr="00037A46" w:rsidRDefault="00337F85" w:rsidP="00154DC5">
            <w:pPr>
              <w:spacing w:before="0" w:after="0"/>
              <w:ind w:left="-212"/>
              <w:jc w:val="right"/>
              <w:rPr>
                <w:rFonts w:cs="Arial"/>
                <w:bCs/>
              </w:rPr>
            </w:pPr>
            <w:r w:rsidRPr="00037A46">
              <w:rPr>
                <w:rFonts w:cs="Arial"/>
                <w:bCs/>
              </w:rPr>
              <w:t>24.400</w:t>
            </w:r>
          </w:p>
        </w:tc>
        <w:tc>
          <w:tcPr>
            <w:tcW w:w="1221" w:type="dxa"/>
            <w:tcBorders>
              <w:top w:val="nil"/>
              <w:left w:val="nil"/>
              <w:bottom w:val="nil"/>
              <w:right w:val="single" w:sz="12" w:space="0" w:color="auto"/>
            </w:tcBorders>
            <w:noWrap/>
            <w:vAlign w:val="bottom"/>
          </w:tcPr>
          <w:p w14:paraId="6F5384F8" w14:textId="77777777" w:rsidR="00337F85" w:rsidRPr="00037A46" w:rsidRDefault="00337F85" w:rsidP="00154DC5">
            <w:pPr>
              <w:spacing w:before="0" w:after="0"/>
              <w:ind w:left="-212"/>
              <w:jc w:val="right"/>
              <w:rPr>
                <w:rFonts w:cs="Arial"/>
                <w:bCs/>
              </w:rPr>
            </w:pPr>
            <w:r w:rsidRPr="00037A46">
              <w:rPr>
                <w:rFonts w:cs="Arial"/>
                <w:bCs/>
              </w:rPr>
              <w:t>27.700</w:t>
            </w:r>
          </w:p>
        </w:tc>
      </w:tr>
      <w:tr w:rsidR="00337F85" w:rsidRPr="00037A46" w14:paraId="4FE0D179"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76E29169"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13</w:t>
            </w:r>
          </w:p>
        </w:tc>
        <w:tc>
          <w:tcPr>
            <w:tcW w:w="1180" w:type="dxa"/>
            <w:tcBorders>
              <w:top w:val="nil"/>
              <w:left w:val="double" w:sz="6" w:space="0" w:color="auto"/>
              <w:bottom w:val="nil"/>
              <w:right w:val="double" w:sz="6" w:space="0" w:color="auto"/>
            </w:tcBorders>
            <w:noWrap/>
            <w:vAlign w:val="bottom"/>
          </w:tcPr>
          <w:p w14:paraId="6CF16C31" w14:textId="77777777" w:rsidR="00337F85" w:rsidRPr="00037A46" w:rsidRDefault="00337F85" w:rsidP="00154DC5">
            <w:pPr>
              <w:spacing w:before="0" w:after="0"/>
              <w:ind w:left="-212"/>
              <w:jc w:val="right"/>
              <w:rPr>
                <w:rFonts w:cs="Arial"/>
                <w:bCs/>
              </w:rPr>
            </w:pPr>
            <w:r w:rsidRPr="00037A46">
              <w:rPr>
                <w:rFonts w:cs="Arial"/>
                <w:bCs/>
              </w:rPr>
              <w:t>20.900</w:t>
            </w:r>
          </w:p>
        </w:tc>
        <w:tc>
          <w:tcPr>
            <w:tcW w:w="1240" w:type="dxa"/>
            <w:tcBorders>
              <w:top w:val="nil"/>
              <w:left w:val="nil"/>
              <w:bottom w:val="nil"/>
              <w:right w:val="double" w:sz="6" w:space="0" w:color="auto"/>
            </w:tcBorders>
            <w:noWrap/>
            <w:vAlign w:val="bottom"/>
          </w:tcPr>
          <w:p w14:paraId="04D0882B" w14:textId="77777777" w:rsidR="00337F85" w:rsidRPr="00037A46" w:rsidRDefault="00337F85" w:rsidP="00154DC5">
            <w:pPr>
              <w:spacing w:before="0" w:after="0"/>
              <w:ind w:left="-212"/>
              <w:jc w:val="right"/>
              <w:rPr>
                <w:rFonts w:cs="Arial"/>
                <w:bCs/>
              </w:rPr>
            </w:pPr>
            <w:r w:rsidRPr="00037A46">
              <w:rPr>
                <w:rFonts w:cs="Arial"/>
                <w:bCs/>
              </w:rPr>
              <w:t>23.300</w:t>
            </w:r>
          </w:p>
        </w:tc>
        <w:tc>
          <w:tcPr>
            <w:tcW w:w="1180" w:type="dxa"/>
            <w:tcBorders>
              <w:top w:val="nil"/>
              <w:left w:val="nil"/>
              <w:bottom w:val="nil"/>
              <w:right w:val="double" w:sz="6" w:space="0" w:color="auto"/>
            </w:tcBorders>
            <w:noWrap/>
            <w:vAlign w:val="bottom"/>
          </w:tcPr>
          <w:p w14:paraId="4F04908B" w14:textId="77777777" w:rsidR="00337F85" w:rsidRPr="00037A46" w:rsidRDefault="00337F85" w:rsidP="00154DC5">
            <w:pPr>
              <w:spacing w:before="0" w:after="0"/>
              <w:ind w:left="-212"/>
              <w:jc w:val="right"/>
              <w:rPr>
                <w:rFonts w:cs="Arial"/>
                <w:bCs/>
              </w:rPr>
            </w:pPr>
            <w:r w:rsidRPr="00037A46">
              <w:rPr>
                <w:rFonts w:cs="Arial"/>
                <w:bCs/>
              </w:rPr>
              <w:t>25.200</w:t>
            </w:r>
          </w:p>
        </w:tc>
        <w:tc>
          <w:tcPr>
            <w:tcW w:w="1221" w:type="dxa"/>
            <w:tcBorders>
              <w:top w:val="nil"/>
              <w:left w:val="nil"/>
              <w:bottom w:val="nil"/>
              <w:right w:val="single" w:sz="12" w:space="0" w:color="auto"/>
            </w:tcBorders>
            <w:noWrap/>
            <w:vAlign w:val="bottom"/>
          </w:tcPr>
          <w:p w14:paraId="7D2A03CD" w14:textId="77777777" w:rsidR="00337F85" w:rsidRPr="00037A46" w:rsidRDefault="00337F85" w:rsidP="00154DC5">
            <w:pPr>
              <w:spacing w:before="0" w:after="0"/>
              <w:ind w:left="-212"/>
              <w:jc w:val="right"/>
              <w:rPr>
                <w:rFonts w:cs="Arial"/>
                <w:bCs/>
              </w:rPr>
            </w:pPr>
            <w:r w:rsidRPr="00037A46">
              <w:rPr>
                <w:rFonts w:cs="Arial"/>
                <w:bCs/>
              </w:rPr>
              <w:t>28.650</w:t>
            </w:r>
          </w:p>
        </w:tc>
      </w:tr>
      <w:tr w:rsidR="00337F85" w:rsidRPr="00037A46" w14:paraId="3B55C73C"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7ED0EE7D"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14</w:t>
            </w:r>
          </w:p>
        </w:tc>
        <w:tc>
          <w:tcPr>
            <w:tcW w:w="1180" w:type="dxa"/>
            <w:tcBorders>
              <w:top w:val="nil"/>
              <w:left w:val="double" w:sz="6" w:space="0" w:color="auto"/>
              <w:bottom w:val="nil"/>
              <w:right w:val="double" w:sz="6" w:space="0" w:color="auto"/>
            </w:tcBorders>
            <w:noWrap/>
            <w:vAlign w:val="bottom"/>
          </w:tcPr>
          <w:p w14:paraId="305A21F4" w14:textId="77777777" w:rsidR="00337F85" w:rsidRPr="00037A46" w:rsidRDefault="00337F85" w:rsidP="00154DC5">
            <w:pPr>
              <w:spacing w:before="0" w:after="0"/>
              <w:ind w:left="-212"/>
              <w:jc w:val="right"/>
              <w:rPr>
                <w:rFonts w:cs="Arial"/>
                <w:bCs/>
              </w:rPr>
            </w:pPr>
            <w:r w:rsidRPr="00037A46">
              <w:rPr>
                <w:rFonts w:cs="Arial"/>
                <w:bCs/>
              </w:rPr>
              <w:t>20.900</w:t>
            </w:r>
          </w:p>
        </w:tc>
        <w:tc>
          <w:tcPr>
            <w:tcW w:w="1240" w:type="dxa"/>
            <w:tcBorders>
              <w:top w:val="nil"/>
              <w:left w:val="nil"/>
              <w:bottom w:val="nil"/>
              <w:right w:val="double" w:sz="6" w:space="0" w:color="auto"/>
            </w:tcBorders>
            <w:noWrap/>
            <w:vAlign w:val="bottom"/>
          </w:tcPr>
          <w:p w14:paraId="0CD560E4" w14:textId="77777777" w:rsidR="00337F85" w:rsidRPr="00037A46" w:rsidRDefault="00337F85" w:rsidP="00154DC5">
            <w:pPr>
              <w:spacing w:before="0" w:after="0"/>
              <w:ind w:left="-212"/>
              <w:jc w:val="right"/>
              <w:rPr>
                <w:rFonts w:cs="Arial"/>
                <w:bCs/>
              </w:rPr>
            </w:pPr>
            <w:r w:rsidRPr="00037A46">
              <w:rPr>
                <w:rFonts w:cs="Arial"/>
                <w:bCs/>
              </w:rPr>
              <w:t>23.300</w:t>
            </w:r>
          </w:p>
        </w:tc>
        <w:tc>
          <w:tcPr>
            <w:tcW w:w="1180" w:type="dxa"/>
            <w:tcBorders>
              <w:top w:val="nil"/>
              <w:left w:val="nil"/>
              <w:bottom w:val="nil"/>
              <w:right w:val="double" w:sz="6" w:space="0" w:color="auto"/>
            </w:tcBorders>
            <w:noWrap/>
            <w:vAlign w:val="bottom"/>
          </w:tcPr>
          <w:p w14:paraId="70F2B6BC" w14:textId="77777777" w:rsidR="00337F85" w:rsidRPr="00037A46" w:rsidRDefault="00337F85" w:rsidP="00154DC5">
            <w:pPr>
              <w:spacing w:before="0" w:after="0"/>
              <w:ind w:left="-212"/>
              <w:jc w:val="right"/>
              <w:rPr>
                <w:rFonts w:cs="Arial"/>
                <w:bCs/>
              </w:rPr>
            </w:pPr>
            <w:r w:rsidRPr="00037A46">
              <w:rPr>
                <w:rFonts w:cs="Arial"/>
                <w:bCs/>
              </w:rPr>
              <w:t>25.200</w:t>
            </w:r>
          </w:p>
        </w:tc>
        <w:tc>
          <w:tcPr>
            <w:tcW w:w="1221" w:type="dxa"/>
            <w:tcBorders>
              <w:top w:val="nil"/>
              <w:left w:val="nil"/>
              <w:bottom w:val="nil"/>
              <w:right w:val="single" w:sz="12" w:space="0" w:color="auto"/>
            </w:tcBorders>
            <w:noWrap/>
            <w:vAlign w:val="bottom"/>
          </w:tcPr>
          <w:p w14:paraId="2A593512" w14:textId="77777777" w:rsidR="00337F85" w:rsidRPr="00037A46" w:rsidRDefault="00337F85" w:rsidP="00154DC5">
            <w:pPr>
              <w:spacing w:before="0" w:after="0"/>
              <w:ind w:left="-212"/>
              <w:jc w:val="right"/>
              <w:rPr>
                <w:rFonts w:cs="Arial"/>
                <w:bCs/>
              </w:rPr>
            </w:pPr>
            <w:r w:rsidRPr="00037A46">
              <w:rPr>
                <w:rFonts w:cs="Arial"/>
                <w:bCs/>
              </w:rPr>
              <w:t>28.650</w:t>
            </w:r>
          </w:p>
        </w:tc>
      </w:tr>
      <w:tr w:rsidR="00337F85" w:rsidRPr="00037A46" w14:paraId="40D25A0E"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64C91E83"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15</w:t>
            </w:r>
          </w:p>
        </w:tc>
        <w:tc>
          <w:tcPr>
            <w:tcW w:w="1180" w:type="dxa"/>
            <w:tcBorders>
              <w:top w:val="nil"/>
              <w:left w:val="double" w:sz="6" w:space="0" w:color="auto"/>
              <w:bottom w:val="nil"/>
              <w:right w:val="double" w:sz="6" w:space="0" w:color="auto"/>
            </w:tcBorders>
            <w:noWrap/>
            <w:vAlign w:val="bottom"/>
          </w:tcPr>
          <w:p w14:paraId="12A48001" w14:textId="77777777" w:rsidR="00337F85" w:rsidRPr="00037A46" w:rsidRDefault="00337F85" w:rsidP="00154DC5">
            <w:pPr>
              <w:spacing w:before="0" w:after="0"/>
              <w:ind w:left="-212"/>
              <w:jc w:val="right"/>
              <w:rPr>
                <w:rFonts w:cs="Arial"/>
                <w:bCs/>
              </w:rPr>
            </w:pPr>
            <w:r w:rsidRPr="00037A46">
              <w:rPr>
                <w:rFonts w:cs="Arial"/>
                <w:bCs/>
              </w:rPr>
              <w:t>21.400</w:t>
            </w:r>
          </w:p>
        </w:tc>
        <w:tc>
          <w:tcPr>
            <w:tcW w:w="1240" w:type="dxa"/>
            <w:tcBorders>
              <w:top w:val="nil"/>
              <w:left w:val="nil"/>
              <w:bottom w:val="nil"/>
              <w:right w:val="double" w:sz="6" w:space="0" w:color="auto"/>
            </w:tcBorders>
            <w:noWrap/>
            <w:vAlign w:val="bottom"/>
          </w:tcPr>
          <w:p w14:paraId="4BCF55DE" w14:textId="77777777" w:rsidR="00337F85" w:rsidRPr="00037A46" w:rsidRDefault="00337F85" w:rsidP="00154DC5">
            <w:pPr>
              <w:spacing w:before="0" w:after="0"/>
              <w:ind w:left="-212"/>
              <w:jc w:val="right"/>
              <w:rPr>
                <w:rFonts w:cs="Arial"/>
                <w:bCs/>
              </w:rPr>
            </w:pPr>
            <w:r w:rsidRPr="00037A46">
              <w:rPr>
                <w:rFonts w:cs="Arial"/>
                <w:bCs/>
              </w:rPr>
              <w:t>23.900</w:t>
            </w:r>
          </w:p>
        </w:tc>
        <w:tc>
          <w:tcPr>
            <w:tcW w:w="1180" w:type="dxa"/>
            <w:tcBorders>
              <w:top w:val="nil"/>
              <w:left w:val="nil"/>
              <w:bottom w:val="nil"/>
              <w:right w:val="double" w:sz="6" w:space="0" w:color="auto"/>
            </w:tcBorders>
            <w:noWrap/>
            <w:vAlign w:val="bottom"/>
          </w:tcPr>
          <w:p w14:paraId="6C1E05A1" w14:textId="77777777" w:rsidR="00337F85" w:rsidRPr="00037A46" w:rsidRDefault="00337F85" w:rsidP="00154DC5">
            <w:pPr>
              <w:spacing w:before="0" w:after="0"/>
              <w:ind w:left="-212"/>
              <w:jc w:val="right"/>
              <w:rPr>
                <w:rFonts w:cs="Arial"/>
                <w:bCs/>
              </w:rPr>
            </w:pPr>
            <w:r w:rsidRPr="00037A46">
              <w:rPr>
                <w:rFonts w:cs="Arial"/>
                <w:bCs/>
              </w:rPr>
              <w:t>26.000</w:t>
            </w:r>
          </w:p>
        </w:tc>
        <w:tc>
          <w:tcPr>
            <w:tcW w:w="1221" w:type="dxa"/>
            <w:tcBorders>
              <w:top w:val="nil"/>
              <w:left w:val="nil"/>
              <w:bottom w:val="nil"/>
              <w:right w:val="single" w:sz="12" w:space="0" w:color="auto"/>
            </w:tcBorders>
            <w:noWrap/>
            <w:vAlign w:val="bottom"/>
          </w:tcPr>
          <w:p w14:paraId="56CAE57A" w14:textId="77777777" w:rsidR="00337F85" w:rsidRPr="00037A46" w:rsidRDefault="00337F85" w:rsidP="00154DC5">
            <w:pPr>
              <w:spacing w:before="0" w:after="0"/>
              <w:ind w:left="-212"/>
              <w:jc w:val="right"/>
              <w:rPr>
                <w:rFonts w:cs="Arial"/>
                <w:bCs/>
              </w:rPr>
            </w:pPr>
            <w:r w:rsidRPr="00037A46">
              <w:rPr>
                <w:rFonts w:cs="Arial"/>
                <w:bCs/>
              </w:rPr>
              <w:t>29.550</w:t>
            </w:r>
          </w:p>
        </w:tc>
      </w:tr>
      <w:tr w:rsidR="00337F85" w:rsidRPr="00037A46" w14:paraId="7FB08575"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60D591AB"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16</w:t>
            </w:r>
          </w:p>
        </w:tc>
        <w:tc>
          <w:tcPr>
            <w:tcW w:w="1180" w:type="dxa"/>
            <w:tcBorders>
              <w:top w:val="nil"/>
              <w:left w:val="double" w:sz="6" w:space="0" w:color="auto"/>
              <w:bottom w:val="nil"/>
              <w:right w:val="double" w:sz="6" w:space="0" w:color="auto"/>
            </w:tcBorders>
            <w:noWrap/>
            <w:vAlign w:val="bottom"/>
          </w:tcPr>
          <w:p w14:paraId="7C422B01" w14:textId="77777777" w:rsidR="00337F85" w:rsidRPr="00037A46" w:rsidRDefault="00337F85" w:rsidP="00154DC5">
            <w:pPr>
              <w:spacing w:before="0" w:after="0"/>
              <w:ind w:left="-212"/>
              <w:jc w:val="right"/>
              <w:rPr>
                <w:rFonts w:cs="Arial"/>
                <w:bCs/>
              </w:rPr>
            </w:pPr>
            <w:r w:rsidRPr="00037A46">
              <w:rPr>
                <w:rFonts w:cs="Arial"/>
                <w:bCs/>
              </w:rPr>
              <w:t>21.400</w:t>
            </w:r>
          </w:p>
        </w:tc>
        <w:tc>
          <w:tcPr>
            <w:tcW w:w="1240" w:type="dxa"/>
            <w:tcBorders>
              <w:top w:val="nil"/>
              <w:left w:val="nil"/>
              <w:bottom w:val="nil"/>
              <w:right w:val="double" w:sz="6" w:space="0" w:color="auto"/>
            </w:tcBorders>
            <w:noWrap/>
            <w:vAlign w:val="bottom"/>
          </w:tcPr>
          <w:p w14:paraId="1178B60F" w14:textId="77777777" w:rsidR="00337F85" w:rsidRPr="00037A46" w:rsidRDefault="00337F85" w:rsidP="00154DC5">
            <w:pPr>
              <w:spacing w:before="0" w:after="0"/>
              <w:ind w:left="-212"/>
              <w:jc w:val="right"/>
              <w:rPr>
                <w:rFonts w:cs="Arial"/>
                <w:bCs/>
              </w:rPr>
            </w:pPr>
            <w:r w:rsidRPr="00037A46">
              <w:rPr>
                <w:rFonts w:cs="Arial"/>
                <w:bCs/>
              </w:rPr>
              <w:t>23.900</w:t>
            </w:r>
          </w:p>
        </w:tc>
        <w:tc>
          <w:tcPr>
            <w:tcW w:w="1180" w:type="dxa"/>
            <w:tcBorders>
              <w:top w:val="nil"/>
              <w:left w:val="nil"/>
              <w:bottom w:val="nil"/>
              <w:right w:val="double" w:sz="6" w:space="0" w:color="auto"/>
            </w:tcBorders>
            <w:noWrap/>
            <w:vAlign w:val="bottom"/>
          </w:tcPr>
          <w:p w14:paraId="5EED181E" w14:textId="77777777" w:rsidR="00337F85" w:rsidRPr="00037A46" w:rsidRDefault="00337F85" w:rsidP="00154DC5">
            <w:pPr>
              <w:spacing w:before="0" w:after="0"/>
              <w:ind w:left="-212"/>
              <w:jc w:val="right"/>
              <w:rPr>
                <w:rFonts w:cs="Arial"/>
                <w:bCs/>
              </w:rPr>
            </w:pPr>
            <w:r w:rsidRPr="00037A46">
              <w:rPr>
                <w:rFonts w:cs="Arial"/>
                <w:bCs/>
              </w:rPr>
              <w:t>26.000</w:t>
            </w:r>
          </w:p>
        </w:tc>
        <w:tc>
          <w:tcPr>
            <w:tcW w:w="1221" w:type="dxa"/>
            <w:tcBorders>
              <w:top w:val="nil"/>
              <w:left w:val="nil"/>
              <w:bottom w:val="nil"/>
              <w:right w:val="single" w:sz="12" w:space="0" w:color="auto"/>
            </w:tcBorders>
            <w:noWrap/>
            <w:vAlign w:val="bottom"/>
          </w:tcPr>
          <w:p w14:paraId="48C3195B" w14:textId="77777777" w:rsidR="00337F85" w:rsidRPr="00037A46" w:rsidRDefault="00337F85" w:rsidP="00154DC5">
            <w:pPr>
              <w:spacing w:before="0" w:after="0"/>
              <w:ind w:left="-212"/>
              <w:jc w:val="right"/>
              <w:rPr>
                <w:rFonts w:cs="Arial"/>
                <w:bCs/>
              </w:rPr>
            </w:pPr>
            <w:r w:rsidRPr="00037A46">
              <w:rPr>
                <w:rFonts w:cs="Arial"/>
                <w:bCs/>
              </w:rPr>
              <w:t>29.550</w:t>
            </w:r>
          </w:p>
        </w:tc>
      </w:tr>
      <w:tr w:rsidR="00337F85" w:rsidRPr="00037A46" w14:paraId="5FA58E11"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31FCCBB2"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17</w:t>
            </w:r>
          </w:p>
        </w:tc>
        <w:tc>
          <w:tcPr>
            <w:tcW w:w="1180" w:type="dxa"/>
            <w:tcBorders>
              <w:top w:val="nil"/>
              <w:left w:val="double" w:sz="6" w:space="0" w:color="auto"/>
              <w:bottom w:val="nil"/>
              <w:right w:val="double" w:sz="6" w:space="0" w:color="auto"/>
            </w:tcBorders>
            <w:noWrap/>
            <w:vAlign w:val="bottom"/>
          </w:tcPr>
          <w:p w14:paraId="4A1F3E9C" w14:textId="77777777" w:rsidR="00337F85" w:rsidRPr="00037A46" w:rsidRDefault="00337F85" w:rsidP="00154DC5">
            <w:pPr>
              <w:spacing w:before="0" w:after="0"/>
              <w:ind w:left="-212"/>
              <w:jc w:val="right"/>
              <w:rPr>
                <w:rFonts w:cs="Arial"/>
                <w:bCs/>
              </w:rPr>
            </w:pPr>
            <w:r w:rsidRPr="00037A46">
              <w:rPr>
                <w:rFonts w:cs="Arial"/>
                <w:bCs/>
              </w:rPr>
              <w:t>21.900</w:t>
            </w:r>
          </w:p>
        </w:tc>
        <w:tc>
          <w:tcPr>
            <w:tcW w:w="1240" w:type="dxa"/>
            <w:tcBorders>
              <w:top w:val="nil"/>
              <w:left w:val="nil"/>
              <w:bottom w:val="nil"/>
              <w:right w:val="double" w:sz="6" w:space="0" w:color="auto"/>
            </w:tcBorders>
            <w:noWrap/>
            <w:vAlign w:val="bottom"/>
          </w:tcPr>
          <w:p w14:paraId="2BB1C36F" w14:textId="77777777" w:rsidR="00337F85" w:rsidRPr="00037A46" w:rsidRDefault="00337F85" w:rsidP="00154DC5">
            <w:pPr>
              <w:spacing w:before="0" w:after="0"/>
              <w:ind w:left="-212"/>
              <w:jc w:val="right"/>
              <w:rPr>
                <w:rFonts w:cs="Arial"/>
                <w:bCs/>
              </w:rPr>
            </w:pPr>
            <w:r w:rsidRPr="00037A46">
              <w:rPr>
                <w:rFonts w:cs="Arial"/>
                <w:bCs/>
              </w:rPr>
              <w:t>24.450</w:t>
            </w:r>
          </w:p>
        </w:tc>
        <w:tc>
          <w:tcPr>
            <w:tcW w:w="1180" w:type="dxa"/>
            <w:tcBorders>
              <w:top w:val="nil"/>
              <w:left w:val="nil"/>
              <w:bottom w:val="nil"/>
              <w:right w:val="double" w:sz="6" w:space="0" w:color="auto"/>
            </w:tcBorders>
            <w:noWrap/>
            <w:vAlign w:val="bottom"/>
          </w:tcPr>
          <w:p w14:paraId="5DA34E37" w14:textId="77777777" w:rsidR="00337F85" w:rsidRPr="00037A46" w:rsidRDefault="00337F85" w:rsidP="00154DC5">
            <w:pPr>
              <w:spacing w:before="0" w:after="0"/>
              <w:ind w:left="-212"/>
              <w:jc w:val="right"/>
              <w:rPr>
                <w:rFonts w:cs="Arial"/>
                <w:bCs/>
              </w:rPr>
            </w:pPr>
            <w:r w:rsidRPr="00037A46">
              <w:rPr>
                <w:rFonts w:cs="Arial"/>
                <w:bCs/>
              </w:rPr>
              <w:t>26.800</w:t>
            </w:r>
          </w:p>
        </w:tc>
        <w:tc>
          <w:tcPr>
            <w:tcW w:w="1221" w:type="dxa"/>
            <w:tcBorders>
              <w:top w:val="nil"/>
              <w:left w:val="nil"/>
              <w:bottom w:val="nil"/>
              <w:right w:val="single" w:sz="12" w:space="0" w:color="auto"/>
            </w:tcBorders>
            <w:noWrap/>
            <w:vAlign w:val="bottom"/>
          </w:tcPr>
          <w:p w14:paraId="5CFC8C77" w14:textId="77777777" w:rsidR="00337F85" w:rsidRPr="00037A46" w:rsidRDefault="00337F85" w:rsidP="00154DC5">
            <w:pPr>
              <w:spacing w:before="0" w:after="0"/>
              <w:ind w:left="-212"/>
              <w:jc w:val="right"/>
              <w:rPr>
                <w:rFonts w:cs="Arial"/>
                <w:bCs/>
              </w:rPr>
            </w:pPr>
            <w:r w:rsidRPr="00037A46">
              <w:rPr>
                <w:rFonts w:cs="Arial"/>
                <w:bCs/>
              </w:rPr>
              <w:t>30.500</w:t>
            </w:r>
          </w:p>
        </w:tc>
      </w:tr>
      <w:tr w:rsidR="00337F85" w:rsidRPr="00037A46" w14:paraId="4926FD46"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6D47FE09"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18</w:t>
            </w:r>
          </w:p>
        </w:tc>
        <w:tc>
          <w:tcPr>
            <w:tcW w:w="1180" w:type="dxa"/>
            <w:tcBorders>
              <w:top w:val="nil"/>
              <w:left w:val="double" w:sz="6" w:space="0" w:color="auto"/>
              <w:bottom w:val="nil"/>
              <w:right w:val="double" w:sz="6" w:space="0" w:color="auto"/>
            </w:tcBorders>
            <w:noWrap/>
            <w:vAlign w:val="bottom"/>
          </w:tcPr>
          <w:p w14:paraId="7DE993A1" w14:textId="77777777" w:rsidR="00337F85" w:rsidRPr="00037A46" w:rsidRDefault="00337F85" w:rsidP="00154DC5">
            <w:pPr>
              <w:spacing w:before="0" w:after="0"/>
              <w:ind w:left="-212"/>
              <w:jc w:val="right"/>
              <w:rPr>
                <w:rFonts w:cs="Arial"/>
                <w:bCs/>
              </w:rPr>
            </w:pPr>
            <w:r w:rsidRPr="00037A46">
              <w:rPr>
                <w:rFonts w:cs="Arial"/>
                <w:bCs/>
              </w:rPr>
              <w:t>21.900</w:t>
            </w:r>
          </w:p>
        </w:tc>
        <w:tc>
          <w:tcPr>
            <w:tcW w:w="1240" w:type="dxa"/>
            <w:tcBorders>
              <w:top w:val="nil"/>
              <w:left w:val="nil"/>
              <w:bottom w:val="nil"/>
              <w:right w:val="double" w:sz="6" w:space="0" w:color="auto"/>
            </w:tcBorders>
            <w:noWrap/>
            <w:vAlign w:val="bottom"/>
          </w:tcPr>
          <w:p w14:paraId="04D18B24" w14:textId="77777777" w:rsidR="00337F85" w:rsidRPr="00037A46" w:rsidRDefault="00337F85" w:rsidP="00154DC5">
            <w:pPr>
              <w:spacing w:before="0" w:after="0"/>
              <w:ind w:left="-212"/>
              <w:jc w:val="right"/>
              <w:rPr>
                <w:rFonts w:cs="Arial"/>
                <w:bCs/>
              </w:rPr>
            </w:pPr>
            <w:r w:rsidRPr="00037A46">
              <w:rPr>
                <w:rFonts w:cs="Arial"/>
                <w:bCs/>
              </w:rPr>
              <w:t>24.450</w:t>
            </w:r>
          </w:p>
        </w:tc>
        <w:tc>
          <w:tcPr>
            <w:tcW w:w="1180" w:type="dxa"/>
            <w:tcBorders>
              <w:top w:val="nil"/>
              <w:left w:val="nil"/>
              <w:bottom w:val="nil"/>
              <w:right w:val="double" w:sz="6" w:space="0" w:color="auto"/>
            </w:tcBorders>
            <w:noWrap/>
            <w:vAlign w:val="bottom"/>
          </w:tcPr>
          <w:p w14:paraId="75D39D18" w14:textId="77777777" w:rsidR="00337F85" w:rsidRPr="00037A46" w:rsidRDefault="00337F85" w:rsidP="00154DC5">
            <w:pPr>
              <w:spacing w:before="0" w:after="0"/>
              <w:ind w:left="-212"/>
              <w:jc w:val="right"/>
              <w:rPr>
                <w:rFonts w:cs="Arial"/>
                <w:bCs/>
              </w:rPr>
            </w:pPr>
            <w:r w:rsidRPr="00037A46">
              <w:rPr>
                <w:rFonts w:cs="Arial"/>
                <w:bCs/>
              </w:rPr>
              <w:t>26.800</w:t>
            </w:r>
          </w:p>
        </w:tc>
        <w:tc>
          <w:tcPr>
            <w:tcW w:w="1221" w:type="dxa"/>
            <w:tcBorders>
              <w:top w:val="nil"/>
              <w:left w:val="nil"/>
              <w:bottom w:val="nil"/>
              <w:right w:val="single" w:sz="12" w:space="0" w:color="auto"/>
            </w:tcBorders>
            <w:noWrap/>
            <w:vAlign w:val="bottom"/>
          </w:tcPr>
          <w:p w14:paraId="523EAAB0" w14:textId="77777777" w:rsidR="00337F85" w:rsidRPr="00037A46" w:rsidRDefault="00337F85" w:rsidP="00154DC5">
            <w:pPr>
              <w:spacing w:before="0" w:after="0"/>
              <w:ind w:left="-212"/>
              <w:jc w:val="right"/>
              <w:rPr>
                <w:rFonts w:cs="Arial"/>
                <w:bCs/>
              </w:rPr>
            </w:pPr>
            <w:r w:rsidRPr="00037A46">
              <w:rPr>
                <w:rFonts w:cs="Arial"/>
                <w:bCs/>
              </w:rPr>
              <w:t>30.500</w:t>
            </w:r>
          </w:p>
        </w:tc>
      </w:tr>
      <w:tr w:rsidR="00337F85" w:rsidRPr="00037A46" w14:paraId="0081A1FA"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77CF5060"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19</w:t>
            </w:r>
          </w:p>
        </w:tc>
        <w:tc>
          <w:tcPr>
            <w:tcW w:w="1180" w:type="dxa"/>
            <w:tcBorders>
              <w:top w:val="nil"/>
              <w:left w:val="double" w:sz="6" w:space="0" w:color="auto"/>
              <w:bottom w:val="nil"/>
              <w:right w:val="double" w:sz="6" w:space="0" w:color="auto"/>
            </w:tcBorders>
            <w:noWrap/>
            <w:vAlign w:val="bottom"/>
          </w:tcPr>
          <w:p w14:paraId="674B6CEE" w14:textId="77777777" w:rsidR="00337F85" w:rsidRPr="00037A46" w:rsidRDefault="00337F85" w:rsidP="00154DC5">
            <w:pPr>
              <w:spacing w:before="0" w:after="0"/>
              <w:ind w:left="-212"/>
              <w:jc w:val="right"/>
              <w:rPr>
                <w:rFonts w:cs="Arial"/>
                <w:bCs/>
              </w:rPr>
            </w:pPr>
            <w:r w:rsidRPr="00037A46">
              <w:rPr>
                <w:rFonts w:cs="Arial"/>
                <w:bCs/>
              </w:rPr>
              <w:t>22.400</w:t>
            </w:r>
          </w:p>
        </w:tc>
        <w:tc>
          <w:tcPr>
            <w:tcW w:w="1240" w:type="dxa"/>
            <w:tcBorders>
              <w:top w:val="nil"/>
              <w:left w:val="nil"/>
              <w:bottom w:val="nil"/>
              <w:right w:val="double" w:sz="6" w:space="0" w:color="auto"/>
            </w:tcBorders>
            <w:noWrap/>
            <w:vAlign w:val="bottom"/>
          </w:tcPr>
          <w:p w14:paraId="539EE29E" w14:textId="77777777" w:rsidR="00337F85" w:rsidRPr="00037A46" w:rsidRDefault="00337F85" w:rsidP="00154DC5">
            <w:pPr>
              <w:spacing w:before="0" w:after="0"/>
              <w:ind w:left="-212"/>
              <w:jc w:val="right"/>
              <w:rPr>
                <w:rFonts w:cs="Arial"/>
                <w:bCs/>
              </w:rPr>
            </w:pPr>
            <w:r w:rsidRPr="00037A46">
              <w:rPr>
                <w:rFonts w:cs="Arial"/>
                <w:bCs/>
              </w:rPr>
              <w:t>25.150</w:t>
            </w:r>
          </w:p>
        </w:tc>
        <w:tc>
          <w:tcPr>
            <w:tcW w:w="1180" w:type="dxa"/>
            <w:tcBorders>
              <w:top w:val="nil"/>
              <w:left w:val="nil"/>
              <w:bottom w:val="nil"/>
              <w:right w:val="double" w:sz="6" w:space="0" w:color="auto"/>
            </w:tcBorders>
            <w:noWrap/>
            <w:vAlign w:val="bottom"/>
          </w:tcPr>
          <w:p w14:paraId="1168A06B" w14:textId="77777777" w:rsidR="00337F85" w:rsidRPr="00037A46" w:rsidRDefault="00337F85" w:rsidP="00154DC5">
            <w:pPr>
              <w:spacing w:before="0" w:after="0"/>
              <w:ind w:left="-212"/>
              <w:jc w:val="right"/>
              <w:rPr>
                <w:rFonts w:cs="Arial"/>
                <w:bCs/>
              </w:rPr>
            </w:pPr>
            <w:r w:rsidRPr="00037A46">
              <w:rPr>
                <w:rFonts w:cs="Arial"/>
                <w:bCs/>
              </w:rPr>
              <w:t>27.600</w:t>
            </w:r>
          </w:p>
        </w:tc>
        <w:tc>
          <w:tcPr>
            <w:tcW w:w="1221" w:type="dxa"/>
            <w:tcBorders>
              <w:top w:val="nil"/>
              <w:left w:val="nil"/>
              <w:bottom w:val="nil"/>
              <w:right w:val="single" w:sz="12" w:space="0" w:color="auto"/>
            </w:tcBorders>
            <w:noWrap/>
            <w:vAlign w:val="bottom"/>
          </w:tcPr>
          <w:p w14:paraId="75DED440" w14:textId="77777777" w:rsidR="00337F85" w:rsidRPr="00037A46" w:rsidRDefault="00337F85" w:rsidP="00154DC5">
            <w:pPr>
              <w:spacing w:before="0" w:after="0"/>
              <w:ind w:left="-212"/>
              <w:jc w:val="right"/>
              <w:rPr>
                <w:rFonts w:cs="Arial"/>
                <w:bCs/>
              </w:rPr>
            </w:pPr>
            <w:r w:rsidRPr="00037A46">
              <w:rPr>
                <w:rFonts w:cs="Arial"/>
                <w:bCs/>
              </w:rPr>
              <w:t>31.450</w:t>
            </w:r>
          </w:p>
        </w:tc>
      </w:tr>
      <w:tr w:rsidR="00337F85" w:rsidRPr="00037A46" w14:paraId="592960F3"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082F97B7"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20</w:t>
            </w:r>
          </w:p>
        </w:tc>
        <w:tc>
          <w:tcPr>
            <w:tcW w:w="1180" w:type="dxa"/>
            <w:tcBorders>
              <w:top w:val="nil"/>
              <w:left w:val="double" w:sz="6" w:space="0" w:color="auto"/>
              <w:bottom w:val="nil"/>
              <w:right w:val="double" w:sz="6" w:space="0" w:color="auto"/>
            </w:tcBorders>
            <w:noWrap/>
            <w:vAlign w:val="bottom"/>
          </w:tcPr>
          <w:p w14:paraId="24DBFB2F" w14:textId="77777777" w:rsidR="00337F85" w:rsidRPr="00037A46" w:rsidRDefault="00337F85" w:rsidP="00154DC5">
            <w:pPr>
              <w:spacing w:before="0" w:after="0"/>
              <w:ind w:left="-212"/>
              <w:jc w:val="right"/>
              <w:rPr>
                <w:rFonts w:cs="Arial"/>
                <w:bCs/>
              </w:rPr>
            </w:pPr>
            <w:r w:rsidRPr="00037A46">
              <w:rPr>
                <w:rFonts w:cs="Arial"/>
                <w:bCs/>
              </w:rPr>
              <w:t>22.400</w:t>
            </w:r>
          </w:p>
        </w:tc>
        <w:tc>
          <w:tcPr>
            <w:tcW w:w="1240" w:type="dxa"/>
            <w:tcBorders>
              <w:top w:val="nil"/>
              <w:left w:val="nil"/>
              <w:bottom w:val="nil"/>
              <w:right w:val="double" w:sz="6" w:space="0" w:color="auto"/>
            </w:tcBorders>
            <w:noWrap/>
            <w:vAlign w:val="bottom"/>
          </w:tcPr>
          <w:p w14:paraId="264005CB" w14:textId="77777777" w:rsidR="00337F85" w:rsidRPr="00037A46" w:rsidRDefault="00337F85" w:rsidP="00154DC5">
            <w:pPr>
              <w:spacing w:before="0" w:after="0"/>
              <w:ind w:left="-212"/>
              <w:jc w:val="right"/>
              <w:rPr>
                <w:rFonts w:cs="Arial"/>
                <w:bCs/>
              </w:rPr>
            </w:pPr>
            <w:r w:rsidRPr="00037A46">
              <w:rPr>
                <w:rFonts w:cs="Arial"/>
                <w:bCs/>
              </w:rPr>
              <w:t>25.150</w:t>
            </w:r>
          </w:p>
        </w:tc>
        <w:tc>
          <w:tcPr>
            <w:tcW w:w="1180" w:type="dxa"/>
            <w:tcBorders>
              <w:top w:val="nil"/>
              <w:left w:val="nil"/>
              <w:bottom w:val="nil"/>
              <w:right w:val="double" w:sz="6" w:space="0" w:color="auto"/>
            </w:tcBorders>
            <w:noWrap/>
            <w:vAlign w:val="bottom"/>
          </w:tcPr>
          <w:p w14:paraId="012AF210" w14:textId="77777777" w:rsidR="00337F85" w:rsidRPr="00037A46" w:rsidRDefault="00337F85" w:rsidP="00154DC5">
            <w:pPr>
              <w:spacing w:before="0" w:after="0"/>
              <w:ind w:left="-212"/>
              <w:jc w:val="right"/>
              <w:rPr>
                <w:rFonts w:cs="Arial"/>
                <w:bCs/>
              </w:rPr>
            </w:pPr>
            <w:r w:rsidRPr="00037A46">
              <w:rPr>
                <w:rFonts w:cs="Arial"/>
                <w:bCs/>
              </w:rPr>
              <w:t>27.600</w:t>
            </w:r>
          </w:p>
        </w:tc>
        <w:tc>
          <w:tcPr>
            <w:tcW w:w="1221" w:type="dxa"/>
            <w:tcBorders>
              <w:top w:val="nil"/>
              <w:left w:val="nil"/>
              <w:bottom w:val="nil"/>
              <w:right w:val="single" w:sz="12" w:space="0" w:color="auto"/>
            </w:tcBorders>
            <w:noWrap/>
            <w:vAlign w:val="bottom"/>
          </w:tcPr>
          <w:p w14:paraId="6794F935" w14:textId="77777777" w:rsidR="00337F85" w:rsidRPr="00037A46" w:rsidRDefault="00337F85" w:rsidP="00154DC5">
            <w:pPr>
              <w:spacing w:before="0" w:after="0"/>
              <w:ind w:left="-212"/>
              <w:jc w:val="right"/>
              <w:rPr>
                <w:rFonts w:cs="Arial"/>
                <w:bCs/>
              </w:rPr>
            </w:pPr>
            <w:r w:rsidRPr="00037A46">
              <w:rPr>
                <w:rFonts w:cs="Arial"/>
                <w:bCs/>
              </w:rPr>
              <w:t>31.450</w:t>
            </w:r>
          </w:p>
        </w:tc>
      </w:tr>
      <w:tr w:rsidR="00337F85" w:rsidRPr="00037A46" w14:paraId="6A4EE03D"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23792D2F"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21</w:t>
            </w:r>
          </w:p>
        </w:tc>
        <w:tc>
          <w:tcPr>
            <w:tcW w:w="1180" w:type="dxa"/>
            <w:tcBorders>
              <w:top w:val="nil"/>
              <w:left w:val="double" w:sz="6" w:space="0" w:color="auto"/>
              <w:bottom w:val="nil"/>
              <w:right w:val="double" w:sz="6" w:space="0" w:color="auto"/>
            </w:tcBorders>
            <w:noWrap/>
            <w:vAlign w:val="bottom"/>
          </w:tcPr>
          <w:p w14:paraId="7AC734EB" w14:textId="77777777" w:rsidR="00337F85" w:rsidRPr="00037A46" w:rsidRDefault="00337F85" w:rsidP="00154DC5">
            <w:pPr>
              <w:spacing w:before="0" w:after="0"/>
              <w:ind w:left="-212"/>
              <w:jc w:val="right"/>
              <w:rPr>
                <w:rFonts w:cs="Arial"/>
                <w:bCs/>
              </w:rPr>
            </w:pPr>
            <w:r w:rsidRPr="00037A46">
              <w:rPr>
                <w:rFonts w:cs="Arial"/>
                <w:bCs/>
              </w:rPr>
              <w:t>22.900</w:t>
            </w:r>
          </w:p>
        </w:tc>
        <w:tc>
          <w:tcPr>
            <w:tcW w:w="1240" w:type="dxa"/>
            <w:tcBorders>
              <w:top w:val="nil"/>
              <w:left w:val="nil"/>
              <w:bottom w:val="nil"/>
              <w:right w:val="double" w:sz="6" w:space="0" w:color="auto"/>
            </w:tcBorders>
            <w:noWrap/>
            <w:vAlign w:val="bottom"/>
          </w:tcPr>
          <w:p w14:paraId="47461B33" w14:textId="77777777" w:rsidR="00337F85" w:rsidRPr="00037A46" w:rsidRDefault="00337F85" w:rsidP="00154DC5">
            <w:pPr>
              <w:spacing w:before="0" w:after="0"/>
              <w:ind w:left="-212"/>
              <w:jc w:val="right"/>
              <w:rPr>
                <w:rFonts w:cs="Arial"/>
                <w:bCs/>
              </w:rPr>
            </w:pPr>
            <w:r w:rsidRPr="00037A46">
              <w:rPr>
                <w:rFonts w:cs="Arial"/>
                <w:bCs/>
              </w:rPr>
              <w:t>25.800</w:t>
            </w:r>
          </w:p>
        </w:tc>
        <w:tc>
          <w:tcPr>
            <w:tcW w:w="1180" w:type="dxa"/>
            <w:tcBorders>
              <w:top w:val="nil"/>
              <w:left w:val="nil"/>
              <w:bottom w:val="nil"/>
              <w:right w:val="double" w:sz="6" w:space="0" w:color="auto"/>
            </w:tcBorders>
            <w:noWrap/>
            <w:vAlign w:val="bottom"/>
          </w:tcPr>
          <w:p w14:paraId="678E48DE" w14:textId="77777777" w:rsidR="00337F85" w:rsidRPr="00037A46" w:rsidRDefault="00337F85" w:rsidP="00154DC5">
            <w:pPr>
              <w:spacing w:before="0" w:after="0"/>
              <w:ind w:left="-212"/>
              <w:jc w:val="right"/>
              <w:rPr>
                <w:rFonts w:cs="Arial"/>
                <w:bCs/>
              </w:rPr>
            </w:pPr>
            <w:r w:rsidRPr="00037A46">
              <w:rPr>
                <w:rFonts w:cs="Arial"/>
                <w:bCs/>
              </w:rPr>
              <w:t>28.400</w:t>
            </w:r>
          </w:p>
        </w:tc>
        <w:tc>
          <w:tcPr>
            <w:tcW w:w="1221" w:type="dxa"/>
            <w:tcBorders>
              <w:top w:val="nil"/>
              <w:left w:val="nil"/>
              <w:bottom w:val="nil"/>
              <w:right w:val="single" w:sz="12" w:space="0" w:color="auto"/>
            </w:tcBorders>
            <w:noWrap/>
            <w:vAlign w:val="bottom"/>
          </w:tcPr>
          <w:p w14:paraId="588E6894" w14:textId="77777777" w:rsidR="00337F85" w:rsidRPr="00037A46" w:rsidRDefault="00337F85" w:rsidP="00154DC5">
            <w:pPr>
              <w:spacing w:before="0" w:after="0"/>
              <w:ind w:left="-212"/>
              <w:jc w:val="right"/>
              <w:rPr>
                <w:rFonts w:cs="Arial"/>
                <w:bCs/>
              </w:rPr>
            </w:pPr>
            <w:r w:rsidRPr="00037A46">
              <w:rPr>
                <w:rFonts w:cs="Arial"/>
                <w:bCs/>
              </w:rPr>
              <w:t>32.400</w:t>
            </w:r>
          </w:p>
        </w:tc>
      </w:tr>
      <w:tr w:rsidR="00337F85" w:rsidRPr="00037A46" w14:paraId="350530E0"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6EFD6244"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22</w:t>
            </w:r>
          </w:p>
        </w:tc>
        <w:tc>
          <w:tcPr>
            <w:tcW w:w="1180" w:type="dxa"/>
            <w:tcBorders>
              <w:top w:val="nil"/>
              <w:left w:val="double" w:sz="6" w:space="0" w:color="auto"/>
              <w:bottom w:val="nil"/>
              <w:right w:val="double" w:sz="6" w:space="0" w:color="auto"/>
            </w:tcBorders>
            <w:noWrap/>
            <w:vAlign w:val="bottom"/>
          </w:tcPr>
          <w:p w14:paraId="09AFD04E" w14:textId="77777777" w:rsidR="00337F85" w:rsidRPr="00037A46" w:rsidRDefault="00337F85" w:rsidP="00154DC5">
            <w:pPr>
              <w:spacing w:before="0" w:after="0"/>
              <w:ind w:left="-212"/>
              <w:jc w:val="right"/>
              <w:rPr>
                <w:rFonts w:cs="Arial"/>
                <w:bCs/>
              </w:rPr>
            </w:pPr>
            <w:r w:rsidRPr="00037A46">
              <w:rPr>
                <w:rFonts w:cs="Arial"/>
                <w:bCs/>
              </w:rPr>
              <w:t>22.900</w:t>
            </w:r>
          </w:p>
        </w:tc>
        <w:tc>
          <w:tcPr>
            <w:tcW w:w="1240" w:type="dxa"/>
            <w:tcBorders>
              <w:top w:val="nil"/>
              <w:left w:val="nil"/>
              <w:bottom w:val="nil"/>
              <w:right w:val="double" w:sz="6" w:space="0" w:color="auto"/>
            </w:tcBorders>
            <w:noWrap/>
            <w:vAlign w:val="bottom"/>
          </w:tcPr>
          <w:p w14:paraId="38D6EEB8" w14:textId="77777777" w:rsidR="00337F85" w:rsidRPr="00037A46" w:rsidRDefault="00337F85" w:rsidP="00154DC5">
            <w:pPr>
              <w:spacing w:before="0" w:after="0"/>
              <w:ind w:left="-212"/>
              <w:jc w:val="right"/>
              <w:rPr>
                <w:rFonts w:cs="Arial"/>
                <w:bCs/>
              </w:rPr>
            </w:pPr>
            <w:r w:rsidRPr="00037A46">
              <w:rPr>
                <w:rFonts w:cs="Arial"/>
                <w:bCs/>
              </w:rPr>
              <w:t>25.800</w:t>
            </w:r>
          </w:p>
        </w:tc>
        <w:tc>
          <w:tcPr>
            <w:tcW w:w="1180" w:type="dxa"/>
            <w:tcBorders>
              <w:top w:val="nil"/>
              <w:left w:val="nil"/>
              <w:bottom w:val="nil"/>
              <w:right w:val="double" w:sz="6" w:space="0" w:color="auto"/>
            </w:tcBorders>
            <w:noWrap/>
            <w:vAlign w:val="bottom"/>
          </w:tcPr>
          <w:p w14:paraId="2890CD08" w14:textId="77777777" w:rsidR="00337F85" w:rsidRPr="00037A46" w:rsidRDefault="00337F85" w:rsidP="00154DC5">
            <w:pPr>
              <w:spacing w:before="0" w:after="0"/>
              <w:ind w:left="-212"/>
              <w:jc w:val="right"/>
              <w:rPr>
                <w:rFonts w:cs="Arial"/>
                <w:bCs/>
              </w:rPr>
            </w:pPr>
            <w:r w:rsidRPr="00037A46">
              <w:rPr>
                <w:rFonts w:cs="Arial"/>
                <w:bCs/>
              </w:rPr>
              <w:t>28.400</w:t>
            </w:r>
          </w:p>
        </w:tc>
        <w:tc>
          <w:tcPr>
            <w:tcW w:w="1221" w:type="dxa"/>
            <w:tcBorders>
              <w:top w:val="nil"/>
              <w:left w:val="nil"/>
              <w:bottom w:val="nil"/>
              <w:right w:val="single" w:sz="12" w:space="0" w:color="auto"/>
            </w:tcBorders>
            <w:noWrap/>
            <w:vAlign w:val="bottom"/>
          </w:tcPr>
          <w:p w14:paraId="56166A9F" w14:textId="77777777" w:rsidR="00337F85" w:rsidRPr="00037A46" w:rsidRDefault="00337F85" w:rsidP="00154DC5">
            <w:pPr>
              <w:spacing w:before="0" w:after="0"/>
              <w:ind w:left="-212"/>
              <w:jc w:val="right"/>
              <w:rPr>
                <w:rFonts w:cs="Arial"/>
                <w:bCs/>
              </w:rPr>
            </w:pPr>
            <w:r w:rsidRPr="00037A46">
              <w:rPr>
                <w:rFonts w:cs="Arial"/>
                <w:bCs/>
              </w:rPr>
              <w:t>32.400</w:t>
            </w:r>
          </w:p>
        </w:tc>
      </w:tr>
      <w:tr w:rsidR="00337F85" w:rsidRPr="00037A46" w14:paraId="2F6490E9" w14:textId="77777777" w:rsidTr="00154DC5">
        <w:trPr>
          <w:trHeight w:val="330"/>
          <w:jc w:val="center"/>
        </w:trPr>
        <w:tc>
          <w:tcPr>
            <w:tcW w:w="1440" w:type="dxa"/>
            <w:tcBorders>
              <w:top w:val="nil"/>
              <w:left w:val="single" w:sz="12" w:space="0" w:color="auto"/>
              <w:bottom w:val="single" w:sz="12" w:space="0" w:color="auto"/>
              <w:right w:val="nil"/>
            </w:tcBorders>
            <w:shd w:val="clear" w:color="auto" w:fill="C0C0C0"/>
            <w:noWrap/>
            <w:vAlign w:val="bottom"/>
          </w:tcPr>
          <w:p w14:paraId="2330D66C"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23</w:t>
            </w:r>
          </w:p>
        </w:tc>
        <w:tc>
          <w:tcPr>
            <w:tcW w:w="1180" w:type="dxa"/>
            <w:tcBorders>
              <w:top w:val="nil"/>
              <w:left w:val="double" w:sz="6" w:space="0" w:color="auto"/>
              <w:bottom w:val="single" w:sz="12" w:space="0" w:color="auto"/>
              <w:right w:val="double" w:sz="6" w:space="0" w:color="auto"/>
            </w:tcBorders>
            <w:noWrap/>
            <w:vAlign w:val="bottom"/>
          </w:tcPr>
          <w:p w14:paraId="239EA6EE" w14:textId="77777777" w:rsidR="00337F85" w:rsidRPr="00037A46" w:rsidRDefault="00337F85" w:rsidP="00154DC5">
            <w:pPr>
              <w:spacing w:before="0" w:after="0"/>
              <w:ind w:left="-212"/>
              <w:jc w:val="right"/>
              <w:rPr>
                <w:rFonts w:cs="Arial"/>
                <w:bCs/>
              </w:rPr>
            </w:pPr>
            <w:r w:rsidRPr="00037A46">
              <w:rPr>
                <w:rFonts w:cs="Arial"/>
                <w:bCs/>
              </w:rPr>
              <w:t>23.450</w:t>
            </w:r>
          </w:p>
        </w:tc>
        <w:tc>
          <w:tcPr>
            <w:tcW w:w="1240" w:type="dxa"/>
            <w:tcBorders>
              <w:top w:val="nil"/>
              <w:left w:val="nil"/>
              <w:bottom w:val="single" w:sz="12" w:space="0" w:color="auto"/>
              <w:right w:val="double" w:sz="6" w:space="0" w:color="auto"/>
            </w:tcBorders>
            <w:noWrap/>
            <w:vAlign w:val="bottom"/>
          </w:tcPr>
          <w:p w14:paraId="1876CD0F" w14:textId="77777777" w:rsidR="00337F85" w:rsidRPr="00037A46" w:rsidRDefault="00337F85" w:rsidP="00154DC5">
            <w:pPr>
              <w:spacing w:before="0" w:after="0"/>
              <w:ind w:left="-212"/>
              <w:jc w:val="right"/>
              <w:rPr>
                <w:rFonts w:cs="Arial"/>
                <w:bCs/>
              </w:rPr>
            </w:pPr>
            <w:r w:rsidRPr="00037A46">
              <w:rPr>
                <w:rFonts w:cs="Arial"/>
                <w:bCs/>
              </w:rPr>
              <w:t>26.550</w:t>
            </w:r>
          </w:p>
        </w:tc>
        <w:tc>
          <w:tcPr>
            <w:tcW w:w="1180" w:type="dxa"/>
            <w:tcBorders>
              <w:top w:val="nil"/>
              <w:left w:val="nil"/>
              <w:bottom w:val="single" w:sz="12" w:space="0" w:color="auto"/>
              <w:right w:val="double" w:sz="6" w:space="0" w:color="auto"/>
            </w:tcBorders>
            <w:noWrap/>
            <w:vAlign w:val="bottom"/>
          </w:tcPr>
          <w:p w14:paraId="20A56EB3" w14:textId="77777777" w:rsidR="00337F85" w:rsidRPr="00037A46" w:rsidRDefault="00337F85" w:rsidP="00154DC5">
            <w:pPr>
              <w:spacing w:before="0" w:after="0"/>
              <w:ind w:left="-212"/>
              <w:jc w:val="right"/>
              <w:rPr>
                <w:rFonts w:cs="Arial"/>
                <w:bCs/>
              </w:rPr>
            </w:pPr>
            <w:r w:rsidRPr="00037A46">
              <w:rPr>
                <w:rFonts w:cs="Arial"/>
                <w:bCs/>
              </w:rPr>
              <w:t>29.250</w:t>
            </w:r>
          </w:p>
        </w:tc>
        <w:tc>
          <w:tcPr>
            <w:tcW w:w="1221" w:type="dxa"/>
            <w:tcBorders>
              <w:top w:val="nil"/>
              <w:left w:val="nil"/>
              <w:bottom w:val="single" w:sz="12" w:space="0" w:color="auto"/>
              <w:right w:val="single" w:sz="12" w:space="0" w:color="auto"/>
            </w:tcBorders>
            <w:noWrap/>
            <w:vAlign w:val="bottom"/>
          </w:tcPr>
          <w:p w14:paraId="05948FFD" w14:textId="77777777" w:rsidR="00337F85" w:rsidRPr="00037A46" w:rsidRDefault="00337F85" w:rsidP="00154DC5">
            <w:pPr>
              <w:spacing w:before="0" w:after="0"/>
              <w:ind w:left="-212"/>
              <w:jc w:val="right"/>
              <w:rPr>
                <w:rFonts w:cs="Arial"/>
                <w:bCs/>
              </w:rPr>
            </w:pPr>
            <w:r w:rsidRPr="00037A46">
              <w:rPr>
                <w:rFonts w:cs="Arial"/>
                <w:bCs/>
              </w:rPr>
              <w:t>33.350</w:t>
            </w:r>
          </w:p>
        </w:tc>
      </w:tr>
    </w:tbl>
    <w:p w14:paraId="401816BB" w14:textId="77777777" w:rsidR="003A11FB" w:rsidRPr="00037A46" w:rsidRDefault="003A11FB" w:rsidP="003A11FB">
      <w:pPr>
        <w:tabs>
          <w:tab w:val="left" w:pos="709"/>
        </w:tabs>
        <w:ind w:left="0"/>
        <w:rPr>
          <w:lang w:val="en-US"/>
        </w:rPr>
      </w:pPr>
      <w:r w:rsidRPr="00037A46">
        <w:rPr>
          <w:lang w:val="en-US"/>
        </w:rPr>
        <w:br w:type="page"/>
      </w:r>
    </w:p>
    <w:p w14:paraId="772CE6D6" w14:textId="77777777" w:rsidR="003A11FB" w:rsidRPr="00037A46" w:rsidRDefault="003A11FB" w:rsidP="003A11FB">
      <w:pPr>
        <w:spacing w:before="0" w:after="0"/>
        <w:ind w:left="0"/>
        <w:rPr>
          <w:lang w:val="fr-FR"/>
        </w:rPr>
      </w:pPr>
    </w:p>
    <w:tbl>
      <w:tblPr>
        <w:tblW w:w="7211" w:type="dxa"/>
        <w:jc w:val="center"/>
        <w:tblBorders>
          <w:top w:val="single" w:sz="8" w:space="0" w:color="auto"/>
          <w:left w:val="single" w:sz="8" w:space="0" w:color="auto"/>
          <w:bottom w:val="single" w:sz="8" w:space="0" w:color="auto"/>
          <w:right w:val="single" w:sz="8" w:space="0" w:color="auto"/>
          <w:insideV w:val="single" w:sz="8" w:space="0" w:color="auto"/>
        </w:tblBorders>
        <w:tblCellMar>
          <w:left w:w="70" w:type="dxa"/>
          <w:right w:w="70" w:type="dxa"/>
        </w:tblCellMar>
        <w:tblLook w:val="0000" w:firstRow="0" w:lastRow="0" w:firstColumn="0" w:lastColumn="0" w:noHBand="0" w:noVBand="0"/>
      </w:tblPr>
      <w:tblGrid>
        <w:gridCol w:w="1291"/>
        <w:gridCol w:w="1242"/>
        <w:gridCol w:w="1109"/>
        <w:gridCol w:w="1118"/>
        <w:gridCol w:w="1127"/>
        <w:gridCol w:w="1324"/>
      </w:tblGrid>
      <w:tr w:rsidR="003A11FB" w:rsidRPr="00037A46" w14:paraId="5C765A60" w14:textId="77777777">
        <w:trPr>
          <w:trHeight w:val="660"/>
          <w:jc w:val="center"/>
        </w:trPr>
        <w:tc>
          <w:tcPr>
            <w:tcW w:w="1291" w:type="dxa"/>
            <w:tcBorders>
              <w:top w:val="single" w:sz="8" w:space="0" w:color="auto"/>
              <w:bottom w:val="single" w:sz="8" w:space="0" w:color="auto"/>
            </w:tcBorders>
            <w:shd w:val="clear" w:color="auto" w:fill="E3E3E3"/>
            <w:vAlign w:val="center"/>
          </w:tcPr>
          <w:p w14:paraId="10A096F5" w14:textId="5B3E908D" w:rsidR="003A11FB" w:rsidRPr="00124C52" w:rsidRDefault="00124C52" w:rsidP="00124C52">
            <w:pPr>
              <w:spacing w:before="0" w:after="0"/>
              <w:ind w:hanging="764"/>
              <w:jc w:val="center"/>
              <w:rPr>
                <w:rFonts w:cs="Arial"/>
                <w:b/>
                <w:bCs/>
                <w:lang w:val="fr-FR"/>
              </w:rPr>
            </w:pPr>
            <w:proofErr w:type="spellStart"/>
            <w:r w:rsidRPr="00124C52">
              <w:rPr>
                <w:rFonts w:cs="Arial"/>
                <w:b/>
                <w:bCs/>
                <w:lang w:val="fr-FR"/>
              </w:rPr>
              <w:t>S</w:t>
            </w:r>
            <w:r w:rsidR="003A11FB" w:rsidRPr="00124C52">
              <w:rPr>
                <w:rFonts w:cs="Arial"/>
                <w:b/>
                <w:bCs/>
                <w:lang w:val="fr-FR"/>
              </w:rPr>
              <w:t>alaris</w:t>
            </w:r>
            <w:proofErr w:type="spellEnd"/>
            <w:r w:rsidR="003A11FB" w:rsidRPr="00124C52">
              <w:rPr>
                <w:rFonts w:cs="Arial"/>
                <w:b/>
                <w:bCs/>
                <w:lang w:val="fr-FR"/>
              </w:rPr>
              <w:t>-</w:t>
            </w:r>
          </w:p>
          <w:p w14:paraId="7BCBE82D" w14:textId="77777777" w:rsidR="003A11FB" w:rsidRPr="00124C52" w:rsidRDefault="003A11FB" w:rsidP="00124C52">
            <w:pPr>
              <w:spacing w:before="0" w:after="0"/>
              <w:ind w:hanging="764"/>
              <w:jc w:val="center"/>
              <w:rPr>
                <w:rFonts w:cs="Arial"/>
                <w:b/>
                <w:bCs/>
                <w:lang w:val="fr-FR"/>
              </w:rPr>
            </w:pPr>
            <w:proofErr w:type="spellStart"/>
            <w:r w:rsidRPr="00124C52">
              <w:rPr>
                <w:rFonts w:cs="Arial"/>
                <w:b/>
                <w:bCs/>
                <w:lang w:val="fr-FR"/>
              </w:rPr>
              <w:t>schalen</w:t>
            </w:r>
            <w:proofErr w:type="spellEnd"/>
            <w:r w:rsidRPr="00124C52">
              <w:rPr>
                <w:rFonts w:cs="Arial"/>
                <w:b/>
                <w:bCs/>
                <w:lang w:val="fr-FR"/>
              </w:rPr>
              <w:t xml:space="preserve"> </w:t>
            </w:r>
          </w:p>
        </w:tc>
        <w:tc>
          <w:tcPr>
            <w:tcW w:w="1242" w:type="dxa"/>
            <w:tcBorders>
              <w:top w:val="single" w:sz="8" w:space="0" w:color="auto"/>
              <w:bottom w:val="single" w:sz="8" w:space="0" w:color="auto"/>
            </w:tcBorders>
            <w:shd w:val="clear" w:color="auto" w:fill="C0C0C0"/>
            <w:vAlign w:val="center"/>
          </w:tcPr>
          <w:p w14:paraId="589708DF" w14:textId="77777777" w:rsidR="003A11FB" w:rsidRPr="00037A46" w:rsidRDefault="003A11FB" w:rsidP="003A11FB">
            <w:pPr>
              <w:spacing w:before="0" w:after="0"/>
              <w:ind w:left="-212"/>
              <w:jc w:val="right"/>
              <w:rPr>
                <w:b/>
                <w:bCs/>
              </w:rPr>
            </w:pPr>
            <w:r w:rsidRPr="00037A46">
              <w:rPr>
                <w:b/>
                <w:bCs/>
              </w:rPr>
              <w:t>B1</w:t>
            </w:r>
          </w:p>
        </w:tc>
        <w:tc>
          <w:tcPr>
            <w:tcW w:w="1109" w:type="dxa"/>
            <w:tcBorders>
              <w:top w:val="single" w:sz="8" w:space="0" w:color="auto"/>
              <w:bottom w:val="single" w:sz="8" w:space="0" w:color="auto"/>
            </w:tcBorders>
            <w:shd w:val="clear" w:color="auto" w:fill="C0C0C0"/>
            <w:vAlign w:val="center"/>
          </w:tcPr>
          <w:p w14:paraId="353C3D09" w14:textId="77777777" w:rsidR="003A11FB" w:rsidRPr="00037A46" w:rsidRDefault="003A11FB" w:rsidP="003A11FB">
            <w:pPr>
              <w:spacing w:before="0" w:after="0"/>
              <w:ind w:left="-212"/>
              <w:jc w:val="right"/>
              <w:rPr>
                <w:b/>
                <w:bCs/>
              </w:rPr>
            </w:pPr>
            <w:r w:rsidRPr="00037A46">
              <w:rPr>
                <w:b/>
                <w:bCs/>
              </w:rPr>
              <w:t>B2</w:t>
            </w:r>
          </w:p>
        </w:tc>
        <w:tc>
          <w:tcPr>
            <w:tcW w:w="1118" w:type="dxa"/>
            <w:tcBorders>
              <w:top w:val="single" w:sz="8" w:space="0" w:color="auto"/>
              <w:bottom w:val="single" w:sz="8" w:space="0" w:color="auto"/>
            </w:tcBorders>
            <w:shd w:val="clear" w:color="auto" w:fill="C0C0C0"/>
            <w:vAlign w:val="center"/>
          </w:tcPr>
          <w:p w14:paraId="62FE5CEE" w14:textId="77777777" w:rsidR="003A11FB" w:rsidRPr="00037A46" w:rsidRDefault="003A11FB" w:rsidP="003A11FB">
            <w:pPr>
              <w:spacing w:before="0" w:after="0"/>
              <w:ind w:left="-212"/>
              <w:jc w:val="right"/>
              <w:rPr>
                <w:b/>
                <w:bCs/>
                <w:lang w:val="en-US"/>
              </w:rPr>
            </w:pPr>
            <w:r w:rsidRPr="00037A46">
              <w:rPr>
                <w:b/>
                <w:bCs/>
                <w:lang w:val="en-US"/>
              </w:rPr>
              <w:t>B3</w:t>
            </w:r>
          </w:p>
        </w:tc>
        <w:tc>
          <w:tcPr>
            <w:tcW w:w="1127" w:type="dxa"/>
            <w:tcBorders>
              <w:top w:val="single" w:sz="8" w:space="0" w:color="auto"/>
              <w:bottom w:val="single" w:sz="8" w:space="0" w:color="auto"/>
            </w:tcBorders>
            <w:shd w:val="clear" w:color="auto" w:fill="C0C0C0"/>
            <w:vAlign w:val="center"/>
          </w:tcPr>
          <w:p w14:paraId="53400E6C" w14:textId="77777777" w:rsidR="003A11FB" w:rsidRPr="00037A46" w:rsidRDefault="003A11FB" w:rsidP="003A11FB">
            <w:pPr>
              <w:spacing w:before="0" w:after="0"/>
              <w:ind w:left="-212"/>
              <w:jc w:val="right"/>
              <w:rPr>
                <w:b/>
                <w:bCs/>
                <w:lang w:val="en-US"/>
              </w:rPr>
            </w:pPr>
            <w:r w:rsidRPr="00037A46">
              <w:rPr>
                <w:b/>
                <w:bCs/>
                <w:lang w:val="en-US"/>
              </w:rPr>
              <w:t>B4</w:t>
            </w:r>
          </w:p>
        </w:tc>
        <w:tc>
          <w:tcPr>
            <w:tcW w:w="1324" w:type="dxa"/>
            <w:tcBorders>
              <w:top w:val="single" w:sz="8" w:space="0" w:color="auto"/>
              <w:bottom w:val="single" w:sz="8" w:space="0" w:color="auto"/>
            </w:tcBorders>
            <w:shd w:val="clear" w:color="auto" w:fill="C0C0C0"/>
            <w:vAlign w:val="center"/>
          </w:tcPr>
          <w:p w14:paraId="5B7617A7" w14:textId="77777777" w:rsidR="003A11FB" w:rsidRPr="00037A46" w:rsidRDefault="003A11FB" w:rsidP="003A11FB">
            <w:pPr>
              <w:spacing w:before="0" w:after="0"/>
              <w:ind w:left="-212"/>
              <w:jc w:val="right"/>
              <w:rPr>
                <w:b/>
                <w:bCs/>
                <w:lang w:val="en-US"/>
              </w:rPr>
            </w:pPr>
            <w:r w:rsidRPr="00037A46">
              <w:rPr>
                <w:b/>
                <w:bCs/>
                <w:lang w:val="en-US"/>
              </w:rPr>
              <w:t>B5</w:t>
            </w:r>
          </w:p>
        </w:tc>
      </w:tr>
      <w:tr w:rsidR="003A11FB" w:rsidRPr="00037A46" w14:paraId="3A80E348" w14:textId="77777777">
        <w:trPr>
          <w:trHeight w:val="330"/>
          <w:jc w:val="center"/>
        </w:trPr>
        <w:tc>
          <w:tcPr>
            <w:tcW w:w="1291" w:type="dxa"/>
            <w:tcBorders>
              <w:top w:val="single" w:sz="8" w:space="0" w:color="auto"/>
              <w:bottom w:val="nil"/>
            </w:tcBorders>
            <w:shd w:val="clear" w:color="auto" w:fill="C0C0C0"/>
            <w:noWrap/>
            <w:vAlign w:val="bottom"/>
          </w:tcPr>
          <w:p w14:paraId="4376069E" w14:textId="77777777" w:rsidR="003A11FB" w:rsidRPr="00124C52" w:rsidRDefault="003A11FB" w:rsidP="00124C52">
            <w:pPr>
              <w:spacing w:before="0" w:after="0"/>
              <w:ind w:hanging="764"/>
              <w:jc w:val="center"/>
              <w:rPr>
                <w:rFonts w:cs="Arial"/>
                <w:b/>
                <w:bCs/>
                <w:lang w:val="fr-FR"/>
              </w:rPr>
            </w:pPr>
            <w:r w:rsidRPr="00124C52">
              <w:rPr>
                <w:rFonts w:cs="Arial"/>
                <w:b/>
                <w:bCs/>
                <w:lang w:val="fr-FR"/>
              </w:rPr>
              <w:t>Minimum</w:t>
            </w:r>
          </w:p>
        </w:tc>
        <w:tc>
          <w:tcPr>
            <w:tcW w:w="1242" w:type="dxa"/>
            <w:tcBorders>
              <w:top w:val="single" w:sz="8" w:space="0" w:color="auto"/>
              <w:bottom w:val="nil"/>
            </w:tcBorders>
            <w:noWrap/>
            <w:vAlign w:val="bottom"/>
          </w:tcPr>
          <w:p w14:paraId="21E8AAE6" w14:textId="77777777" w:rsidR="003A11FB" w:rsidRPr="00037A46" w:rsidRDefault="003A11FB" w:rsidP="003A11FB">
            <w:pPr>
              <w:spacing w:before="0" w:after="0"/>
              <w:ind w:left="-212"/>
              <w:jc w:val="right"/>
              <w:rPr>
                <w:bCs/>
                <w:lang w:val="en-US"/>
              </w:rPr>
            </w:pPr>
            <w:r w:rsidRPr="00037A46">
              <w:rPr>
                <w:bCs/>
                <w:lang w:val="en-US"/>
              </w:rPr>
              <w:t>17.300</w:t>
            </w:r>
          </w:p>
        </w:tc>
        <w:tc>
          <w:tcPr>
            <w:tcW w:w="1109" w:type="dxa"/>
            <w:tcBorders>
              <w:top w:val="single" w:sz="8" w:space="0" w:color="auto"/>
              <w:bottom w:val="nil"/>
            </w:tcBorders>
            <w:noWrap/>
            <w:vAlign w:val="bottom"/>
          </w:tcPr>
          <w:p w14:paraId="75F108AD" w14:textId="77777777" w:rsidR="003A11FB" w:rsidRPr="00037A46" w:rsidRDefault="003A11FB" w:rsidP="003A11FB">
            <w:pPr>
              <w:spacing w:before="0" w:after="0"/>
              <w:ind w:left="-212"/>
              <w:jc w:val="right"/>
              <w:rPr>
                <w:bCs/>
                <w:lang w:val="en-US"/>
              </w:rPr>
            </w:pPr>
            <w:r w:rsidRPr="00037A46">
              <w:rPr>
                <w:bCs/>
                <w:lang w:val="en-US"/>
              </w:rPr>
              <w:t>18.850</w:t>
            </w:r>
          </w:p>
        </w:tc>
        <w:tc>
          <w:tcPr>
            <w:tcW w:w="1118" w:type="dxa"/>
            <w:tcBorders>
              <w:top w:val="single" w:sz="8" w:space="0" w:color="auto"/>
              <w:bottom w:val="nil"/>
            </w:tcBorders>
            <w:noWrap/>
            <w:vAlign w:val="bottom"/>
          </w:tcPr>
          <w:p w14:paraId="3AE6CDDC" w14:textId="77777777" w:rsidR="003A11FB" w:rsidRPr="00037A46" w:rsidRDefault="003A11FB" w:rsidP="003A11FB">
            <w:pPr>
              <w:spacing w:before="0" w:after="0"/>
              <w:ind w:left="-212"/>
              <w:jc w:val="right"/>
              <w:rPr>
                <w:bCs/>
                <w:lang w:val="en-US"/>
              </w:rPr>
            </w:pPr>
            <w:r w:rsidRPr="00037A46">
              <w:rPr>
                <w:bCs/>
                <w:lang w:val="en-US"/>
              </w:rPr>
              <w:t>19.550</w:t>
            </w:r>
          </w:p>
        </w:tc>
        <w:tc>
          <w:tcPr>
            <w:tcW w:w="1127" w:type="dxa"/>
            <w:tcBorders>
              <w:top w:val="single" w:sz="8" w:space="0" w:color="auto"/>
              <w:bottom w:val="nil"/>
            </w:tcBorders>
            <w:noWrap/>
            <w:vAlign w:val="bottom"/>
          </w:tcPr>
          <w:p w14:paraId="437431E3" w14:textId="77777777" w:rsidR="003A11FB" w:rsidRPr="00037A46" w:rsidRDefault="003A11FB" w:rsidP="003A11FB">
            <w:pPr>
              <w:spacing w:before="0" w:after="0"/>
              <w:ind w:left="-212"/>
              <w:jc w:val="right"/>
              <w:rPr>
                <w:bCs/>
                <w:lang w:val="en-US"/>
              </w:rPr>
            </w:pPr>
            <w:r w:rsidRPr="00037A46">
              <w:rPr>
                <w:bCs/>
                <w:lang w:val="en-US"/>
              </w:rPr>
              <w:t>19.950</w:t>
            </w:r>
          </w:p>
        </w:tc>
        <w:tc>
          <w:tcPr>
            <w:tcW w:w="1324" w:type="dxa"/>
            <w:tcBorders>
              <w:top w:val="single" w:sz="8" w:space="0" w:color="auto"/>
              <w:bottom w:val="nil"/>
            </w:tcBorders>
            <w:noWrap/>
            <w:vAlign w:val="bottom"/>
          </w:tcPr>
          <w:p w14:paraId="5BAA9772" w14:textId="77777777" w:rsidR="003A11FB" w:rsidRPr="00037A46" w:rsidRDefault="003A11FB" w:rsidP="003A11FB">
            <w:pPr>
              <w:spacing w:before="0" w:after="0"/>
              <w:ind w:left="-212"/>
              <w:jc w:val="right"/>
              <w:rPr>
                <w:bCs/>
                <w:lang w:val="en-US"/>
              </w:rPr>
            </w:pPr>
            <w:r w:rsidRPr="00037A46">
              <w:rPr>
                <w:bCs/>
                <w:lang w:val="en-US"/>
              </w:rPr>
              <w:t>21.400</w:t>
            </w:r>
          </w:p>
        </w:tc>
      </w:tr>
      <w:tr w:rsidR="003A11FB" w:rsidRPr="00037A46" w14:paraId="637F476C" w14:textId="77777777">
        <w:trPr>
          <w:trHeight w:val="330"/>
          <w:jc w:val="center"/>
        </w:trPr>
        <w:tc>
          <w:tcPr>
            <w:tcW w:w="1291" w:type="dxa"/>
            <w:tcBorders>
              <w:top w:val="nil"/>
              <w:bottom w:val="single" w:sz="8" w:space="0" w:color="auto"/>
            </w:tcBorders>
            <w:shd w:val="clear" w:color="auto" w:fill="C0C0C0"/>
            <w:noWrap/>
            <w:vAlign w:val="bottom"/>
          </w:tcPr>
          <w:p w14:paraId="7D9C0616" w14:textId="77777777" w:rsidR="003A11FB" w:rsidRPr="00124C52" w:rsidRDefault="003A11FB" w:rsidP="00124C52">
            <w:pPr>
              <w:spacing w:before="0" w:after="0"/>
              <w:ind w:hanging="764"/>
              <w:jc w:val="center"/>
              <w:rPr>
                <w:rFonts w:cs="Arial"/>
                <w:b/>
                <w:bCs/>
                <w:lang w:val="fr-FR"/>
              </w:rPr>
            </w:pPr>
            <w:r w:rsidRPr="00124C52">
              <w:rPr>
                <w:rFonts w:cs="Arial"/>
                <w:b/>
                <w:bCs/>
                <w:lang w:val="fr-FR"/>
              </w:rPr>
              <w:t>Maximum</w:t>
            </w:r>
          </w:p>
        </w:tc>
        <w:tc>
          <w:tcPr>
            <w:tcW w:w="1242" w:type="dxa"/>
            <w:tcBorders>
              <w:top w:val="nil"/>
              <w:bottom w:val="single" w:sz="8" w:space="0" w:color="auto"/>
            </w:tcBorders>
            <w:noWrap/>
            <w:vAlign w:val="bottom"/>
          </w:tcPr>
          <w:p w14:paraId="65A27E63" w14:textId="77777777" w:rsidR="003A11FB" w:rsidRPr="00037A46" w:rsidRDefault="003A11FB" w:rsidP="003A11FB">
            <w:pPr>
              <w:spacing w:before="0" w:after="0"/>
              <w:ind w:left="-212"/>
              <w:jc w:val="right"/>
              <w:rPr>
                <w:bCs/>
              </w:rPr>
            </w:pPr>
            <w:r w:rsidRPr="00037A46">
              <w:rPr>
                <w:bCs/>
              </w:rPr>
              <w:t>23.350</w:t>
            </w:r>
          </w:p>
        </w:tc>
        <w:tc>
          <w:tcPr>
            <w:tcW w:w="1109" w:type="dxa"/>
            <w:tcBorders>
              <w:top w:val="nil"/>
              <w:bottom w:val="single" w:sz="8" w:space="0" w:color="auto"/>
            </w:tcBorders>
            <w:noWrap/>
            <w:vAlign w:val="bottom"/>
          </w:tcPr>
          <w:p w14:paraId="25D79AAC" w14:textId="77777777" w:rsidR="003A11FB" w:rsidRPr="00037A46" w:rsidRDefault="003A11FB" w:rsidP="003A11FB">
            <w:pPr>
              <w:spacing w:before="0" w:after="0"/>
              <w:ind w:left="-212"/>
              <w:jc w:val="right"/>
              <w:rPr>
                <w:bCs/>
              </w:rPr>
            </w:pPr>
            <w:r w:rsidRPr="00037A46">
              <w:rPr>
                <w:bCs/>
              </w:rPr>
              <w:t>26.450</w:t>
            </w:r>
          </w:p>
        </w:tc>
        <w:tc>
          <w:tcPr>
            <w:tcW w:w="1118" w:type="dxa"/>
            <w:tcBorders>
              <w:top w:val="nil"/>
              <w:bottom w:val="single" w:sz="8" w:space="0" w:color="auto"/>
            </w:tcBorders>
            <w:noWrap/>
            <w:vAlign w:val="bottom"/>
          </w:tcPr>
          <w:p w14:paraId="5B5571E1" w14:textId="77777777" w:rsidR="003A11FB" w:rsidRPr="00037A46" w:rsidRDefault="003A11FB" w:rsidP="003A11FB">
            <w:pPr>
              <w:spacing w:before="0" w:after="0"/>
              <w:ind w:left="-212"/>
              <w:jc w:val="right"/>
              <w:rPr>
                <w:bCs/>
              </w:rPr>
            </w:pPr>
            <w:r w:rsidRPr="00037A46">
              <w:rPr>
                <w:bCs/>
              </w:rPr>
              <w:t>29.150</w:t>
            </w:r>
          </w:p>
        </w:tc>
        <w:tc>
          <w:tcPr>
            <w:tcW w:w="1127" w:type="dxa"/>
            <w:tcBorders>
              <w:top w:val="nil"/>
              <w:bottom w:val="single" w:sz="8" w:space="0" w:color="auto"/>
            </w:tcBorders>
            <w:noWrap/>
            <w:vAlign w:val="bottom"/>
          </w:tcPr>
          <w:p w14:paraId="77FEA3D2" w14:textId="77777777" w:rsidR="003A11FB" w:rsidRPr="00037A46" w:rsidRDefault="003A11FB" w:rsidP="003A11FB">
            <w:pPr>
              <w:spacing w:before="0" w:after="0"/>
              <w:ind w:left="-212"/>
              <w:jc w:val="right"/>
              <w:rPr>
                <w:bCs/>
              </w:rPr>
            </w:pPr>
            <w:r w:rsidRPr="00037A46">
              <w:rPr>
                <w:bCs/>
              </w:rPr>
              <w:t>29.750</w:t>
            </w:r>
          </w:p>
        </w:tc>
        <w:tc>
          <w:tcPr>
            <w:tcW w:w="1324" w:type="dxa"/>
            <w:tcBorders>
              <w:top w:val="nil"/>
              <w:bottom w:val="single" w:sz="8" w:space="0" w:color="auto"/>
            </w:tcBorders>
            <w:noWrap/>
            <w:vAlign w:val="bottom"/>
          </w:tcPr>
          <w:p w14:paraId="7EDF9C62" w14:textId="77777777" w:rsidR="003A11FB" w:rsidRPr="00037A46" w:rsidRDefault="003A11FB" w:rsidP="003A11FB">
            <w:pPr>
              <w:spacing w:before="0" w:after="0"/>
              <w:ind w:left="-212"/>
              <w:jc w:val="right"/>
              <w:rPr>
                <w:bCs/>
              </w:rPr>
            </w:pPr>
            <w:r w:rsidRPr="00037A46">
              <w:rPr>
                <w:bCs/>
              </w:rPr>
              <w:t>32.500</w:t>
            </w:r>
          </w:p>
        </w:tc>
      </w:tr>
      <w:tr w:rsidR="003A11FB" w:rsidRPr="00037A46" w14:paraId="70244C5F" w14:textId="77777777">
        <w:trPr>
          <w:trHeight w:val="315"/>
          <w:jc w:val="center"/>
        </w:trPr>
        <w:tc>
          <w:tcPr>
            <w:tcW w:w="1291" w:type="dxa"/>
            <w:tcBorders>
              <w:top w:val="single" w:sz="8" w:space="0" w:color="auto"/>
              <w:bottom w:val="nil"/>
            </w:tcBorders>
            <w:shd w:val="clear" w:color="auto" w:fill="C0C0C0"/>
            <w:noWrap/>
            <w:vAlign w:val="bottom"/>
          </w:tcPr>
          <w:p w14:paraId="24E3E2C3" w14:textId="77777777" w:rsidR="003A11FB" w:rsidRPr="00124C52" w:rsidRDefault="003A11FB" w:rsidP="00124C52">
            <w:pPr>
              <w:spacing w:before="0" w:after="0"/>
              <w:ind w:hanging="764"/>
              <w:jc w:val="center"/>
              <w:rPr>
                <w:rFonts w:cs="Arial"/>
                <w:b/>
                <w:bCs/>
                <w:lang w:val="fr-FR"/>
              </w:rPr>
            </w:pPr>
            <w:proofErr w:type="spellStart"/>
            <w:r w:rsidRPr="00124C52">
              <w:rPr>
                <w:rFonts w:cs="Arial"/>
                <w:b/>
                <w:bCs/>
                <w:lang w:val="fr-FR"/>
              </w:rPr>
              <w:t>Verhoging</w:t>
            </w:r>
            <w:proofErr w:type="spellEnd"/>
          </w:p>
        </w:tc>
        <w:tc>
          <w:tcPr>
            <w:tcW w:w="1242" w:type="dxa"/>
            <w:tcBorders>
              <w:top w:val="single" w:sz="8" w:space="0" w:color="auto"/>
              <w:bottom w:val="nil"/>
            </w:tcBorders>
            <w:noWrap/>
            <w:vAlign w:val="bottom"/>
          </w:tcPr>
          <w:p w14:paraId="557F153A" w14:textId="77777777" w:rsidR="003A11FB" w:rsidRPr="00037A46" w:rsidRDefault="003A11FB" w:rsidP="003A11FB">
            <w:pPr>
              <w:spacing w:before="0" w:after="0"/>
              <w:ind w:left="-212"/>
              <w:jc w:val="right"/>
              <w:rPr>
                <w:bCs/>
              </w:rPr>
            </w:pPr>
            <w:r w:rsidRPr="00037A46">
              <w:rPr>
                <w:bCs/>
              </w:rPr>
              <w:t>1x1x500</w:t>
            </w:r>
          </w:p>
        </w:tc>
        <w:tc>
          <w:tcPr>
            <w:tcW w:w="1109" w:type="dxa"/>
            <w:tcBorders>
              <w:top w:val="single" w:sz="8" w:space="0" w:color="auto"/>
              <w:bottom w:val="nil"/>
            </w:tcBorders>
            <w:noWrap/>
            <w:vAlign w:val="bottom"/>
          </w:tcPr>
          <w:p w14:paraId="075E295E" w14:textId="77777777" w:rsidR="003A11FB" w:rsidRPr="00037A46" w:rsidRDefault="003A11FB" w:rsidP="003A11FB">
            <w:pPr>
              <w:spacing w:before="0" w:after="0"/>
              <w:ind w:left="-212"/>
              <w:jc w:val="right"/>
              <w:rPr>
                <w:bCs/>
              </w:rPr>
            </w:pPr>
            <w:r w:rsidRPr="00037A46">
              <w:rPr>
                <w:bCs/>
              </w:rPr>
              <w:t>1x1x600</w:t>
            </w:r>
          </w:p>
        </w:tc>
        <w:tc>
          <w:tcPr>
            <w:tcW w:w="1118" w:type="dxa"/>
            <w:tcBorders>
              <w:top w:val="single" w:sz="8" w:space="0" w:color="auto"/>
              <w:bottom w:val="nil"/>
            </w:tcBorders>
            <w:noWrap/>
            <w:vAlign w:val="bottom"/>
          </w:tcPr>
          <w:p w14:paraId="42659FB7" w14:textId="77777777" w:rsidR="003A11FB" w:rsidRPr="00037A46" w:rsidRDefault="003A11FB" w:rsidP="003A11FB">
            <w:pPr>
              <w:spacing w:before="0" w:after="0"/>
              <w:ind w:left="-212"/>
              <w:jc w:val="right"/>
              <w:rPr>
                <w:bCs/>
              </w:rPr>
            </w:pPr>
            <w:r w:rsidRPr="00037A46">
              <w:rPr>
                <w:bCs/>
              </w:rPr>
              <w:t>1x1x800</w:t>
            </w:r>
          </w:p>
        </w:tc>
        <w:tc>
          <w:tcPr>
            <w:tcW w:w="1127" w:type="dxa"/>
            <w:tcBorders>
              <w:top w:val="single" w:sz="8" w:space="0" w:color="auto"/>
              <w:bottom w:val="nil"/>
            </w:tcBorders>
            <w:noWrap/>
            <w:vAlign w:val="bottom"/>
          </w:tcPr>
          <w:p w14:paraId="4FACFB88" w14:textId="77777777" w:rsidR="003A11FB" w:rsidRPr="00037A46" w:rsidRDefault="003A11FB" w:rsidP="003A11FB">
            <w:pPr>
              <w:spacing w:before="0" w:after="0"/>
              <w:ind w:left="-212"/>
              <w:jc w:val="right"/>
              <w:rPr>
                <w:bCs/>
              </w:rPr>
            </w:pPr>
            <w:r w:rsidRPr="00037A46">
              <w:rPr>
                <w:bCs/>
              </w:rPr>
              <w:t>1x1x800</w:t>
            </w:r>
          </w:p>
        </w:tc>
        <w:tc>
          <w:tcPr>
            <w:tcW w:w="1324" w:type="dxa"/>
            <w:tcBorders>
              <w:top w:val="single" w:sz="8" w:space="0" w:color="auto"/>
              <w:bottom w:val="nil"/>
            </w:tcBorders>
            <w:noWrap/>
            <w:vAlign w:val="bottom"/>
          </w:tcPr>
          <w:p w14:paraId="3A3A7842" w14:textId="77777777" w:rsidR="003A11FB" w:rsidRPr="00037A46" w:rsidRDefault="003A11FB" w:rsidP="003A11FB">
            <w:pPr>
              <w:spacing w:before="0" w:after="0"/>
              <w:ind w:left="-212"/>
              <w:jc w:val="right"/>
              <w:rPr>
                <w:bCs/>
              </w:rPr>
            </w:pPr>
            <w:r w:rsidRPr="00037A46">
              <w:rPr>
                <w:bCs/>
              </w:rPr>
              <w:t>1x1x900</w:t>
            </w:r>
          </w:p>
        </w:tc>
      </w:tr>
      <w:tr w:rsidR="003A11FB" w:rsidRPr="00037A46" w14:paraId="332F9A3E" w14:textId="77777777">
        <w:trPr>
          <w:trHeight w:val="315"/>
          <w:jc w:val="center"/>
        </w:trPr>
        <w:tc>
          <w:tcPr>
            <w:tcW w:w="1291" w:type="dxa"/>
            <w:tcBorders>
              <w:top w:val="nil"/>
              <w:bottom w:val="nil"/>
            </w:tcBorders>
            <w:shd w:val="clear" w:color="auto" w:fill="C0C0C0"/>
            <w:noWrap/>
            <w:vAlign w:val="bottom"/>
          </w:tcPr>
          <w:p w14:paraId="3B92D4E5" w14:textId="77777777" w:rsidR="003A11FB" w:rsidRPr="00037A46" w:rsidRDefault="003A11FB" w:rsidP="003A11FB">
            <w:pPr>
              <w:spacing w:before="0" w:after="0"/>
              <w:ind w:left="-212"/>
              <w:jc w:val="center"/>
              <w:rPr>
                <w:b/>
                <w:bCs/>
              </w:rPr>
            </w:pPr>
            <w:r w:rsidRPr="00037A46">
              <w:rPr>
                <w:b/>
                <w:bCs/>
              </w:rPr>
              <w:t> </w:t>
            </w:r>
          </w:p>
        </w:tc>
        <w:tc>
          <w:tcPr>
            <w:tcW w:w="1242" w:type="dxa"/>
            <w:tcBorders>
              <w:top w:val="nil"/>
              <w:bottom w:val="nil"/>
            </w:tcBorders>
            <w:noWrap/>
            <w:vAlign w:val="bottom"/>
          </w:tcPr>
          <w:p w14:paraId="0AFE1CC0" w14:textId="77777777" w:rsidR="003A11FB" w:rsidRPr="00037A46" w:rsidRDefault="003A11FB" w:rsidP="003A11FB">
            <w:pPr>
              <w:spacing w:before="0" w:after="0"/>
              <w:ind w:left="-212"/>
              <w:jc w:val="right"/>
              <w:rPr>
                <w:bCs/>
              </w:rPr>
            </w:pPr>
            <w:r w:rsidRPr="00037A46">
              <w:rPr>
                <w:bCs/>
              </w:rPr>
              <w:t>5x2x500</w:t>
            </w:r>
          </w:p>
        </w:tc>
        <w:tc>
          <w:tcPr>
            <w:tcW w:w="1109" w:type="dxa"/>
            <w:tcBorders>
              <w:top w:val="nil"/>
              <w:bottom w:val="nil"/>
            </w:tcBorders>
            <w:noWrap/>
            <w:vAlign w:val="bottom"/>
          </w:tcPr>
          <w:p w14:paraId="51A1B722" w14:textId="77777777" w:rsidR="003A11FB" w:rsidRPr="00037A46" w:rsidRDefault="003A11FB" w:rsidP="003A11FB">
            <w:pPr>
              <w:spacing w:before="0" w:after="0"/>
              <w:ind w:left="-212"/>
              <w:jc w:val="right"/>
              <w:rPr>
                <w:bCs/>
              </w:rPr>
            </w:pPr>
            <w:r w:rsidRPr="00037A46">
              <w:rPr>
                <w:bCs/>
              </w:rPr>
              <w:t>1x2x650</w:t>
            </w:r>
          </w:p>
        </w:tc>
        <w:tc>
          <w:tcPr>
            <w:tcW w:w="1118" w:type="dxa"/>
            <w:tcBorders>
              <w:top w:val="nil"/>
              <w:bottom w:val="nil"/>
            </w:tcBorders>
            <w:noWrap/>
            <w:vAlign w:val="bottom"/>
          </w:tcPr>
          <w:p w14:paraId="43FB74D5" w14:textId="77777777" w:rsidR="003A11FB" w:rsidRPr="00037A46" w:rsidRDefault="003A11FB" w:rsidP="003A11FB">
            <w:pPr>
              <w:spacing w:before="0" w:after="0"/>
              <w:ind w:left="-212"/>
              <w:jc w:val="right"/>
              <w:rPr>
                <w:bCs/>
              </w:rPr>
            </w:pPr>
            <w:r w:rsidRPr="00037A46">
              <w:rPr>
                <w:bCs/>
              </w:rPr>
              <w:t>1x2x750</w:t>
            </w:r>
          </w:p>
        </w:tc>
        <w:tc>
          <w:tcPr>
            <w:tcW w:w="1127" w:type="dxa"/>
            <w:tcBorders>
              <w:top w:val="nil"/>
              <w:bottom w:val="nil"/>
            </w:tcBorders>
            <w:noWrap/>
            <w:vAlign w:val="bottom"/>
          </w:tcPr>
          <w:p w14:paraId="20BDF549" w14:textId="77777777" w:rsidR="003A11FB" w:rsidRPr="00037A46" w:rsidRDefault="003A11FB" w:rsidP="003A11FB">
            <w:pPr>
              <w:spacing w:before="0" w:after="0"/>
              <w:ind w:left="-212"/>
              <w:jc w:val="right"/>
              <w:rPr>
                <w:bCs/>
              </w:rPr>
            </w:pPr>
            <w:r w:rsidRPr="00037A46">
              <w:rPr>
                <w:bCs/>
              </w:rPr>
              <w:t>1x2x850</w:t>
            </w:r>
          </w:p>
        </w:tc>
        <w:tc>
          <w:tcPr>
            <w:tcW w:w="1324" w:type="dxa"/>
            <w:tcBorders>
              <w:top w:val="nil"/>
              <w:bottom w:val="nil"/>
            </w:tcBorders>
            <w:noWrap/>
            <w:vAlign w:val="bottom"/>
          </w:tcPr>
          <w:p w14:paraId="3277A632" w14:textId="77777777" w:rsidR="003A11FB" w:rsidRPr="00037A46" w:rsidRDefault="003A11FB" w:rsidP="003A11FB">
            <w:pPr>
              <w:spacing w:before="0" w:after="0"/>
              <w:ind w:left="-212"/>
              <w:jc w:val="right"/>
              <w:rPr>
                <w:bCs/>
              </w:rPr>
            </w:pPr>
            <w:r w:rsidRPr="00037A46">
              <w:rPr>
                <w:bCs/>
              </w:rPr>
              <w:t>1x2x950</w:t>
            </w:r>
          </w:p>
        </w:tc>
      </w:tr>
      <w:tr w:rsidR="003A11FB" w:rsidRPr="00037A46" w14:paraId="65425DD6" w14:textId="77777777">
        <w:trPr>
          <w:trHeight w:val="315"/>
          <w:jc w:val="center"/>
        </w:trPr>
        <w:tc>
          <w:tcPr>
            <w:tcW w:w="1291" w:type="dxa"/>
            <w:tcBorders>
              <w:top w:val="nil"/>
              <w:bottom w:val="nil"/>
            </w:tcBorders>
            <w:shd w:val="clear" w:color="auto" w:fill="C0C0C0"/>
            <w:noWrap/>
            <w:vAlign w:val="bottom"/>
          </w:tcPr>
          <w:p w14:paraId="443CFA57" w14:textId="77777777" w:rsidR="003A11FB" w:rsidRPr="00037A46" w:rsidRDefault="003A11FB" w:rsidP="003A11FB">
            <w:pPr>
              <w:spacing w:before="0" w:after="0"/>
              <w:ind w:left="-212"/>
              <w:jc w:val="center"/>
              <w:rPr>
                <w:b/>
                <w:bCs/>
              </w:rPr>
            </w:pPr>
            <w:r w:rsidRPr="00037A46">
              <w:rPr>
                <w:b/>
                <w:bCs/>
              </w:rPr>
              <w:t> </w:t>
            </w:r>
          </w:p>
        </w:tc>
        <w:tc>
          <w:tcPr>
            <w:tcW w:w="1242" w:type="dxa"/>
            <w:tcBorders>
              <w:top w:val="nil"/>
              <w:bottom w:val="nil"/>
            </w:tcBorders>
            <w:noWrap/>
            <w:vAlign w:val="bottom"/>
          </w:tcPr>
          <w:p w14:paraId="725CAFD2" w14:textId="77777777" w:rsidR="003A11FB" w:rsidRPr="00037A46" w:rsidRDefault="003A11FB" w:rsidP="003A11FB">
            <w:pPr>
              <w:spacing w:before="0" w:after="0"/>
              <w:ind w:left="-212"/>
              <w:jc w:val="right"/>
              <w:rPr>
                <w:bCs/>
              </w:rPr>
            </w:pPr>
            <w:r w:rsidRPr="00037A46">
              <w:rPr>
                <w:bCs/>
              </w:rPr>
              <w:t>1x2x450</w:t>
            </w:r>
          </w:p>
        </w:tc>
        <w:tc>
          <w:tcPr>
            <w:tcW w:w="1109" w:type="dxa"/>
            <w:tcBorders>
              <w:top w:val="nil"/>
              <w:bottom w:val="nil"/>
            </w:tcBorders>
            <w:noWrap/>
            <w:vAlign w:val="bottom"/>
          </w:tcPr>
          <w:p w14:paraId="68D211C8" w14:textId="77777777" w:rsidR="003A11FB" w:rsidRPr="00037A46" w:rsidRDefault="003A11FB" w:rsidP="003A11FB">
            <w:pPr>
              <w:spacing w:before="0" w:after="0"/>
              <w:ind w:left="-212"/>
              <w:jc w:val="right"/>
              <w:rPr>
                <w:bCs/>
              </w:rPr>
            </w:pPr>
            <w:r w:rsidRPr="00037A46">
              <w:rPr>
                <w:bCs/>
              </w:rPr>
              <w:t>2x2x600</w:t>
            </w:r>
          </w:p>
        </w:tc>
        <w:tc>
          <w:tcPr>
            <w:tcW w:w="1118" w:type="dxa"/>
            <w:tcBorders>
              <w:top w:val="nil"/>
              <w:bottom w:val="nil"/>
            </w:tcBorders>
            <w:noWrap/>
            <w:vAlign w:val="bottom"/>
          </w:tcPr>
          <w:p w14:paraId="5E0127A8" w14:textId="77777777" w:rsidR="003A11FB" w:rsidRPr="00037A46" w:rsidRDefault="003A11FB" w:rsidP="003A11FB">
            <w:pPr>
              <w:spacing w:before="0" w:after="0"/>
              <w:ind w:left="-212"/>
              <w:jc w:val="right"/>
              <w:rPr>
                <w:bCs/>
              </w:rPr>
            </w:pPr>
            <w:r w:rsidRPr="00037A46">
              <w:rPr>
                <w:bCs/>
              </w:rPr>
              <w:t>6x2x800</w:t>
            </w:r>
          </w:p>
        </w:tc>
        <w:tc>
          <w:tcPr>
            <w:tcW w:w="1127" w:type="dxa"/>
            <w:tcBorders>
              <w:top w:val="nil"/>
              <w:bottom w:val="nil"/>
            </w:tcBorders>
            <w:noWrap/>
            <w:vAlign w:val="bottom"/>
          </w:tcPr>
          <w:p w14:paraId="6D5B377D" w14:textId="77777777" w:rsidR="003A11FB" w:rsidRPr="00037A46" w:rsidRDefault="003A11FB" w:rsidP="003A11FB">
            <w:pPr>
              <w:spacing w:before="0" w:after="0"/>
              <w:ind w:left="-212"/>
              <w:jc w:val="right"/>
              <w:rPr>
                <w:bCs/>
              </w:rPr>
            </w:pPr>
            <w:r w:rsidRPr="00037A46">
              <w:rPr>
                <w:bCs/>
              </w:rPr>
              <w:t>1x2x800</w:t>
            </w:r>
          </w:p>
        </w:tc>
        <w:tc>
          <w:tcPr>
            <w:tcW w:w="1324" w:type="dxa"/>
            <w:tcBorders>
              <w:top w:val="nil"/>
              <w:bottom w:val="nil"/>
            </w:tcBorders>
            <w:noWrap/>
            <w:vAlign w:val="bottom"/>
          </w:tcPr>
          <w:p w14:paraId="5F6C9FFC" w14:textId="77777777" w:rsidR="003A11FB" w:rsidRPr="00037A46" w:rsidRDefault="003A11FB" w:rsidP="003A11FB">
            <w:pPr>
              <w:spacing w:before="0" w:after="0"/>
              <w:ind w:left="-212"/>
              <w:jc w:val="right"/>
              <w:rPr>
                <w:bCs/>
              </w:rPr>
            </w:pPr>
            <w:r w:rsidRPr="00037A46">
              <w:rPr>
                <w:bCs/>
              </w:rPr>
              <w:t>2x2x900</w:t>
            </w:r>
          </w:p>
        </w:tc>
      </w:tr>
      <w:tr w:rsidR="003A11FB" w:rsidRPr="00037A46" w14:paraId="388BAB24" w14:textId="77777777">
        <w:trPr>
          <w:trHeight w:val="315"/>
          <w:jc w:val="center"/>
        </w:trPr>
        <w:tc>
          <w:tcPr>
            <w:tcW w:w="1291" w:type="dxa"/>
            <w:tcBorders>
              <w:top w:val="nil"/>
              <w:bottom w:val="nil"/>
            </w:tcBorders>
            <w:shd w:val="clear" w:color="auto" w:fill="C0C0C0"/>
            <w:noWrap/>
            <w:vAlign w:val="bottom"/>
          </w:tcPr>
          <w:p w14:paraId="3E16CC09" w14:textId="77777777" w:rsidR="003A11FB" w:rsidRPr="00037A46" w:rsidRDefault="003A11FB" w:rsidP="003A11FB">
            <w:pPr>
              <w:spacing w:before="0" w:after="0"/>
              <w:ind w:left="-212"/>
              <w:jc w:val="center"/>
              <w:rPr>
                <w:b/>
                <w:bCs/>
              </w:rPr>
            </w:pPr>
            <w:r w:rsidRPr="00037A46">
              <w:rPr>
                <w:b/>
                <w:bCs/>
              </w:rPr>
              <w:t> </w:t>
            </w:r>
          </w:p>
        </w:tc>
        <w:tc>
          <w:tcPr>
            <w:tcW w:w="1242" w:type="dxa"/>
            <w:tcBorders>
              <w:top w:val="nil"/>
              <w:bottom w:val="nil"/>
            </w:tcBorders>
            <w:noWrap/>
            <w:vAlign w:val="bottom"/>
          </w:tcPr>
          <w:p w14:paraId="0B9E4153" w14:textId="77777777" w:rsidR="003A11FB" w:rsidRPr="00037A46" w:rsidRDefault="003A11FB" w:rsidP="003A11FB">
            <w:pPr>
              <w:spacing w:before="0" w:after="0"/>
              <w:ind w:left="-212"/>
              <w:jc w:val="right"/>
              <w:rPr>
                <w:bCs/>
              </w:rPr>
            </w:pPr>
            <w:r w:rsidRPr="00037A46">
              <w:rPr>
                <w:bCs/>
              </w:rPr>
              <w:t>4x2x500</w:t>
            </w:r>
          </w:p>
        </w:tc>
        <w:tc>
          <w:tcPr>
            <w:tcW w:w="1109" w:type="dxa"/>
            <w:tcBorders>
              <w:top w:val="nil"/>
              <w:bottom w:val="nil"/>
            </w:tcBorders>
            <w:noWrap/>
            <w:vAlign w:val="bottom"/>
          </w:tcPr>
          <w:p w14:paraId="513CCEA4" w14:textId="77777777" w:rsidR="003A11FB" w:rsidRPr="00037A46" w:rsidRDefault="003A11FB" w:rsidP="003A11FB">
            <w:pPr>
              <w:spacing w:before="0" w:after="0"/>
              <w:ind w:left="-212"/>
              <w:jc w:val="right"/>
              <w:rPr>
                <w:bCs/>
              </w:rPr>
            </w:pPr>
            <w:r w:rsidRPr="00037A46">
              <w:rPr>
                <w:bCs/>
              </w:rPr>
              <w:t>1x2x650</w:t>
            </w:r>
          </w:p>
        </w:tc>
        <w:tc>
          <w:tcPr>
            <w:tcW w:w="1118" w:type="dxa"/>
            <w:tcBorders>
              <w:top w:val="nil"/>
              <w:bottom w:val="nil"/>
            </w:tcBorders>
            <w:noWrap/>
            <w:vAlign w:val="bottom"/>
          </w:tcPr>
          <w:p w14:paraId="24D039FA" w14:textId="77777777" w:rsidR="003A11FB" w:rsidRPr="00037A46" w:rsidRDefault="003A11FB" w:rsidP="003A11FB">
            <w:pPr>
              <w:spacing w:before="0" w:after="0"/>
              <w:ind w:left="-212"/>
              <w:jc w:val="right"/>
              <w:rPr>
                <w:bCs/>
              </w:rPr>
            </w:pPr>
            <w:r w:rsidRPr="00037A46">
              <w:rPr>
                <w:bCs/>
              </w:rPr>
              <w:t>1x2x750</w:t>
            </w:r>
          </w:p>
        </w:tc>
        <w:tc>
          <w:tcPr>
            <w:tcW w:w="1127" w:type="dxa"/>
            <w:tcBorders>
              <w:top w:val="nil"/>
              <w:bottom w:val="nil"/>
            </w:tcBorders>
            <w:noWrap/>
            <w:vAlign w:val="bottom"/>
          </w:tcPr>
          <w:p w14:paraId="634D01D6" w14:textId="77777777" w:rsidR="003A11FB" w:rsidRPr="00037A46" w:rsidRDefault="003A11FB" w:rsidP="003A11FB">
            <w:pPr>
              <w:spacing w:before="0" w:after="0"/>
              <w:ind w:left="-212"/>
              <w:jc w:val="right"/>
              <w:rPr>
                <w:bCs/>
              </w:rPr>
            </w:pPr>
            <w:r w:rsidRPr="00037A46">
              <w:rPr>
                <w:bCs/>
              </w:rPr>
              <w:t>1x2x850</w:t>
            </w:r>
          </w:p>
        </w:tc>
        <w:tc>
          <w:tcPr>
            <w:tcW w:w="1324" w:type="dxa"/>
            <w:tcBorders>
              <w:top w:val="nil"/>
              <w:bottom w:val="nil"/>
            </w:tcBorders>
            <w:noWrap/>
            <w:vAlign w:val="bottom"/>
          </w:tcPr>
          <w:p w14:paraId="1C4C5CAA" w14:textId="77777777" w:rsidR="003A11FB" w:rsidRPr="00037A46" w:rsidRDefault="003A11FB" w:rsidP="003A11FB">
            <w:pPr>
              <w:spacing w:before="0" w:after="0"/>
              <w:ind w:left="-212"/>
              <w:jc w:val="right"/>
              <w:rPr>
                <w:bCs/>
              </w:rPr>
            </w:pPr>
            <w:r w:rsidRPr="00037A46">
              <w:rPr>
                <w:bCs/>
              </w:rPr>
              <w:t>1x2x950</w:t>
            </w:r>
          </w:p>
        </w:tc>
      </w:tr>
      <w:tr w:rsidR="003A11FB" w:rsidRPr="00037A46" w14:paraId="5F4FB3F3" w14:textId="77777777">
        <w:trPr>
          <w:trHeight w:val="315"/>
          <w:jc w:val="center"/>
        </w:trPr>
        <w:tc>
          <w:tcPr>
            <w:tcW w:w="1291" w:type="dxa"/>
            <w:tcBorders>
              <w:top w:val="nil"/>
              <w:bottom w:val="nil"/>
            </w:tcBorders>
            <w:shd w:val="clear" w:color="auto" w:fill="C0C0C0"/>
            <w:noWrap/>
            <w:vAlign w:val="bottom"/>
          </w:tcPr>
          <w:p w14:paraId="6131658F" w14:textId="77777777" w:rsidR="003A11FB" w:rsidRPr="00037A46" w:rsidRDefault="003A11FB" w:rsidP="003A11FB">
            <w:pPr>
              <w:spacing w:before="0" w:after="0"/>
              <w:ind w:left="-212"/>
              <w:jc w:val="center"/>
              <w:rPr>
                <w:b/>
                <w:bCs/>
              </w:rPr>
            </w:pPr>
            <w:r w:rsidRPr="00037A46">
              <w:rPr>
                <w:b/>
                <w:bCs/>
              </w:rPr>
              <w:t> </w:t>
            </w:r>
          </w:p>
        </w:tc>
        <w:tc>
          <w:tcPr>
            <w:tcW w:w="1242" w:type="dxa"/>
            <w:tcBorders>
              <w:top w:val="nil"/>
              <w:bottom w:val="nil"/>
            </w:tcBorders>
            <w:noWrap/>
            <w:vAlign w:val="bottom"/>
          </w:tcPr>
          <w:p w14:paraId="3F1204DA" w14:textId="77777777" w:rsidR="003A11FB" w:rsidRPr="00037A46" w:rsidRDefault="003A11FB" w:rsidP="003A11FB">
            <w:pPr>
              <w:spacing w:before="0" w:after="0"/>
              <w:ind w:left="-212"/>
              <w:jc w:val="right"/>
              <w:rPr>
                <w:bCs/>
              </w:rPr>
            </w:pPr>
            <w:r w:rsidRPr="00037A46">
              <w:rPr>
                <w:bCs/>
              </w:rPr>
              <w:t>1x2x600</w:t>
            </w:r>
          </w:p>
        </w:tc>
        <w:tc>
          <w:tcPr>
            <w:tcW w:w="1109" w:type="dxa"/>
            <w:tcBorders>
              <w:top w:val="nil"/>
              <w:bottom w:val="nil"/>
            </w:tcBorders>
            <w:noWrap/>
            <w:vAlign w:val="bottom"/>
          </w:tcPr>
          <w:p w14:paraId="3150FA3C" w14:textId="77777777" w:rsidR="003A11FB" w:rsidRPr="00037A46" w:rsidRDefault="003A11FB" w:rsidP="003A11FB">
            <w:pPr>
              <w:spacing w:before="0" w:after="0"/>
              <w:ind w:left="-212"/>
              <w:jc w:val="right"/>
              <w:rPr>
                <w:bCs/>
              </w:rPr>
            </w:pPr>
            <w:r w:rsidRPr="00037A46">
              <w:rPr>
                <w:bCs/>
              </w:rPr>
              <w:t>1x2x600</w:t>
            </w:r>
          </w:p>
        </w:tc>
        <w:tc>
          <w:tcPr>
            <w:tcW w:w="1118" w:type="dxa"/>
            <w:tcBorders>
              <w:top w:val="nil"/>
              <w:bottom w:val="nil"/>
            </w:tcBorders>
            <w:noWrap/>
            <w:vAlign w:val="bottom"/>
          </w:tcPr>
          <w:p w14:paraId="0A9C9DE0" w14:textId="77777777" w:rsidR="003A11FB" w:rsidRPr="00037A46" w:rsidRDefault="003A11FB" w:rsidP="003A11FB">
            <w:pPr>
              <w:spacing w:before="0" w:after="0"/>
              <w:ind w:left="-212"/>
              <w:jc w:val="right"/>
              <w:rPr>
                <w:bCs/>
              </w:rPr>
            </w:pPr>
            <w:r w:rsidRPr="00037A46">
              <w:rPr>
                <w:bCs/>
              </w:rPr>
              <w:t>2x2x800</w:t>
            </w:r>
          </w:p>
        </w:tc>
        <w:tc>
          <w:tcPr>
            <w:tcW w:w="1127" w:type="dxa"/>
            <w:tcBorders>
              <w:top w:val="nil"/>
              <w:bottom w:val="nil"/>
            </w:tcBorders>
            <w:noWrap/>
            <w:vAlign w:val="bottom"/>
          </w:tcPr>
          <w:p w14:paraId="35615831" w14:textId="77777777" w:rsidR="003A11FB" w:rsidRPr="00037A46" w:rsidRDefault="003A11FB" w:rsidP="003A11FB">
            <w:pPr>
              <w:spacing w:before="0" w:after="0"/>
              <w:ind w:left="-212"/>
              <w:jc w:val="right"/>
              <w:rPr>
                <w:bCs/>
              </w:rPr>
            </w:pPr>
            <w:r w:rsidRPr="00037A46">
              <w:rPr>
                <w:bCs/>
              </w:rPr>
              <w:t>2x2x800</w:t>
            </w:r>
          </w:p>
        </w:tc>
        <w:tc>
          <w:tcPr>
            <w:tcW w:w="1324" w:type="dxa"/>
            <w:tcBorders>
              <w:top w:val="nil"/>
              <w:bottom w:val="nil"/>
            </w:tcBorders>
            <w:noWrap/>
            <w:vAlign w:val="bottom"/>
          </w:tcPr>
          <w:p w14:paraId="72812404" w14:textId="77777777" w:rsidR="003A11FB" w:rsidRPr="00037A46" w:rsidRDefault="003A11FB" w:rsidP="003A11FB">
            <w:pPr>
              <w:spacing w:before="0" w:after="0"/>
              <w:ind w:left="-212"/>
              <w:jc w:val="right"/>
              <w:rPr>
                <w:bCs/>
              </w:rPr>
            </w:pPr>
            <w:r w:rsidRPr="00037A46">
              <w:rPr>
                <w:bCs/>
              </w:rPr>
              <w:t>2x2x900</w:t>
            </w:r>
          </w:p>
        </w:tc>
      </w:tr>
      <w:tr w:rsidR="003A11FB" w:rsidRPr="00037A46" w14:paraId="1A4CA1C1" w14:textId="77777777">
        <w:trPr>
          <w:trHeight w:val="315"/>
          <w:jc w:val="center"/>
        </w:trPr>
        <w:tc>
          <w:tcPr>
            <w:tcW w:w="1291" w:type="dxa"/>
            <w:tcBorders>
              <w:top w:val="nil"/>
              <w:bottom w:val="nil"/>
            </w:tcBorders>
            <w:shd w:val="clear" w:color="auto" w:fill="C0C0C0"/>
            <w:noWrap/>
            <w:vAlign w:val="bottom"/>
          </w:tcPr>
          <w:p w14:paraId="0FB74CEB" w14:textId="77777777" w:rsidR="003A11FB" w:rsidRPr="00037A46" w:rsidRDefault="003A11FB" w:rsidP="003A11FB">
            <w:pPr>
              <w:spacing w:before="0" w:after="0"/>
              <w:ind w:left="-212"/>
              <w:jc w:val="center"/>
              <w:rPr>
                <w:b/>
                <w:bCs/>
              </w:rPr>
            </w:pPr>
            <w:r w:rsidRPr="00037A46">
              <w:rPr>
                <w:b/>
                <w:bCs/>
              </w:rPr>
              <w:t> </w:t>
            </w:r>
          </w:p>
        </w:tc>
        <w:tc>
          <w:tcPr>
            <w:tcW w:w="1242" w:type="dxa"/>
            <w:tcBorders>
              <w:top w:val="nil"/>
              <w:bottom w:val="nil"/>
            </w:tcBorders>
            <w:noWrap/>
            <w:vAlign w:val="bottom"/>
          </w:tcPr>
          <w:p w14:paraId="060E8C78" w14:textId="77777777" w:rsidR="003A11FB" w:rsidRPr="00037A46" w:rsidRDefault="003A11FB" w:rsidP="003A11FB">
            <w:pPr>
              <w:spacing w:before="0" w:after="0"/>
              <w:ind w:left="-212"/>
              <w:jc w:val="right"/>
              <w:rPr>
                <w:bCs/>
              </w:rPr>
            </w:pPr>
            <w:r w:rsidRPr="00037A46">
              <w:rPr>
                <w:bCs/>
              </w:rPr>
              <w:t> </w:t>
            </w:r>
          </w:p>
        </w:tc>
        <w:tc>
          <w:tcPr>
            <w:tcW w:w="1109" w:type="dxa"/>
            <w:tcBorders>
              <w:top w:val="nil"/>
              <w:bottom w:val="nil"/>
            </w:tcBorders>
            <w:noWrap/>
            <w:vAlign w:val="bottom"/>
          </w:tcPr>
          <w:p w14:paraId="772F9ACD" w14:textId="77777777" w:rsidR="003A11FB" w:rsidRPr="00037A46" w:rsidRDefault="003A11FB" w:rsidP="003A11FB">
            <w:pPr>
              <w:spacing w:before="0" w:after="0"/>
              <w:ind w:left="-212"/>
              <w:jc w:val="right"/>
              <w:rPr>
                <w:bCs/>
              </w:rPr>
            </w:pPr>
            <w:r w:rsidRPr="00037A46">
              <w:rPr>
                <w:bCs/>
              </w:rPr>
              <w:t>1x2x650</w:t>
            </w:r>
          </w:p>
        </w:tc>
        <w:tc>
          <w:tcPr>
            <w:tcW w:w="1118" w:type="dxa"/>
            <w:tcBorders>
              <w:top w:val="nil"/>
              <w:bottom w:val="nil"/>
            </w:tcBorders>
            <w:noWrap/>
            <w:vAlign w:val="bottom"/>
          </w:tcPr>
          <w:p w14:paraId="7852A80D" w14:textId="77777777" w:rsidR="003A11FB" w:rsidRPr="00037A46" w:rsidRDefault="003A11FB" w:rsidP="003A11FB">
            <w:pPr>
              <w:spacing w:before="0" w:after="0"/>
              <w:ind w:left="-212"/>
              <w:jc w:val="right"/>
              <w:rPr>
                <w:bCs/>
              </w:rPr>
            </w:pPr>
            <w:r w:rsidRPr="00037A46">
              <w:rPr>
                <w:bCs/>
              </w:rPr>
              <w:t>1x2x900</w:t>
            </w:r>
          </w:p>
        </w:tc>
        <w:tc>
          <w:tcPr>
            <w:tcW w:w="1127" w:type="dxa"/>
            <w:tcBorders>
              <w:top w:val="nil"/>
              <w:bottom w:val="nil"/>
            </w:tcBorders>
            <w:noWrap/>
            <w:vAlign w:val="bottom"/>
          </w:tcPr>
          <w:p w14:paraId="1605E50C" w14:textId="77777777" w:rsidR="003A11FB" w:rsidRPr="00037A46" w:rsidRDefault="003A11FB" w:rsidP="003A11FB">
            <w:pPr>
              <w:spacing w:before="0" w:after="0"/>
              <w:ind w:left="-212"/>
              <w:jc w:val="right"/>
              <w:rPr>
                <w:bCs/>
              </w:rPr>
            </w:pPr>
            <w:r w:rsidRPr="00037A46">
              <w:rPr>
                <w:bCs/>
              </w:rPr>
              <w:t>1x2x850</w:t>
            </w:r>
          </w:p>
        </w:tc>
        <w:tc>
          <w:tcPr>
            <w:tcW w:w="1324" w:type="dxa"/>
            <w:tcBorders>
              <w:top w:val="nil"/>
              <w:bottom w:val="nil"/>
            </w:tcBorders>
            <w:noWrap/>
            <w:vAlign w:val="bottom"/>
          </w:tcPr>
          <w:p w14:paraId="7B30CD9B" w14:textId="77777777" w:rsidR="003A11FB" w:rsidRPr="00037A46" w:rsidRDefault="003A11FB" w:rsidP="003A11FB">
            <w:pPr>
              <w:spacing w:before="0" w:after="0"/>
              <w:ind w:left="-212"/>
              <w:jc w:val="right"/>
              <w:rPr>
                <w:bCs/>
              </w:rPr>
            </w:pPr>
            <w:r w:rsidRPr="00037A46">
              <w:rPr>
                <w:bCs/>
              </w:rPr>
              <w:t>1x2x950</w:t>
            </w:r>
          </w:p>
        </w:tc>
      </w:tr>
      <w:tr w:rsidR="003A11FB" w:rsidRPr="00037A46" w14:paraId="2137BA1F" w14:textId="77777777">
        <w:trPr>
          <w:trHeight w:val="315"/>
          <w:jc w:val="center"/>
        </w:trPr>
        <w:tc>
          <w:tcPr>
            <w:tcW w:w="1291" w:type="dxa"/>
            <w:tcBorders>
              <w:top w:val="nil"/>
              <w:bottom w:val="nil"/>
            </w:tcBorders>
            <w:shd w:val="clear" w:color="auto" w:fill="C0C0C0"/>
            <w:noWrap/>
            <w:vAlign w:val="bottom"/>
          </w:tcPr>
          <w:p w14:paraId="08E63911" w14:textId="77777777" w:rsidR="003A11FB" w:rsidRPr="00037A46" w:rsidRDefault="003A11FB" w:rsidP="003A11FB">
            <w:pPr>
              <w:spacing w:before="0" w:after="0"/>
              <w:ind w:left="-212"/>
              <w:jc w:val="center"/>
              <w:rPr>
                <w:b/>
                <w:bCs/>
              </w:rPr>
            </w:pPr>
            <w:r w:rsidRPr="00037A46">
              <w:rPr>
                <w:b/>
                <w:bCs/>
              </w:rPr>
              <w:t> </w:t>
            </w:r>
          </w:p>
        </w:tc>
        <w:tc>
          <w:tcPr>
            <w:tcW w:w="1242" w:type="dxa"/>
            <w:tcBorders>
              <w:top w:val="nil"/>
              <w:bottom w:val="nil"/>
            </w:tcBorders>
            <w:noWrap/>
            <w:vAlign w:val="bottom"/>
          </w:tcPr>
          <w:p w14:paraId="0327ED63" w14:textId="77777777" w:rsidR="003A11FB" w:rsidRPr="00037A46" w:rsidRDefault="003A11FB" w:rsidP="003A11FB">
            <w:pPr>
              <w:spacing w:before="0" w:after="0"/>
              <w:ind w:left="-212"/>
              <w:jc w:val="right"/>
              <w:rPr>
                <w:bCs/>
              </w:rPr>
            </w:pPr>
            <w:r w:rsidRPr="00037A46">
              <w:rPr>
                <w:bCs/>
              </w:rPr>
              <w:t> </w:t>
            </w:r>
          </w:p>
        </w:tc>
        <w:tc>
          <w:tcPr>
            <w:tcW w:w="1109" w:type="dxa"/>
            <w:tcBorders>
              <w:top w:val="nil"/>
              <w:bottom w:val="nil"/>
            </w:tcBorders>
            <w:noWrap/>
            <w:vAlign w:val="bottom"/>
          </w:tcPr>
          <w:p w14:paraId="2DCAA8E3" w14:textId="77777777" w:rsidR="003A11FB" w:rsidRPr="00037A46" w:rsidRDefault="003A11FB" w:rsidP="003A11FB">
            <w:pPr>
              <w:spacing w:before="0" w:after="0"/>
              <w:ind w:left="-212"/>
              <w:jc w:val="right"/>
              <w:rPr>
                <w:bCs/>
              </w:rPr>
            </w:pPr>
            <w:r w:rsidRPr="00037A46">
              <w:rPr>
                <w:bCs/>
              </w:rPr>
              <w:t>2x2x600</w:t>
            </w:r>
          </w:p>
        </w:tc>
        <w:tc>
          <w:tcPr>
            <w:tcW w:w="1118" w:type="dxa"/>
            <w:tcBorders>
              <w:top w:val="nil"/>
              <w:bottom w:val="nil"/>
            </w:tcBorders>
            <w:noWrap/>
            <w:vAlign w:val="bottom"/>
          </w:tcPr>
          <w:p w14:paraId="52BDCF9A" w14:textId="77777777" w:rsidR="003A11FB" w:rsidRPr="00037A46" w:rsidRDefault="003A11FB" w:rsidP="003A11FB">
            <w:pPr>
              <w:spacing w:before="0" w:after="0"/>
              <w:ind w:left="-212"/>
              <w:jc w:val="right"/>
              <w:rPr>
                <w:bCs/>
              </w:rPr>
            </w:pPr>
            <w:r w:rsidRPr="00037A46">
              <w:rPr>
                <w:bCs/>
              </w:rPr>
              <w:t> </w:t>
            </w:r>
          </w:p>
        </w:tc>
        <w:tc>
          <w:tcPr>
            <w:tcW w:w="1127" w:type="dxa"/>
            <w:tcBorders>
              <w:top w:val="nil"/>
              <w:bottom w:val="nil"/>
            </w:tcBorders>
            <w:noWrap/>
            <w:vAlign w:val="bottom"/>
          </w:tcPr>
          <w:p w14:paraId="56D22E32" w14:textId="77777777" w:rsidR="003A11FB" w:rsidRPr="00037A46" w:rsidRDefault="003A11FB" w:rsidP="003A11FB">
            <w:pPr>
              <w:spacing w:before="0" w:after="0"/>
              <w:ind w:left="-212"/>
              <w:jc w:val="right"/>
              <w:rPr>
                <w:bCs/>
              </w:rPr>
            </w:pPr>
            <w:r w:rsidRPr="00037A46">
              <w:rPr>
                <w:bCs/>
              </w:rPr>
              <w:t>2x2x800</w:t>
            </w:r>
          </w:p>
        </w:tc>
        <w:tc>
          <w:tcPr>
            <w:tcW w:w="1324" w:type="dxa"/>
            <w:tcBorders>
              <w:top w:val="nil"/>
              <w:bottom w:val="nil"/>
            </w:tcBorders>
            <w:noWrap/>
            <w:vAlign w:val="bottom"/>
          </w:tcPr>
          <w:p w14:paraId="5843198A" w14:textId="77777777" w:rsidR="003A11FB" w:rsidRPr="00037A46" w:rsidRDefault="003A11FB" w:rsidP="003A11FB">
            <w:pPr>
              <w:spacing w:before="0" w:after="0"/>
              <w:ind w:left="-212"/>
              <w:jc w:val="right"/>
              <w:rPr>
                <w:bCs/>
              </w:rPr>
            </w:pPr>
            <w:r w:rsidRPr="00037A46">
              <w:rPr>
                <w:bCs/>
              </w:rPr>
              <w:t>2x2x900</w:t>
            </w:r>
          </w:p>
        </w:tc>
      </w:tr>
      <w:tr w:rsidR="003A11FB" w:rsidRPr="00037A46" w14:paraId="13112A71" w14:textId="77777777">
        <w:trPr>
          <w:trHeight w:val="315"/>
          <w:jc w:val="center"/>
        </w:trPr>
        <w:tc>
          <w:tcPr>
            <w:tcW w:w="1291" w:type="dxa"/>
            <w:tcBorders>
              <w:top w:val="nil"/>
              <w:bottom w:val="nil"/>
            </w:tcBorders>
            <w:shd w:val="clear" w:color="auto" w:fill="C0C0C0"/>
            <w:noWrap/>
            <w:vAlign w:val="bottom"/>
          </w:tcPr>
          <w:p w14:paraId="71EBFBD2" w14:textId="77777777" w:rsidR="003A11FB" w:rsidRPr="00037A46" w:rsidRDefault="003A11FB" w:rsidP="003A11FB">
            <w:pPr>
              <w:spacing w:before="0" w:after="0"/>
              <w:ind w:left="-212"/>
              <w:jc w:val="center"/>
              <w:rPr>
                <w:b/>
                <w:bCs/>
              </w:rPr>
            </w:pPr>
            <w:r w:rsidRPr="00037A46">
              <w:rPr>
                <w:b/>
                <w:bCs/>
              </w:rPr>
              <w:t> </w:t>
            </w:r>
          </w:p>
        </w:tc>
        <w:tc>
          <w:tcPr>
            <w:tcW w:w="1242" w:type="dxa"/>
            <w:tcBorders>
              <w:top w:val="nil"/>
              <w:bottom w:val="nil"/>
            </w:tcBorders>
            <w:noWrap/>
            <w:vAlign w:val="bottom"/>
          </w:tcPr>
          <w:p w14:paraId="052888DA" w14:textId="77777777" w:rsidR="003A11FB" w:rsidRPr="00037A46" w:rsidRDefault="003A11FB" w:rsidP="003A11FB">
            <w:pPr>
              <w:spacing w:before="0" w:after="0"/>
              <w:ind w:left="-212"/>
              <w:jc w:val="right"/>
              <w:rPr>
                <w:bCs/>
              </w:rPr>
            </w:pPr>
            <w:r w:rsidRPr="00037A46">
              <w:rPr>
                <w:bCs/>
              </w:rPr>
              <w:t> </w:t>
            </w:r>
          </w:p>
        </w:tc>
        <w:tc>
          <w:tcPr>
            <w:tcW w:w="1109" w:type="dxa"/>
            <w:tcBorders>
              <w:top w:val="nil"/>
              <w:bottom w:val="nil"/>
            </w:tcBorders>
            <w:noWrap/>
            <w:vAlign w:val="bottom"/>
          </w:tcPr>
          <w:p w14:paraId="7F16B37C" w14:textId="77777777" w:rsidR="003A11FB" w:rsidRPr="00037A46" w:rsidRDefault="003A11FB" w:rsidP="003A11FB">
            <w:pPr>
              <w:spacing w:before="0" w:after="0"/>
              <w:ind w:left="-212"/>
              <w:jc w:val="right"/>
              <w:rPr>
                <w:bCs/>
              </w:rPr>
            </w:pPr>
            <w:r w:rsidRPr="00037A46">
              <w:rPr>
                <w:bCs/>
              </w:rPr>
              <w:t>1x2x650</w:t>
            </w:r>
          </w:p>
        </w:tc>
        <w:tc>
          <w:tcPr>
            <w:tcW w:w="1118" w:type="dxa"/>
            <w:tcBorders>
              <w:top w:val="nil"/>
              <w:bottom w:val="nil"/>
            </w:tcBorders>
            <w:noWrap/>
            <w:vAlign w:val="bottom"/>
          </w:tcPr>
          <w:p w14:paraId="24F0A744" w14:textId="77777777" w:rsidR="003A11FB" w:rsidRPr="00037A46" w:rsidRDefault="003A11FB" w:rsidP="003A11FB">
            <w:pPr>
              <w:spacing w:before="0" w:after="0"/>
              <w:ind w:left="-212"/>
              <w:jc w:val="right"/>
              <w:rPr>
                <w:bCs/>
              </w:rPr>
            </w:pPr>
            <w:r w:rsidRPr="00037A46">
              <w:rPr>
                <w:bCs/>
              </w:rPr>
              <w:t> </w:t>
            </w:r>
          </w:p>
        </w:tc>
        <w:tc>
          <w:tcPr>
            <w:tcW w:w="1127" w:type="dxa"/>
            <w:tcBorders>
              <w:top w:val="nil"/>
              <w:bottom w:val="nil"/>
            </w:tcBorders>
            <w:noWrap/>
            <w:vAlign w:val="bottom"/>
          </w:tcPr>
          <w:p w14:paraId="3F4DA210" w14:textId="77777777" w:rsidR="003A11FB" w:rsidRPr="00037A46" w:rsidRDefault="003A11FB" w:rsidP="003A11FB">
            <w:pPr>
              <w:spacing w:before="0" w:after="0"/>
              <w:ind w:left="-212"/>
              <w:jc w:val="right"/>
              <w:rPr>
                <w:bCs/>
              </w:rPr>
            </w:pPr>
            <w:r w:rsidRPr="00037A46">
              <w:rPr>
                <w:bCs/>
              </w:rPr>
              <w:t>1x2x850</w:t>
            </w:r>
          </w:p>
        </w:tc>
        <w:tc>
          <w:tcPr>
            <w:tcW w:w="1324" w:type="dxa"/>
            <w:tcBorders>
              <w:top w:val="nil"/>
              <w:bottom w:val="nil"/>
            </w:tcBorders>
            <w:noWrap/>
            <w:vAlign w:val="bottom"/>
          </w:tcPr>
          <w:p w14:paraId="204F08CB" w14:textId="77777777" w:rsidR="003A11FB" w:rsidRPr="00037A46" w:rsidRDefault="003A11FB" w:rsidP="003A11FB">
            <w:pPr>
              <w:spacing w:before="0" w:after="0"/>
              <w:ind w:left="-212"/>
              <w:jc w:val="right"/>
              <w:rPr>
                <w:bCs/>
              </w:rPr>
            </w:pPr>
            <w:r w:rsidRPr="00037A46">
              <w:rPr>
                <w:bCs/>
              </w:rPr>
              <w:t>1x2x950</w:t>
            </w:r>
          </w:p>
        </w:tc>
      </w:tr>
      <w:tr w:rsidR="003A11FB" w:rsidRPr="00037A46" w14:paraId="37D7D5F1" w14:textId="77777777">
        <w:trPr>
          <w:trHeight w:val="315"/>
          <w:jc w:val="center"/>
        </w:trPr>
        <w:tc>
          <w:tcPr>
            <w:tcW w:w="1291" w:type="dxa"/>
            <w:tcBorders>
              <w:top w:val="nil"/>
              <w:bottom w:val="nil"/>
            </w:tcBorders>
            <w:shd w:val="clear" w:color="auto" w:fill="C0C0C0"/>
            <w:noWrap/>
            <w:vAlign w:val="bottom"/>
          </w:tcPr>
          <w:p w14:paraId="1495EA99" w14:textId="77777777" w:rsidR="003A11FB" w:rsidRPr="00037A46" w:rsidRDefault="003A11FB" w:rsidP="003A11FB">
            <w:pPr>
              <w:spacing w:before="0" w:after="0"/>
              <w:ind w:left="-212"/>
              <w:jc w:val="center"/>
              <w:rPr>
                <w:b/>
                <w:bCs/>
              </w:rPr>
            </w:pPr>
            <w:r w:rsidRPr="00037A46">
              <w:rPr>
                <w:b/>
                <w:bCs/>
              </w:rPr>
              <w:t> </w:t>
            </w:r>
          </w:p>
        </w:tc>
        <w:tc>
          <w:tcPr>
            <w:tcW w:w="1242" w:type="dxa"/>
            <w:tcBorders>
              <w:top w:val="nil"/>
              <w:bottom w:val="nil"/>
            </w:tcBorders>
            <w:noWrap/>
            <w:vAlign w:val="bottom"/>
          </w:tcPr>
          <w:p w14:paraId="5655B63D" w14:textId="77777777" w:rsidR="003A11FB" w:rsidRPr="00037A46" w:rsidRDefault="003A11FB" w:rsidP="003A11FB">
            <w:pPr>
              <w:spacing w:before="0" w:after="0"/>
              <w:ind w:left="-212"/>
              <w:jc w:val="right"/>
              <w:rPr>
                <w:bCs/>
              </w:rPr>
            </w:pPr>
            <w:r w:rsidRPr="00037A46">
              <w:rPr>
                <w:bCs/>
              </w:rPr>
              <w:t> </w:t>
            </w:r>
          </w:p>
        </w:tc>
        <w:tc>
          <w:tcPr>
            <w:tcW w:w="1109" w:type="dxa"/>
            <w:tcBorders>
              <w:top w:val="nil"/>
              <w:bottom w:val="nil"/>
            </w:tcBorders>
            <w:noWrap/>
            <w:vAlign w:val="bottom"/>
          </w:tcPr>
          <w:p w14:paraId="313D2704" w14:textId="77777777" w:rsidR="003A11FB" w:rsidRPr="00037A46" w:rsidRDefault="003A11FB" w:rsidP="003A11FB">
            <w:pPr>
              <w:spacing w:before="0" w:after="0"/>
              <w:ind w:left="-212"/>
              <w:jc w:val="right"/>
              <w:rPr>
                <w:bCs/>
              </w:rPr>
            </w:pPr>
            <w:r w:rsidRPr="00037A46">
              <w:rPr>
                <w:bCs/>
              </w:rPr>
              <w:t>1x2x600</w:t>
            </w:r>
          </w:p>
        </w:tc>
        <w:tc>
          <w:tcPr>
            <w:tcW w:w="1118" w:type="dxa"/>
            <w:tcBorders>
              <w:top w:val="nil"/>
              <w:bottom w:val="nil"/>
            </w:tcBorders>
            <w:noWrap/>
            <w:vAlign w:val="bottom"/>
          </w:tcPr>
          <w:p w14:paraId="120E8AAA" w14:textId="77777777" w:rsidR="003A11FB" w:rsidRPr="00037A46" w:rsidRDefault="003A11FB" w:rsidP="003A11FB">
            <w:pPr>
              <w:spacing w:before="0" w:after="0"/>
              <w:ind w:left="-212"/>
              <w:jc w:val="right"/>
              <w:rPr>
                <w:bCs/>
              </w:rPr>
            </w:pPr>
            <w:r w:rsidRPr="00037A46">
              <w:rPr>
                <w:bCs/>
              </w:rPr>
              <w:t> </w:t>
            </w:r>
          </w:p>
        </w:tc>
        <w:tc>
          <w:tcPr>
            <w:tcW w:w="1127" w:type="dxa"/>
            <w:tcBorders>
              <w:top w:val="nil"/>
              <w:bottom w:val="nil"/>
            </w:tcBorders>
            <w:noWrap/>
            <w:vAlign w:val="bottom"/>
          </w:tcPr>
          <w:p w14:paraId="52EA56CD" w14:textId="77777777" w:rsidR="003A11FB" w:rsidRPr="00037A46" w:rsidRDefault="003A11FB" w:rsidP="003A11FB">
            <w:pPr>
              <w:spacing w:before="0" w:after="0"/>
              <w:ind w:left="-212"/>
              <w:jc w:val="right"/>
              <w:rPr>
                <w:bCs/>
              </w:rPr>
            </w:pPr>
            <w:r w:rsidRPr="00037A46">
              <w:rPr>
                <w:bCs/>
              </w:rPr>
              <w:t>2x2x800</w:t>
            </w:r>
          </w:p>
        </w:tc>
        <w:tc>
          <w:tcPr>
            <w:tcW w:w="1324" w:type="dxa"/>
            <w:tcBorders>
              <w:top w:val="nil"/>
              <w:bottom w:val="nil"/>
            </w:tcBorders>
            <w:noWrap/>
            <w:vAlign w:val="bottom"/>
          </w:tcPr>
          <w:p w14:paraId="0310D569" w14:textId="77777777" w:rsidR="003A11FB" w:rsidRPr="00037A46" w:rsidRDefault="003A11FB" w:rsidP="003A11FB">
            <w:pPr>
              <w:spacing w:before="0" w:after="0"/>
              <w:ind w:left="-212"/>
              <w:jc w:val="right"/>
              <w:rPr>
                <w:bCs/>
              </w:rPr>
            </w:pPr>
            <w:r w:rsidRPr="00037A46">
              <w:rPr>
                <w:bCs/>
              </w:rPr>
              <w:t>1x2x1000</w:t>
            </w:r>
          </w:p>
        </w:tc>
      </w:tr>
      <w:tr w:rsidR="003A11FB" w:rsidRPr="00037A46" w14:paraId="79244481" w14:textId="77777777">
        <w:trPr>
          <w:trHeight w:val="330"/>
          <w:jc w:val="center"/>
        </w:trPr>
        <w:tc>
          <w:tcPr>
            <w:tcW w:w="1291" w:type="dxa"/>
            <w:tcBorders>
              <w:top w:val="nil"/>
              <w:bottom w:val="single" w:sz="8" w:space="0" w:color="auto"/>
            </w:tcBorders>
            <w:shd w:val="clear" w:color="auto" w:fill="C0C0C0"/>
            <w:noWrap/>
            <w:vAlign w:val="bottom"/>
          </w:tcPr>
          <w:p w14:paraId="6E374C40" w14:textId="77777777" w:rsidR="003A11FB" w:rsidRPr="00037A46" w:rsidRDefault="003A11FB" w:rsidP="003A11FB">
            <w:pPr>
              <w:spacing w:before="0" w:after="0"/>
              <w:ind w:left="-212"/>
              <w:jc w:val="center"/>
              <w:rPr>
                <w:b/>
                <w:bCs/>
              </w:rPr>
            </w:pPr>
            <w:r w:rsidRPr="00037A46">
              <w:rPr>
                <w:b/>
                <w:bCs/>
              </w:rPr>
              <w:t> </w:t>
            </w:r>
          </w:p>
        </w:tc>
        <w:tc>
          <w:tcPr>
            <w:tcW w:w="1242" w:type="dxa"/>
            <w:tcBorders>
              <w:top w:val="nil"/>
              <w:bottom w:val="single" w:sz="8" w:space="0" w:color="auto"/>
            </w:tcBorders>
            <w:noWrap/>
            <w:vAlign w:val="bottom"/>
          </w:tcPr>
          <w:p w14:paraId="5A7531F4" w14:textId="77777777" w:rsidR="003A11FB" w:rsidRPr="00037A46" w:rsidRDefault="003A11FB" w:rsidP="003A11FB">
            <w:pPr>
              <w:spacing w:before="0" w:after="0"/>
              <w:ind w:left="-212"/>
              <w:jc w:val="right"/>
              <w:rPr>
                <w:bCs/>
              </w:rPr>
            </w:pPr>
            <w:r w:rsidRPr="00037A46">
              <w:rPr>
                <w:bCs/>
              </w:rPr>
              <w:t> </w:t>
            </w:r>
          </w:p>
        </w:tc>
        <w:tc>
          <w:tcPr>
            <w:tcW w:w="1109" w:type="dxa"/>
            <w:tcBorders>
              <w:top w:val="nil"/>
              <w:bottom w:val="single" w:sz="8" w:space="0" w:color="auto"/>
            </w:tcBorders>
            <w:noWrap/>
            <w:vAlign w:val="bottom"/>
          </w:tcPr>
          <w:p w14:paraId="5D0A3D79" w14:textId="77777777" w:rsidR="003A11FB" w:rsidRPr="00037A46" w:rsidRDefault="003A11FB" w:rsidP="003A11FB">
            <w:pPr>
              <w:spacing w:before="0" w:after="0"/>
              <w:ind w:left="-212"/>
              <w:jc w:val="right"/>
              <w:rPr>
                <w:bCs/>
              </w:rPr>
            </w:pPr>
            <w:r w:rsidRPr="00037A46">
              <w:rPr>
                <w:bCs/>
              </w:rPr>
              <w:t>1x2x800</w:t>
            </w:r>
          </w:p>
        </w:tc>
        <w:tc>
          <w:tcPr>
            <w:tcW w:w="1118" w:type="dxa"/>
            <w:tcBorders>
              <w:top w:val="nil"/>
              <w:bottom w:val="single" w:sz="8" w:space="0" w:color="auto"/>
            </w:tcBorders>
            <w:noWrap/>
            <w:vAlign w:val="bottom"/>
          </w:tcPr>
          <w:p w14:paraId="6CE53102" w14:textId="77777777" w:rsidR="003A11FB" w:rsidRPr="00037A46" w:rsidRDefault="003A11FB" w:rsidP="003A11FB">
            <w:pPr>
              <w:spacing w:before="0" w:after="0"/>
              <w:ind w:left="-212"/>
              <w:jc w:val="right"/>
              <w:rPr>
                <w:bCs/>
              </w:rPr>
            </w:pPr>
            <w:r w:rsidRPr="00037A46">
              <w:rPr>
                <w:bCs/>
              </w:rPr>
              <w:t> </w:t>
            </w:r>
          </w:p>
        </w:tc>
        <w:tc>
          <w:tcPr>
            <w:tcW w:w="1127" w:type="dxa"/>
            <w:tcBorders>
              <w:top w:val="nil"/>
              <w:bottom w:val="single" w:sz="8" w:space="0" w:color="auto"/>
            </w:tcBorders>
            <w:noWrap/>
            <w:vAlign w:val="bottom"/>
          </w:tcPr>
          <w:p w14:paraId="2F9602B4" w14:textId="77777777" w:rsidR="003A11FB" w:rsidRPr="00037A46" w:rsidRDefault="003A11FB" w:rsidP="003A11FB">
            <w:pPr>
              <w:spacing w:before="0" w:after="0"/>
              <w:ind w:left="-212"/>
              <w:jc w:val="right"/>
              <w:rPr>
                <w:bCs/>
              </w:rPr>
            </w:pPr>
            <w:r w:rsidRPr="00037A46">
              <w:rPr>
                <w:bCs/>
              </w:rPr>
              <w:t> </w:t>
            </w:r>
          </w:p>
        </w:tc>
        <w:tc>
          <w:tcPr>
            <w:tcW w:w="1324" w:type="dxa"/>
            <w:tcBorders>
              <w:top w:val="nil"/>
              <w:bottom w:val="single" w:sz="8" w:space="0" w:color="auto"/>
            </w:tcBorders>
            <w:noWrap/>
            <w:vAlign w:val="bottom"/>
          </w:tcPr>
          <w:p w14:paraId="28F2794D" w14:textId="77777777" w:rsidR="003A11FB" w:rsidRPr="00037A46" w:rsidRDefault="003A11FB" w:rsidP="003A11FB">
            <w:pPr>
              <w:spacing w:before="0" w:after="0"/>
              <w:ind w:left="-212"/>
              <w:jc w:val="right"/>
              <w:rPr>
                <w:bCs/>
              </w:rPr>
            </w:pPr>
            <w:r w:rsidRPr="00037A46">
              <w:rPr>
                <w:bCs/>
              </w:rPr>
              <w:t> </w:t>
            </w:r>
          </w:p>
        </w:tc>
      </w:tr>
      <w:tr w:rsidR="003A11FB" w:rsidRPr="00037A46" w14:paraId="12C2B296" w14:textId="77777777">
        <w:trPr>
          <w:trHeight w:val="330"/>
          <w:jc w:val="center"/>
        </w:trPr>
        <w:tc>
          <w:tcPr>
            <w:tcW w:w="1291" w:type="dxa"/>
            <w:tcBorders>
              <w:top w:val="single" w:sz="8" w:space="0" w:color="auto"/>
            </w:tcBorders>
            <w:shd w:val="clear" w:color="auto" w:fill="C0C0C0"/>
            <w:noWrap/>
            <w:vAlign w:val="bottom"/>
          </w:tcPr>
          <w:p w14:paraId="7F64F847" w14:textId="77777777" w:rsidR="003A11FB" w:rsidRPr="00037A46" w:rsidRDefault="003A11FB" w:rsidP="003A11FB">
            <w:pPr>
              <w:spacing w:before="0" w:after="0"/>
              <w:ind w:left="-212"/>
              <w:jc w:val="right"/>
              <w:rPr>
                <w:b/>
                <w:bCs/>
              </w:rPr>
            </w:pPr>
            <w:r w:rsidRPr="00037A46">
              <w:rPr>
                <w:b/>
                <w:bCs/>
              </w:rPr>
              <w:t>0</w:t>
            </w:r>
          </w:p>
        </w:tc>
        <w:tc>
          <w:tcPr>
            <w:tcW w:w="1242" w:type="dxa"/>
            <w:tcBorders>
              <w:top w:val="single" w:sz="8" w:space="0" w:color="auto"/>
            </w:tcBorders>
            <w:noWrap/>
            <w:vAlign w:val="bottom"/>
          </w:tcPr>
          <w:p w14:paraId="5F95BFE4" w14:textId="77777777" w:rsidR="003A11FB" w:rsidRPr="00037A46" w:rsidRDefault="003A11FB" w:rsidP="003A11FB">
            <w:pPr>
              <w:spacing w:before="0" w:after="0"/>
              <w:ind w:left="-212"/>
              <w:jc w:val="right"/>
              <w:rPr>
                <w:bCs/>
              </w:rPr>
            </w:pPr>
            <w:r w:rsidRPr="00037A46">
              <w:rPr>
                <w:bCs/>
              </w:rPr>
              <w:t>17.300</w:t>
            </w:r>
          </w:p>
        </w:tc>
        <w:tc>
          <w:tcPr>
            <w:tcW w:w="1109" w:type="dxa"/>
            <w:tcBorders>
              <w:top w:val="single" w:sz="8" w:space="0" w:color="auto"/>
            </w:tcBorders>
            <w:noWrap/>
            <w:vAlign w:val="bottom"/>
          </w:tcPr>
          <w:p w14:paraId="0EEF70A9" w14:textId="77777777" w:rsidR="003A11FB" w:rsidRPr="00037A46" w:rsidRDefault="003A11FB" w:rsidP="003A11FB">
            <w:pPr>
              <w:spacing w:before="0" w:after="0"/>
              <w:ind w:left="-212"/>
              <w:jc w:val="right"/>
              <w:rPr>
                <w:bCs/>
              </w:rPr>
            </w:pPr>
            <w:r w:rsidRPr="00037A46">
              <w:rPr>
                <w:bCs/>
              </w:rPr>
              <w:t>18.850</w:t>
            </w:r>
          </w:p>
        </w:tc>
        <w:tc>
          <w:tcPr>
            <w:tcW w:w="1118" w:type="dxa"/>
            <w:tcBorders>
              <w:top w:val="single" w:sz="8" w:space="0" w:color="auto"/>
            </w:tcBorders>
            <w:noWrap/>
            <w:vAlign w:val="bottom"/>
          </w:tcPr>
          <w:p w14:paraId="12C1CD47" w14:textId="77777777" w:rsidR="003A11FB" w:rsidRPr="00037A46" w:rsidRDefault="003A11FB" w:rsidP="003A11FB">
            <w:pPr>
              <w:spacing w:before="0" w:after="0"/>
              <w:ind w:left="-212"/>
              <w:jc w:val="right"/>
              <w:rPr>
                <w:bCs/>
              </w:rPr>
            </w:pPr>
            <w:r w:rsidRPr="00037A46">
              <w:rPr>
                <w:bCs/>
              </w:rPr>
              <w:t>19.550</w:t>
            </w:r>
          </w:p>
        </w:tc>
        <w:tc>
          <w:tcPr>
            <w:tcW w:w="1127" w:type="dxa"/>
            <w:tcBorders>
              <w:top w:val="single" w:sz="8" w:space="0" w:color="auto"/>
            </w:tcBorders>
            <w:noWrap/>
            <w:vAlign w:val="bottom"/>
          </w:tcPr>
          <w:p w14:paraId="2FECD404" w14:textId="77777777" w:rsidR="003A11FB" w:rsidRPr="00037A46" w:rsidRDefault="003A11FB" w:rsidP="003A11FB">
            <w:pPr>
              <w:spacing w:before="0" w:after="0"/>
              <w:ind w:left="-212"/>
              <w:jc w:val="right"/>
              <w:rPr>
                <w:bCs/>
              </w:rPr>
            </w:pPr>
            <w:r w:rsidRPr="00037A46">
              <w:rPr>
                <w:bCs/>
              </w:rPr>
              <w:t>19.950</w:t>
            </w:r>
          </w:p>
        </w:tc>
        <w:tc>
          <w:tcPr>
            <w:tcW w:w="1324" w:type="dxa"/>
            <w:tcBorders>
              <w:top w:val="single" w:sz="8" w:space="0" w:color="auto"/>
            </w:tcBorders>
            <w:noWrap/>
            <w:vAlign w:val="bottom"/>
          </w:tcPr>
          <w:p w14:paraId="2B8E7246" w14:textId="77777777" w:rsidR="003A11FB" w:rsidRPr="00037A46" w:rsidRDefault="003A11FB" w:rsidP="003A11FB">
            <w:pPr>
              <w:spacing w:before="0" w:after="0"/>
              <w:ind w:left="-212"/>
              <w:jc w:val="right"/>
              <w:rPr>
                <w:bCs/>
              </w:rPr>
            </w:pPr>
            <w:r w:rsidRPr="00037A46">
              <w:rPr>
                <w:bCs/>
              </w:rPr>
              <w:t>21.400</w:t>
            </w:r>
          </w:p>
        </w:tc>
      </w:tr>
      <w:tr w:rsidR="003A11FB" w:rsidRPr="00037A46" w14:paraId="3513ADE1" w14:textId="77777777">
        <w:trPr>
          <w:trHeight w:val="315"/>
          <w:jc w:val="center"/>
        </w:trPr>
        <w:tc>
          <w:tcPr>
            <w:tcW w:w="1291" w:type="dxa"/>
            <w:shd w:val="clear" w:color="auto" w:fill="C0C0C0"/>
            <w:noWrap/>
            <w:vAlign w:val="bottom"/>
          </w:tcPr>
          <w:p w14:paraId="5249DF16" w14:textId="77777777" w:rsidR="003A11FB" w:rsidRPr="00037A46" w:rsidRDefault="003A11FB" w:rsidP="003A11FB">
            <w:pPr>
              <w:spacing w:before="0" w:after="0"/>
              <w:ind w:left="-212"/>
              <w:jc w:val="right"/>
              <w:rPr>
                <w:b/>
                <w:bCs/>
              </w:rPr>
            </w:pPr>
            <w:r w:rsidRPr="00037A46">
              <w:rPr>
                <w:b/>
                <w:bCs/>
              </w:rPr>
              <w:t>1</w:t>
            </w:r>
          </w:p>
        </w:tc>
        <w:tc>
          <w:tcPr>
            <w:tcW w:w="1242" w:type="dxa"/>
            <w:noWrap/>
            <w:vAlign w:val="bottom"/>
          </w:tcPr>
          <w:p w14:paraId="77002A7A" w14:textId="77777777" w:rsidR="003A11FB" w:rsidRPr="00037A46" w:rsidRDefault="003A11FB" w:rsidP="003A11FB">
            <w:pPr>
              <w:spacing w:before="0" w:after="0"/>
              <w:ind w:left="-212"/>
              <w:jc w:val="right"/>
              <w:rPr>
                <w:bCs/>
              </w:rPr>
            </w:pPr>
            <w:r w:rsidRPr="00037A46">
              <w:rPr>
                <w:bCs/>
              </w:rPr>
              <w:t>17.800</w:t>
            </w:r>
          </w:p>
        </w:tc>
        <w:tc>
          <w:tcPr>
            <w:tcW w:w="1109" w:type="dxa"/>
            <w:noWrap/>
            <w:vAlign w:val="bottom"/>
          </w:tcPr>
          <w:p w14:paraId="5C6A8234" w14:textId="77777777" w:rsidR="003A11FB" w:rsidRPr="00037A46" w:rsidRDefault="003A11FB" w:rsidP="003A11FB">
            <w:pPr>
              <w:spacing w:before="0" w:after="0"/>
              <w:ind w:left="-212"/>
              <w:jc w:val="right"/>
              <w:rPr>
                <w:bCs/>
              </w:rPr>
            </w:pPr>
            <w:r w:rsidRPr="00037A46">
              <w:rPr>
                <w:bCs/>
              </w:rPr>
              <w:t>19.450</w:t>
            </w:r>
          </w:p>
        </w:tc>
        <w:tc>
          <w:tcPr>
            <w:tcW w:w="1118" w:type="dxa"/>
            <w:noWrap/>
            <w:vAlign w:val="bottom"/>
          </w:tcPr>
          <w:p w14:paraId="7D11F6B4" w14:textId="77777777" w:rsidR="003A11FB" w:rsidRPr="00037A46" w:rsidRDefault="003A11FB" w:rsidP="003A11FB">
            <w:pPr>
              <w:spacing w:before="0" w:after="0"/>
              <w:ind w:left="-212"/>
              <w:jc w:val="right"/>
              <w:rPr>
                <w:bCs/>
              </w:rPr>
            </w:pPr>
            <w:r w:rsidRPr="00037A46">
              <w:rPr>
                <w:bCs/>
              </w:rPr>
              <w:t>20.350</w:t>
            </w:r>
          </w:p>
        </w:tc>
        <w:tc>
          <w:tcPr>
            <w:tcW w:w="1127" w:type="dxa"/>
            <w:noWrap/>
            <w:vAlign w:val="bottom"/>
          </w:tcPr>
          <w:p w14:paraId="35325439" w14:textId="77777777" w:rsidR="003A11FB" w:rsidRPr="00037A46" w:rsidRDefault="003A11FB" w:rsidP="003A11FB">
            <w:pPr>
              <w:spacing w:before="0" w:after="0"/>
              <w:ind w:left="-212"/>
              <w:jc w:val="right"/>
              <w:rPr>
                <w:bCs/>
              </w:rPr>
            </w:pPr>
            <w:r w:rsidRPr="00037A46">
              <w:rPr>
                <w:bCs/>
              </w:rPr>
              <w:t>20.750</w:t>
            </w:r>
          </w:p>
        </w:tc>
        <w:tc>
          <w:tcPr>
            <w:tcW w:w="1324" w:type="dxa"/>
            <w:noWrap/>
            <w:vAlign w:val="bottom"/>
          </w:tcPr>
          <w:p w14:paraId="66D5D9DC" w14:textId="77777777" w:rsidR="003A11FB" w:rsidRPr="00037A46" w:rsidRDefault="003A11FB" w:rsidP="003A11FB">
            <w:pPr>
              <w:spacing w:before="0" w:after="0"/>
              <w:ind w:left="-212"/>
              <w:jc w:val="right"/>
              <w:rPr>
                <w:bCs/>
              </w:rPr>
            </w:pPr>
            <w:r w:rsidRPr="00037A46">
              <w:rPr>
                <w:bCs/>
              </w:rPr>
              <w:t>22.300</w:t>
            </w:r>
          </w:p>
        </w:tc>
      </w:tr>
      <w:tr w:rsidR="003A11FB" w:rsidRPr="00037A46" w14:paraId="3C543419" w14:textId="77777777">
        <w:trPr>
          <w:trHeight w:val="315"/>
          <w:jc w:val="center"/>
        </w:trPr>
        <w:tc>
          <w:tcPr>
            <w:tcW w:w="1291" w:type="dxa"/>
            <w:shd w:val="clear" w:color="auto" w:fill="C0C0C0"/>
            <w:noWrap/>
            <w:vAlign w:val="bottom"/>
          </w:tcPr>
          <w:p w14:paraId="4F026C3A" w14:textId="77777777" w:rsidR="003A11FB" w:rsidRPr="00037A46" w:rsidRDefault="003A11FB" w:rsidP="003A11FB">
            <w:pPr>
              <w:spacing w:before="0" w:after="0"/>
              <w:ind w:left="-212"/>
              <w:jc w:val="right"/>
              <w:rPr>
                <w:b/>
                <w:bCs/>
              </w:rPr>
            </w:pPr>
            <w:r w:rsidRPr="00037A46">
              <w:rPr>
                <w:b/>
                <w:bCs/>
              </w:rPr>
              <w:t>2</w:t>
            </w:r>
          </w:p>
        </w:tc>
        <w:tc>
          <w:tcPr>
            <w:tcW w:w="1242" w:type="dxa"/>
            <w:noWrap/>
            <w:vAlign w:val="bottom"/>
          </w:tcPr>
          <w:p w14:paraId="2AFEBE98" w14:textId="77777777" w:rsidR="003A11FB" w:rsidRPr="00037A46" w:rsidRDefault="003A11FB" w:rsidP="003A11FB">
            <w:pPr>
              <w:spacing w:before="0" w:after="0"/>
              <w:ind w:left="-212"/>
              <w:jc w:val="right"/>
              <w:rPr>
                <w:bCs/>
              </w:rPr>
            </w:pPr>
            <w:r w:rsidRPr="00037A46">
              <w:rPr>
                <w:bCs/>
              </w:rPr>
              <w:t>17.800</w:t>
            </w:r>
          </w:p>
        </w:tc>
        <w:tc>
          <w:tcPr>
            <w:tcW w:w="1109" w:type="dxa"/>
            <w:noWrap/>
            <w:vAlign w:val="bottom"/>
          </w:tcPr>
          <w:p w14:paraId="09E298AD" w14:textId="77777777" w:rsidR="003A11FB" w:rsidRPr="00037A46" w:rsidRDefault="003A11FB" w:rsidP="003A11FB">
            <w:pPr>
              <w:spacing w:before="0" w:after="0"/>
              <w:ind w:left="-212"/>
              <w:jc w:val="right"/>
              <w:rPr>
                <w:bCs/>
              </w:rPr>
            </w:pPr>
            <w:r w:rsidRPr="00037A46">
              <w:rPr>
                <w:bCs/>
              </w:rPr>
              <w:t>19.450</w:t>
            </w:r>
          </w:p>
        </w:tc>
        <w:tc>
          <w:tcPr>
            <w:tcW w:w="1118" w:type="dxa"/>
            <w:noWrap/>
            <w:vAlign w:val="bottom"/>
          </w:tcPr>
          <w:p w14:paraId="5507D4F3" w14:textId="77777777" w:rsidR="003A11FB" w:rsidRPr="00037A46" w:rsidRDefault="003A11FB" w:rsidP="003A11FB">
            <w:pPr>
              <w:spacing w:before="0" w:after="0"/>
              <w:ind w:left="-212"/>
              <w:jc w:val="right"/>
              <w:rPr>
                <w:bCs/>
              </w:rPr>
            </w:pPr>
            <w:r w:rsidRPr="00037A46">
              <w:rPr>
                <w:bCs/>
              </w:rPr>
              <w:t>20.350</w:t>
            </w:r>
          </w:p>
        </w:tc>
        <w:tc>
          <w:tcPr>
            <w:tcW w:w="1127" w:type="dxa"/>
            <w:noWrap/>
            <w:vAlign w:val="bottom"/>
          </w:tcPr>
          <w:p w14:paraId="28815FA5" w14:textId="77777777" w:rsidR="003A11FB" w:rsidRPr="00037A46" w:rsidRDefault="003A11FB" w:rsidP="003A11FB">
            <w:pPr>
              <w:spacing w:before="0" w:after="0"/>
              <w:ind w:left="-212"/>
              <w:jc w:val="right"/>
              <w:rPr>
                <w:bCs/>
              </w:rPr>
            </w:pPr>
            <w:r w:rsidRPr="00037A46">
              <w:rPr>
                <w:bCs/>
              </w:rPr>
              <w:t>20.750</w:t>
            </w:r>
          </w:p>
        </w:tc>
        <w:tc>
          <w:tcPr>
            <w:tcW w:w="1324" w:type="dxa"/>
            <w:noWrap/>
            <w:vAlign w:val="bottom"/>
          </w:tcPr>
          <w:p w14:paraId="063F0FF7" w14:textId="77777777" w:rsidR="003A11FB" w:rsidRPr="00037A46" w:rsidRDefault="003A11FB" w:rsidP="003A11FB">
            <w:pPr>
              <w:spacing w:before="0" w:after="0"/>
              <w:ind w:left="-212"/>
              <w:jc w:val="right"/>
              <w:rPr>
                <w:bCs/>
              </w:rPr>
            </w:pPr>
            <w:r w:rsidRPr="00037A46">
              <w:rPr>
                <w:bCs/>
              </w:rPr>
              <w:t>22.300</w:t>
            </w:r>
          </w:p>
        </w:tc>
      </w:tr>
      <w:tr w:rsidR="003A11FB" w:rsidRPr="00037A46" w14:paraId="11733F9B" w14:textId="77777777">
        <w:trPr>
          <w:trHeight w:val="315"/>
          <w:jc w:val="center"/>
        </w:trPr>
        <w:tc>
          <w:tcPr>
            <w:tcW w:w="1291" w:type="dxa"/>
            <w:shd w:val="clear" w:color="auto" w:fill="C0C0C0"/>
            <w:noWrap/>
            <w:vAlign w:val="bottom"/>
          </w:tcPr>
          <w:p w14:paraId="055F73DC" w14:textId="77777777" w:rsidR="003A11FB" w:rsidRPr="00037A46" w:rsidRDefault="003A11FB" w:rsidP="003A11FB">
            <w:pPr>
              <w:spacing w:before="0" w:after="0"/>
              <w:ind w:left="-212"/>
              <w:jc w:val="right"/>
              <w:rPr>
                <w:b/>
                <w:bCs/>
              </w:rPr>
            </w:pPr>
            <w:r w:rsidRPr="00037A46">
              <w:rPr>
                <w:b/>
                <w:bCs/>
              </w:rPr>
              <w:t>3</w:t>
            </w:r>
          </w:p>
        </w:tc>
        <w:tc>
          <w:tcPr>
            <w:tcW w:w="1242" w:type="dxa"/>
            <w:noWrap/>
            <w:vAlign w:val="bottom"/>
          </w:tcPr>
          <w:p w14:paraId="39EC6B0E" w14:textId="77777777" w:rsidR="003A11FB" w:rsidRPr="00037A46" w:rsidRDefault="003A11FB" w:rsidP="003A11FB">
            <w:pPr>
              <w:spacing w:before="0" w:after="0"/>
              <w:ind w:left="-212"/>
              <w:jc w:val="right"/>
              <w:rPr>
                <w:bCs/>
              </w:rPr>
            </w:pPr>
            <w:r w:rsidRPr="00037A46">
              <w:rPr>
                <w:bCs/>
              </w:rPr>
              <w:t>18.300</w:t>
            </w:r>
          </w:p>
        </w:tc>
        <w:tc>
          <w:tcPr>
            <w:tcW w:w="1109" w:type="dxa"/>
            <w:noWrap/>
            <w:vAlign w:val="bottom"/>
          </w:tcPr>
          <w:p w14:paraId="3DD3D167" w14:textId="77777777" w:rsidR="003A11FB" w:rsidRPr="00037A46" w:rsidRDefault="003A11FB" w:rsidP="003A11FB">
            <w:pPr>
              <w:spacing w:before="0" w:after="0"/>
              <w:ind w:left="-212"/>
              <w:jc w:val="right"/>
              <w:rPr>
                <w:bCs/>
              </w:rPr>
            </w:pPr>
            <w:r w:rsidRPr="00037A46">
              <w:rPr>
                <w:bCs/>
              </w:rPr>
              <w:t>20.100</w:t>
            </w:r>
          </w:p>
        </w:tc>
        <w:tc>
          <w:tcPr>
            <w:tcW w:w="1118" w:type="dxa"/>
            <w:noWrap/>
            <w:vAlign w:val="bottom"/>
          </w:tcPr>
          <w:p w14:paraId="021523AE" w14:textId="77777777" w:rsidR="003A11FB" w:rsidRPr="00037A46" w:rsidRDefault="003A11FB" w:rsidP="003A11FB">
            <w:pPr>
              <w:spacing w:before="0" w:after="0"/>
              <w:ind w:left="-212"/>
              <w:jc w:val="right"/>
              <w:rPr>
                <w:bCs/>
              </w:rPr>
            </w:pPr>
            <w:r w:rsidRPr="00037A46">
              <w:rPr>
                <w:bCs/>
              </w:rPr>
              <w:t>21.100</w:t>
            </w:r>
          </w:p>
        </w:tc>
        <w:tc>
          <w:tcPr>
            <w:tcW w:w="1127" w:type="dxa"/>
            <w:noWrap/>
            <w:vAlign w:val="bottom"/>
          </w:tcPr>
          <w:p w14:paraId="000673BA" w14:textId="77777777" w:rsidR="003A11FB" w:rsidRPr="00037A46" w:rsidRDefault="003A11FB" w:rsidP="003A11FB">
            <w:pPr>
              <w:spacing w:before="0" w:after="0"/>
              <w:ind w:left="-212"/>
              <w:jc w:val="right"/>
              <w:rPr>
                <w:bCs/>
              </w:rPr>
            </w:pPr>
            <w:r w:rsidRPr="00037A46">
              <w:rPr>
                <w:bCs/>
              </w:rPr>
              <w:t>21.600</w:t>
            </w:r>
          </w:p>
        </w:tc>
        <w:tc>
          <w:tcPr>
            <w:tcW w:w="1324" w:type="dxa"/>
            <w:noWrap/>
            <w:vAlign w:val="bottom"/>
          </w:tcPr>
          <w:p w14:paraId="12924BD1" w14:textId="77777777" w:rsidR="003A11FB" w:rsidRPr="00037A46" w:rsidRDefault="003A11FB" w:rsidP="003A11FB">
            <w:pPr>
              <w:spacing w:before="0" w:after="0"/>
              <w:ind w:left="-212"/>
              <w:jc w:val="right"/>
              <w:rPr>
                <w:bCs/>
              </w:rPr>
            </w:pPr>
            <w:r w:rsidRPr="00037A46">
              <w:rPr>
                <w:bCs/>
              </w:rPr>
              <w:t>23.250</w:t>
            </w:r>
          </w:p>
        </w:tc>
      </w:tr>
      <w:tr w:rsidR="003A11FB" w:rsidRPr="00037A46" w14:paraId="5F22A48B" w14:textId="77777777">
        <w:trPr>
          <w:trHeight w:val="315"/>
          <w:jc w:val="center"/>
        </w:trPr>
        <w:tc>
          <w:tcPr>
            <w:tcW w:w="1291" w:type="dxa"/>
            <w:shd w:val="clear" w:color="auto" w:fill="C0C0C0"/>
            <w:noWrap/>
            <w:vAlign w:val="bottom"/>
          </w:tcPr>
          <w:p w14:paraId="0D5BC609" w14:textId="77777777" w:rsidR="003A11FB" w:rsidRPr="00037A46" w:rsidRDefault="003A11FB" w:rsidP="003A11FB">
            <w:pPr>
              <w:spacing w:before="0" w:after="0"/>
              <w:ind w:left="-212"/>
              <w:jc w:val="right"/>
              <w:rPr>
                <w:b/>
                <w:bCs/>
              </w:rPr>
            </w:pPr>
            <w:r w:rsidRPr="00037A46">
              <w:rPr>
                <w:b/>
                <w:bCs/>
              </w:rPr>
              <w:t>4</w:t>
            </w:r>
          </w:p>
        </w:tc>
        <w:tc>
          <w:tcPr>
            <w:tcW w:w="1242" w:type="dxa"/>
            <w:noWrap/>
            <w:vAlign w:val="bottom"/>
          </w:tcPr>
          <w:p w14:paraId="14C90341" w14:textId="77777777" w:rsidR="003A11FB" w:rsidRPr="00037A46" w:rsidRDefault="003A11FB" w:rsidP="003A11FB">
            <w:pPr>
              <w:spacing w:before="0" w:after="0"/>
              <w:ind w:left="-212"/>
              <w:jc w:val="right"/>
              <w:rPr>
                <w:bCs/>
              </w:rPr>
            </w:pPr>
            <w:r w:rsidRPr="00037A46">
              <w:rPr>
                <w:bCs/>
              </w:rPr>
              <w:t>18.300</w:t>
            </w:r>
          </w:p>
        </w:tc>
        <w:tc>
          <w:tcPr>
            <w:tcW w:w="1109" w:type="dxa"/>
            <w:noWrap/>
            <w:vAlign w:val="bottom"/>
          </w:tcPr>
          <w:p w14:paraId="7E8E8460" w14:textId="77777777" w:rsidR="003A11FB" w:rsidRPr="00037A46" w:rsidRDefault="003A11FB" w:rsidP="003A11FB">
            <w:pPr>
              <w:spacing w:before="0" w:after="0"/>
              <w:ind w:left="-212"/>
              <w:jc w:val="right"/>
              <w:rPr>
                <w:bCs/>
              </w:rPr>
            </w:pPr>
            <w:r w:rsidRPr="00037A46">
              <w:rPr>
                <w:bCs/>
              </w:rPr>
              <w:t>20.100</w:t>
            </w:r>
          </w:p>
        </w:tc>
        <w:tc>
          <w:tcPr>
            <w:tcW w:w="1118" w:type="dxa"/>
            <w:noWrap/>
            <w:vAlign w:val="bottom"/>
          </w:tcPr>
          <w:p w14:paraId="3C79626E" w14:textId="77777777" w:rsidR="003A11FB" w:rsidRPr="00037A46" w:rsidRDefault="003A11FB" w:rsidP="003A11FB">
            <w:pPr>
              <w:spacing w:before="0" w:after="0"/>
              <w:ind w:left="-212"/>
              <w:jc w:val="right"/>
              <w:rPr>
                <w:bCs/>
              </w:rPr>
            </w:pPr>
            <w:r w:rsidRPr="00037A46">
              <w:rPr>
                <w:bCs/>
              </w:rPr>
              <w:t>21.100</w:t>
            </w:r>
          </w:p>
        </w:tc>
        <w:tc>
          <w:tcPr>
            <w:tcW w:w="1127" w:type="dxa"/>
            <w:noWrap/>
            <w:vAlign w:val="bottom"/>
          </w:tcPr>
          <w:p w14:paraId="17C1E876" w14:textId="77777777" w:rsidR="003A11FB" w:rsidRPr="00037A46" w:rsidRDefault="003A11FB" w:rsidP="003A11FB">
            <w:pPr>
              <w:spacing w:before="0" w:after="0"/>
              <w:ind w:left="-212"/>
              <w:jc w:val="right"/>
              <w:rPr>
                <w:bCs/>
              </w:rPr>
            </w:pPr>
            <w:r w:rsidRPr="00037A46">
              <w:rPr>
                <w:bCs/>
              </w:rPr>
              <w:t>21.600</w:t>
            </w:r>
          </w:p>
        </w:tc>
        <w:tc>
          <w:tcPr>
            <w:tcW w:w="1324" w:type="dxa"/>
            <w:noWrap/>
            <w:vAlign w:val="bottom"/>
          </w:tcPr>
          <w:p w14:paraId="04FFA9D3" w14:textId="77777777" w:rsidR="003A11FB" w:rsidRPr="00037A46" w:rsidRDefault="003A11FB" w:rsidP="003A11FB">
            <w:pPr>
              <w:spacing w:before="0" w:after="0"/>
              <w:ind w:left="-212"/>
              <w:jc w:val="right"/>
              <w:rPr>
                <w:bCs/>
              </w:rPr>
            </w:pPr>
            <w:r w:rsidRPr="00037A46">
              <w:rPr>
                <w:bCs/>
              </w:rPr>
              <w:t>23.250</w:t>
            </w:r>
          </w:p>
        </w:tc>
      </w:tr>
      <w:tr w:rsidR="003A11FB" w:rsidRPr="00037A46" w14:paraId="009CDD30" w14:textId="77777777">
        <w:trPr>
          <w:trHeight w:val="315"/>
          <w:jc w:val="center"/>
        </w:trPr>
        <w:tc>
          <w:tcPr>
            <w:tcW w:w="1291" w:type="dxa"/>
            <w:shd w:val="clear" w:color="auto" w:fill="C0C0C0"/>
            <w:noWrap/>
            <w:vAlign w:val="bottom"/>
          </w:tcPr>
          <w:p w14:paraId="4F0F5EBB" w14:textId="77777777" w:rsidR="003A11FB" w:rsidRPr="00037A46" w:rsidRDefault="003A11FB" w:rsidP="003A11FB">
            <w:pPr>
              <w:spacing w:before="0" w:after="0"/>
              <w:ind w:left="-212"/>
              <w:jc w:val="right"/>
              <w:rPr>
                <w:b/>
                <w:bCs/>
              </w:rPr>
            </w:pPr>
            <w:r w:rsidRPr="00037A46">
              <w:rPr>
                <w:b/>
                <w:bCs/>
              </w:rPr>
              <w:t>5</w:t>
            </w:r>
          </w:p>
        </w:tc>
        <w:tc>
          <w:tcPr>
            <w:tcW w:w="1242" w:type="dxa"/>
            <w:noWrap/>
            <w:vAlign w:val="bottom"/>
          </w:tcPr>
          <w:p w14:paraId="1BB21DE7" w14:textId="77777777" w:rsidR="003A11FB" w:rsidRPr="00037A46" w:rsidRDefault="003A11FB" w:rsidP="003A11FB">
            <w:pPr>
              <w:spacing w:before="0" w:after="0"/>
              <w:ind w:left="-212"/>
              <w:jc w:val="right"/>
              <w:rPr>
                <w:bCs/>
              </w:rPr>
            </w:pPr>
            <w:r w:rsidRPr="00037A46">
              <w:rPr>
                <w:bCs/>
              </w:rPr>
              <w:t>18.800</w:t>
            </w:r>
          </w:p>
        </w:tc>
        <w:tc>
          <w:tcPr>
            <w:tcW w:w="1109" w:type="dxa"/>
            <w:noWrap/>
            <w:vAlign w:val="bottom"/>
          </w:tcPr>
          <w:p w14:paraId="1B31E4F6" w14:textId="77777777" w:rsidR="003A11FB" w:rsidRPr="00037A46" w:rsidRDefault="003A11FB" w:rsidP="003A11FB">
            <w:pPr>
              <w:spacing w:before="0" w:after="0"/>
              <w:ind w:left="-212"/>
              <w:jc w:val="right"/>
              <w:rPr>
                <w:bCs/>
              </w:rPr>
            </w:pPr>
            <w:r w:rsidRPr="00037A46">
              <w:rPr>
                <w:bCs/>
              </w:rPr>
              <w:t>20.700</w:t>
            </w:r>
          </w:p>
        </w:tc>
        <w:tc>
          <w:tcPr>
            <w:tcW w:w="1118" w:type="dxa"/>
            <w:noWrap/>
            <w:vAlign w:val="bottom"/>
          </w:tcPr>
          <w:p w14:paraId="64297420" w14:textId="77777777" w:rsidR="003A11FB" w:rsidRPr="00037A46" w:rsidRDefault="003A11FB" w:rsidP="003A11FB">
            <w:pPr>
              <w:spacing w:before="0" w:after="0"/>
              <w:ind w:left="-212"/>
              <w:jc w:val="right"/>
              <w:rPr>
                <w:bCs/>
              </w:rPr>
            </w:pPr>
            <w:r w:rsidRPr="00037A46">
              <w:rPr>
                <w:bCs/>
              </w:rPr>
              <w:t>21.900</w:t>
            </w:r>
          </w:p>
        </w:tc>
        <w:tc>
          <w:tcPr>
            <w:tcW w:w="1127" w:type="dxa"/>
            <w:noWrap/>
            <w:vAlign w:val="bottom"/>
          </w:tcPr>
          <w:p w14:paraId="2558E9C3" w14:textId="77777777" w:rsidR="003A11FB" w:rsidRPr="00037A46" w:rsidRDefault="003A11FB" w:rsidP="003A11FB">
            <w:pPr>
              <w:spacing w:before="0" w:after="0"/>
              <w:ind w:left="-212"/>
              <w:jc w:val="right"/>
              <w:rPr>
                <w:bCs/>
              </w:rPr>
            </w:pPr>
            <w:r w:rsidRPr="00037A46">
              <w:rPr>
                <w:bCs/>
              </w:rPr>
              <w:t>22.400</w:t>
            </w:r>
          </w:p>
        </w:tc>
        <w:tc>
          <w:tcPr>
            <w:tcW w:w="1324" w:type="dxa"/>
            <w:noWrap/>
            <w:vAlign w:val="bottom"/>
          </w:tcPr>
          <w:p w14:paraId="5F0C9429" w14:textId="77777777" w:rsidR="003A11FB" w:rsidRPr="00037A46" w:rsidRDefault="003A11FB" w:rsidP="003A11FB">
            <w:pPr>
              <w:spacing w:before="0" w:after="0"/>
              <w:ind w:left="-212"/>
              <w:jc w:val="right"/>
              <w:rPr>
                <w:bCs/>
              </w:rPr>
            </w:pPr>
            <w:r w:rsidRPr="00037A46">
              <w:rPr>
                <w:bCs/>
              </w:rPr>
              <w:t>24.150</w:t>
            </w:r>
          </w:p>
        </w:tc>
      </w:tr>
      <w:tr w:rsidR="003A11FB" w:rsidRPr="00037A46" w14:paraId="3AF2BFD3" w14:textId="77777777">
        <w:trPr>
          <w:trHeight w:val="315"/>
          <w:jc w:val="center"/>
        </w:trPr>
        <w:tc>
          <w:tcPr>
            <w:tcW w:w="1291" w:type="dxa"/>
            <w:shd w:val="clear" w:color="auto" w:fill="C0C0C0"/>
            <w:noWrap/>
            <w:vAlign w:val="bottom"/>
          </w:tcPr>
          <w:p w14:paraId="1CDE2A52" w14:textId="77777777" w:rsidR="003A11FB" w:rsidRPr="00037A46" w:rsidRDefault="003A11FB" w:rsidP="003A11FB">
            <w:pPr>
              <w:spacing w:before="0" w:after="0"/>
              <w:ind w:left="-212"/>
              <w:jc w:val="right"/>
              <w:rPr>
                <w:b/>
                <w:bCs/>
              </w:rPr>
            </w:pPr>
            <w:r w:rsidRPr="00037A46">
              <w:rPr>
                <w:b/>
                <w:bCs/>
              </w:rPr>
              <w:t>6</w:t>
            </w:r>
          </w:p>
        </w:tc>
        <w:tc>
          <w:tcPr>
            <w:tcW w:w="1242" w:type="dxa"/>
            <w:noWrap/>
            <w:vAlign w:val="bottom"/>
          </w:tcPr>
          <w:p w14:paraId="120A41E4" w14:textId="77777777" w:rsidR="003A11FB" w:rsidRPr="00037A46" w:rsidRDefault="003A11FB" w:rsidP="003A11FB">
            <w:pPr>
              <w:spacing w:before="0" w:after="0"/>
              <w:ind w:left="-212"/>
              <w:jc w:val="right"/>
              <w:rPr>
                <w:bCs/>
              </w:rPr>
            </w:pPr>
            <w:r w:rsidRPr="00037A46">
              <w:rPr>
                <w:bCs/>
              </w:rPr>
              <w:t>18.800</w:t>
            </w:r>
          </w:p>
        </w:tc>
        <w:tc>
          <w:tcPr>
            <w:tcW w:w="1109" w:type="dxa"/>
            <w:noWrap/>
            <w:vAlign w:val="bottom"/>
          </w:tcPr>
          <w:p w14:paraId="2E8E8C5A" w14:textId="77777777" w:rsidR="003A11FB" w:rsidRPr="00037A46" w:rsidRDefault="003A11FB" w:rsidP="003A11FB">
            <w:pPr>
              <w:spacing w:before="0" w:after="0"/>
              <w:ind w:left="-212"/>
              <w:jc w:val="right"/>
              <w:rPr>
                <w:bCs/>
              </w:rPr>
            </w:pPr>
            <w:r w:rsidRPr="00037A46">
              <w:rPr>
                <w:bCs/>
              </w:rPr>
              <w:t>20.700</w:t>
            </w:r>
          </w:p>
        </w:tc>
        <w:tc>
          <w:tcPr>
            <w:tcW w:w="1118" w:type="dxa"/>
            <w:noWrap/>
            <w:vAlign w:val="bottom"/>
          </w:tcPr>
          <w:p w14:paraId="2DAB2396" w14:textId="77777777" w:rsidR="003A11FB" w:rsidRPr="00037A46" w:rsidRDefault="003A11FB" w:rsidP="003A11FB">
            <w:pPr>
              <w:spacing w:before="0" w:after="0"/>
              <w:ind w:left="-212"/>
              <w:jc w:val="right"/>
              <w:rPr>
                <w:bCs/>
              </w:rPr>
            </w:pPr>
            <w:r w:rsidRPr="00037A46">
              <w:rPr>
                <w:bCs/>
              </w:rPr>
              <w:t>21.900</w:t>
            </w:r>
          </w:p>
        </w:tc>
        <w:tc>
          <w:tcPr>
            <w:tcW w:w="1127" w:type="dxa"/>
            <w:noWrap/>
            <w:vAlign w:val="bottom"/>
          </w:tcPr>
          <w:p w14:paraId="19810D3F" w14:textId="77777777" w:rsidR="003A11FB" w:rsidRPr="00037A46" w:rsidRDefault="003A11FB" w:rsidP="003A11FB">
            <w:pPr>
              <w:spacing w:before="0" w:after="0"/>
              <w:ind w:left="-212"/>
              <w:jc w:val="right"/>
              <w:rPr>
                <w:bCs/>
              </w:rPr>
            </w:pPr>
            <w:r w:rsidRPr="00037A46">
              <w:rPr>
                <w:bCs/>
              </w:rPr>
              <w:t>22.400</w:t>
            </w:r>
          </w:p>
        </w:tc>
        <w:tc>
          <w:tcPr>
            <w:tcW w:w="1324" w:type="dxa"/>
            <w:noWrap/>
            <w:vAlign w:val="bottom"/>
          </w:tcPr>
          <w:p w14:paraId="06E5DA42" w14:textId="77777777" w:rsidR="003A11FB" w:rsidRPr="00037A46" w:rsidRDefault="003A11FB" w:rsidP="003A11FB">
            <w:pPr>
              <w:spacing w:before="0" w:after="0"/>
              <w:ind w:left="-212"/>
              <w:jc w:val="right"/>
              <w:rPr>
                <w:bCs/>
              </w:rPr>
            </w:pPr>
            <w:r w:rsidRPr="00037A46">
              <w:rPr>
                <w:bCs/>
              </w:rPr>
              <w:t>24.150</w:t>
            </w:r>
          </w:p>
        </w:tc>
      </w:tr>
      <w:tr w:rsidR="003A11FB" w:rsidRPr="00037A46" w14:paraId="587411D9" w14:textId="77777777">
        <w:trPr>
          <w:trHeight w:val="315"/>
          <w:jc w:val="center"/>
        </w:trPr>
        <w:tc>
          <w:tcPr>
            <w:tcW w:w="1291" w:type="dxa"/>
            <w:shd w:val="clear" w:color="auto" w:fill="C0C0C0"/>
            <w:noWrap/>
            <w:vAlign w:val="bottom"/>
          </w:tcPr>
          <w:p w14:paraId="0DB5D96F" w14:textId="77777777" w:rsidR="003A11FB" w:rsidRPr="00037A46" w:rsidRDefault="003A11FB" w:rsidP="003A11FB">
            <w:pPr>
              <w:spacing w:before="0" w:after="0"/>
              <w:ind w:left="-212"/>
              <w:jc w:val="right"/>
              <w:rPr>
                <w:b/>
                <w:bCs/>
              </w:rPr>
            </w:pPr>
            <w:r w:rsidRPr="00037A46">
              <w:rPr>
                <w:b/>
                <w:bCs/>
              </w:rPr>
              <w:t>7</w:t>
            </w:r>
          </w:p>
        </w:tc>
        <w:tc>
          <w:tcPr>
            <w:tcW w:w="1242" w:type="dxa"/>
            <w:noWrap/>
            <w:vAlign w:val="bottom"/>
          </w:tcPr>
          <w:p w14:paraId="146335F8" w14:textId="77777777" w:rsidR="003A11FB" w:rsidRPr="00037A46" w:rsidRDefault="003A11FB" w:rsidP="003A11FB">
            <w:pPr>
              <w:spacing w:before="0" w:after="0"/>
              <w:ind w:left="-212"/>
              <w:jc w:val="right"/>
              <w:rPr>
                <w:bCs/>
              </w:rPr>
            </w:pPr>
            <w:r w:rsidRPr="00037A46">
              <w:rPr>
                <w:bCs/>
              </w:rPr>
              <w:t>19.300</w:t>
            </w:r>
          </w:p>
        </w:tc>
        <w:tc>
          <w:tcPr>
            <w:tcW w:w="1109" w:type="dxa"/>
            <w:noWrap/>
            <w:vAlign w:val="bottom"/>
          </w:tcPr>
          <w:p w14:paraId="3D1A18E0" w14:textId="77777777" w:rsidR="003A11FB" w:rsidRPr="00037A46" w:rsidRDefault="003A11FB" w:rsidP="003A11FB">
            <w:pPr>
              <w:spacing w:before="0" w:after="0"/>
              <w:ind w:left="-212"/>
              <w:jc w:val="right"/>
              <w:rPr>
                <w:bCs/>
              </w:rPr>
            </w:pPr>
            <w:r w:rsidRPr="00037A46">
              <w:rPr>
                <w:bCs/>
              </w:rPr>
              <w:t>21.300</w:t>
            </w:r>
          </w:p>
        </w:tc>
        <w:tc>
          <w:tcPr>
            <w:tcW w:w="1118" w:type="dxa"/>
            <w:noWrap/>
            <w:vAlign w:val="bottom"/>
          </w:tcPr>
          <w:p w14:paraId="2D39228B" w14:textId="77777777" w:rsidR="003A11FB" w:rsidRPr="00037A46" w:rsidRDefault="003A11FB" w:rsidP="003A11FB">
            <w:pPr>
              <w:spacing w:before="0" w:after="0"/>
              <w:ind w:left="-212"/>
              <w:jc w:val="right"/>
              <w:rPr>
                <w:bCs/>
              </w:rPr>
            </w:pPr>
            <w:r w:rsidRPr="00037A46">
              <w:rPr>
                <w:bCs/>
              </w:rPr>
              <w:t>22.700</w:t>
            </w:r>
          </w:p>
        </w:tc>
        <w:tc>
          <w:tcPr>
            <w:tcW w:w="1127" w:type="dxa"/>
            <w:noWrap/>
            <w:vAlign w:val="bottom"/>
          </w:tcPr>
          <w:p w14:paraId="03EEE7D2" w14:textId="77777777" w:rsidR="003A11FB" w:rsidRPr="00037A46" w:rsidRDefault="003A11FB" w:rsidP="003A11FB">
            <w:pPr>
              <w:spacing w:before="0" w:after="0"/>
              <w:ind w:left="-212"/>
              <w:jc w:val="right"/>
              <w:rPr>
                <w:bCs/>
              </w:rPr>
            </w:pPr>
            <w:r w:rsidRPr="00037A46">
              <w:rPr>
                <w:bCs/>
              </w:rPr>
              <w:t>23.250</w:t>
            </w:r>
          </w:p>
        </w:tc>
        <w:tc>
          <w:tcPr>
            <w:tcW w:w="1324" w:type="dxa"/>
            <w:noWrap/>
            <w:vAlign w:val="bottom"/>
          </w:tcPr>
          <w:p w14:paraId="7F40150A" w14:textId="77777777" w:rsidR="003A11FB" w:rsidRPr="00037A46" w:rsidRDefault="003A11FB" w:rsidP="003A11FB">
            <w:pPr>
              <w:spacing w:before="0" w:after="0"/>
              <w:ind w:left="-212"/>
              <w:jc w:val="right"/>
              <w:rPr>
                <w:bCs/>
              </w:rPr>
            </w:pPr>
            <w:r w:rsidRPr="00037A46">
              <w:rPr>
                <w:bCs/>
              </w:rPr>
              <w:t>25.050</w:t>
            </w:r>
          </w:p>
        </w:tc>
      </w:tr>
      <w:tr w:rsidR="003A11FB" w:rsidRPr="00037A46" w14:paraId="06B31F1B" w14:textId="77777777">
        <w:trPr>
          <w:trHeight w:val="315"/>
          <w:jc w:val="center"/>
        </w:trPr>
        <w:tc>
          <w:tcPr>
            <w:tcW w:w="1291" w:type="dxa"/>
            <w:shd w:val="clear" w:color="auto" w:fill="C0C0C0"/>
            <w:noWrap/>
            <w:vAlign w:val="bottom"/>
          </w:tcPr>
          <w:p w14:paraId="77DD9D5A" w14:textId="77777777" w:rsidR="003A11FB" w:rsidRPr="00037A46" w:rsidRDefault="003A11FB" w:rsidP="003A11FB">
            <w:pPr>
              <w:spacing w:before="0" w:after="0"/>
              <w:ind w:left="-212"/>
              <w:jc w:val="right"/>
              <w:rPr>
                <w:b/>
                <w:bCs/>
              </w:rPr>
            </w:pPr>
            <w:r w:rsidRPr="00037A46">
              <w:rPr>
                <w:b/>
                <w:bCs/>
              </w:rPr>
              <w:t>8</w:t>
            </w:r>
          </w:p>
        </w:tc>
        <w:tc>
          <w:tcPr>
            <w:tcW w:w="1242" w:type="dxa"/>
            <w:noWrap/>
            <w:vAlign w:val="bottom"/>
          </w:tcPr>
          <w:p w14:paraId="0BEA78A4" w14:textId="77777777" w:rsidR="003A11FB" w:rsidRPr="00037A46" w:rsidRDefault="003A11FB" w:rsidP="003A11FB">
            <w:pPr>
              <w:spacing w:before="0" w:after="0"/>
              <w:ind w:left="-212"/>
              <w:jc w:val="right"/>
              <w:rPr>
                <w:bCs/>
              </w:rPr>
            </w:pPr>
            <w:r w:rsidRPr="00037A46">
              <w:rPr>
                <w:bCs/>
              </w:rPr>
              <w:t>19.300</w:t>
            </w:r>
          </w:p>
        </w:tc>
        <w:tc>
          <w:tcPr>
            <w:tcW w:w="1109" w:type="dxa"/>
            <w:noWrap/>
            <w:vAlign w:val="bottom"/>
          </w:tcPr>
          <w:p w14:paraId="3D22D144" w14:textId="77777777" w:rsidR="003A11FB" w:rsidRPr="00037A46" w:rsidRDefault="003A11FB" w:rsidP="003A11FB">
            <w:pPr>
              <w:spacing w:before="0" w:after="0"/>
              <w:ind w:left="-212"/>
              <w:jc w:val="right"/>
              <w:rPr>
                <w:bCs/>
              </w:rPr>
            </w:pPr>
            <w:r w:rsidRPr="00037A46">
              <w:rPr>
                <w:bCs/>
              </w:rPr>
              <w:t>21.300</w:t>
            </w:r>
          </w:p>
        </w:tc>
        <w:tc>
          <w:tcPr>
            <w:tcW w:w="1118" w:type="dxa"/>
            <w:noWrap/>
            <w:vAlign w:val="bottom"/>
          </w:tcPr>
          <w:p w14:paraId="7BC3058D" w14:textId="77777777" w:rsidR="003A11FB" w:rsidRPr="00037A46" w:rsidRDefault="003A11FB" w:rsidP="003A11FB">
            <w:pPr>
              <w:spacing w:before="0" w:after="0"/>
              <w:ind w:left="-212"/>
              <w:jc w:val="right"/>
              <w:rPr>
                <w:bCs/>
              </w:rPr>
            </w:pPr>
            <w:r w:rsidRPr="00037A46">
              <w:rPr>
                <w:bCs/>
              </w:rPr>
              <w:t>22.700</w:t>
            </w:r>
          </w:p>
        </w:tc>
        <w:tc>
          <w:tcPr>
            <w:tcW w:w="1127" w:type="dxa"/>
            <w:noWrap/>
            <w:vAlign w:val="bottom"/>
          </w:tcPr>
          <w:p w14:paraId="03B8E8FD" w14:textId="77777777" w:rsidR="003A11FB" w:rsidRPr="00037A46" w:rsidRDefault="003A11FB" w:rsidP="003A11FB">
            <w:pPr>
              <w:spacing w:before="0" w:after="0"/>
              <w:ind w:left="-212"/>
              <w:jc w:val="right"/>
              <w:rPr>
                <w:bCs/>
              </w:rPr>
            </w:pPr>
            <w:r w:rsidRPr="00037A46">
              <w:rPr>
                <w:bCs/>
              </w:rPr>
              <w:t>23.250</w:t>
            </w:r>
          </w:p>
        </w:tc>
        <w:tc>
          <w:tcPr>
            <w:tcW w:w="1324" w:type="dxa"/>
            <w:noWrap/>
            <w:vAlign w:val="bottom"/>
          </w:tcPr>
          <w:p w14:paraId="67CEE1A3" w14:textId="77777777" w:rsidR="003A11FB" w:rsidRPr="00037A46" w:rsidRDefault="003A11FB" w:rsidP="003A11FB">
            <w:pPr>
              <w:spacing w:before="0" w:after="0"/>
              <w:ind w:left="-212"/>
              <w:jc w:val="right"/>
              <w:rPr>
                <w:bCs/>
              </w:rPr>
            </w:pPr>
            <w:r w:rsidRPr="00037A46">
              <w:rPr>
                <w:bCs/>
              </w:rPr>
              <w:t>25.050</w:t>
            </w:r>
          </w:p>
        </w:tc>
      </w:tr>
      <w:tr w:rsidR="003A11FB" w:rsidRPr="00037A46" w14:paraId="42FAADF2" w14:textId="77777777">
        <w:trPr>
          <w:trHeight w:val="315"/>
          <w:jc w:val="center"/>
        </w:trPr>
        <w:tc>
          <w:tcPr>
            <w:tcW w:w="1291" w:type="dxa"/>
            <w:shd w:val="clear" w:color="auto" w:fill="C0C0C0"/>
            <w:noWrap/>
            <w:vAlign w:val="bottom"/>
          </w:tcPr>
          <w:p w14:paraId="20BD1013" w14:textId="77777777" w:rsidR="003A11FB" w:rsidRPr="00037A46" w:rsidRDefault="003A11FB" w:rsidP="003A11FB">
            <w:pPr>
              <w:spacing w:before="0" w:after="0"/>
              <w:ind w:left="-212"/>
              <w:jc w:val="right"/>
              <w:rPr>
                <w:b/>
                <w:bCs/>
              </w:rPr>
            </w:pPr>
            <w:r w:rsidRPr="00037A46">
              <w:rPr>
                <w:b/>
                <w:bCs/>
              </w:rPr>
              <w:t>9</w:t>
            </w:r>
          </w:p>
        </w:tc>
        <w:tc>
          <w:tcPr>
            <w:tcW w:w="1242" w:type="dxa"/>
            <w:noWrap/>
            <w:vAlign w:val="bottom"/>
          </w:tcPr>
          <w:p w14:paraId="101E6466" w14:textId="77777777" w:rsidR="003A11FB" w:rsidRPr="00037A46" w:rsidRDefault="003A11FB" w:rsidP="003A11FB">
            <w:pPr>
              <w:spacing w:before="0" w:after="0"/>
              <w:ind w:left="-212"/>
              <w:jc w:val="right"/>
              <w:rPr>
                <w:bCs/>
              </w:rPr>
            </w:pPr>
            <w:r w:rsidRPr="00037A46">
              <w:rPr>
                <w:bCs/>
              </w:rPr>
              <w:t>19.800</w:t>
            </w:r>
          </w:p>
        </w:tc>
        <w:tc>
          <w:tcPr>
            <w:tcW w:w="1109" w:type="dxa"/>
            <w:noWrap/>
            <w:vAlign w:val="bottom"/>
          </w:tcPr>
          <w:p w14:paraId="78FE5912" w14:textId="77777777" w:rsidR="003A11FB" w:rsidRPr="00037A46" w:rsidRDefault="003A11FB" w:rsidP="003A11FB">
            <w:pPr>
              <w:spacing w:before="0" w:after="0"/>
              <w:ind w:left="-212"/>
              <w:jc w:val="right"/>
              <w:rPr>
                <w:bCs/>
              </w:rPr>
            </w:pPr>
            <w:r w:rsidRPr="00037A46">
              <w:rPr>
                <w:bCs/>
              </w:rPr>
              <w:t>21.950</w:t>
            </w:r>
          </w:p>
        </w:tc>
        <w:tc>
          <w:tcPr>
            <w:tcW w:w="1118" w:type="dxa"/>
            <w:noWrap/>
            <w:vAlign w:val="bottom"/>
          </w:tcPr>
          <w:p w14:paraId="50ABF456" w14:textId="77777777" w:rsidR="003A11FB" w:rsidRPr="00037A46" w:rsidRDefault="003A11FB" w:rsidP="003A11FB">
            <w:pPr>
              <w:spacing w:before="0" w:after="0"/>
              <w:ind w:left="-212"/>
              <w:jc w:val="right"/>
              <w:rPr>
                <w:bCs/>
              </w:rPr>
            </w:pPr>
            <w:r w:rsidRPr="00037A46">
              <w:rPr>
                <w:bCs/>
              </w:rPr>
              <w:t>23.500</w:t>
            </w:r>
          </w:p>
        </w:tc>
        <w:tc>
          <w:tcPr>
            <w:tcW w:w="1127" w:type="dxa"/>
            <w:noWrap/>
            <w:vAlign w:val="bottom"/>
          </w:tcPr>
          <w:p w14:paraId="6FC95730" w14:textId="77777777" w:rsidR="003A11FB" w:rsidRPr="00037A46" w:rsidRDefault="003A11FB" w:rsidP="003A11FB">
            <w:pPr>
              <w:spacing w:before="0" w:after="0"/>
              <w:ind w:left="-212"/>
              <w:jc w:val="right"/>
              <w:rPr>
                <w:bCs/>
              </w:rPr>
            </w:pPr>
            <w:r w:rsidRPr="00037A46">
              <w:rPr>
                <w:bCs/>
              </w:rPr>
              <w:t>24.050</w:t>
            </w:r>
          </w:p>
        </w:tc>
        <w:tc>
          <w:tcPr>
            <w:tcW w:w="1324" w:type="dxa"/>
            <w:noWrap/>
            <w:vAlign w:val="bottom"/>
          </w:tcPr>
          <w:p w14:paraId="1A22C560" w14:textId="77777777" w:rsidR="003A11FB" w:rsidRPr="00037A46" w:rsidRDefault="003A11FB" w:rsidP="003A11FB">
            <w:pPr>
              <w:spacing w:before="0" w:after="0"/>
              <w:ind w:left="-212"/>
              <w:jc w:val="right"/>
              <w:rPr>
                <w:bCs/>
              </w:rPr>
            </w:pPr>
            <w:r w:rsidRPr="00037A46">
              <w:rPr>
                <w:bCs/>
              </w:rPr>
              <w:t>26.000</w:t>
            </w:r>
          </w:p>
        </w:tc>
      </w:tr>
      <w:tr w:rsidR="003A11FB" w:rsidRPr="00037A46" w14:paraId="7EA0483C" w14:textId="77777777">
        <w:trPr>
          <w:trHeight w:val="315"/>
          <w:jc w:val="center"/>
        </w:trPr>
        <w:tc>
          <w:tcPr>
            <w:tcW w:w="1291" w:type="dxa"/>
            <w:shd w:val="clear" w:color="auto" w:fill="C0C0C0"/>
            <w:noWrap/>
            <w:vAlign w:val="bottom"/>
          </w:tcPr>
          <w:p w14:paraId="25EFEDFD" w14:textId="77777777" w:rsidR="003A11FB" w:rsidRPr="00037A46" w:rsidRDefault="003A11FB" w:rsidP="003A11FB">
            <w:pPr>
              <w:spacing w:before="0" w:after="0"/>
              <w:ind w:left="-212"/>
              <w:jc w:val="right"/>
              <w:rPr>
                <w:b/>
                <w:bCs/>
              </w:rPr>
            </w:pPr>
            <w:r w:rsidRPr="00037A46">
              <w:rPr>
                <w:b/>
                <w:bCs/>
              </w:rPr>
              <w:t>10</w:t>
            </w:r>
          </w:p>
        </w:tc>
        <w:tc>
          <w:tcPr>
            <w:tcW w:w="1242" w:type="dxa"/>
            <w:noWrap/>
            <w:vAlign w:val="bottom"/>
          </w:tcPr>
          <w:p w14:paraId="0089CAEC" w14:textId="77777777" w:rsidR="003A11FB" w:rsidRPr="00037A46" w:rsidRDefault="003A11FB" w:rsidP="003A11FB">
            <w:pPr>
              <w:spacing w:before="0" w:after="0"/>
              <w:ind w:left="-212"/>
              <w:jc w:val="right"/>
              <w:rPr>
                <w:bCs/>
              </w:rPr>
            </w:pPr>
            <w:r w:rsidRPr="00037A46">
              <w:rPr>
                <w:bCs/>
              </w:rPr>
              <w:t>19.800</w:t>
            </w:r>
          </w:p>
        </w:tc>
        <w:tc>
          <w:tcPr>
            <w:tcW w:w="1109" w:type="dxa"/>
            <w:noWrap/>
            <w:vAlign w:val="bottom"/>
          </w:tcPr>
          <w:p w14:paraId="413A6234" w14:textId="77777777" w:rsidR="003A11FB" w:rsidRPr="00037A46" w:rsidRDefault="003A11FB" w:rsidP="003A11FB">
            <w:pPr>
              <w:spacing w:before="0" w:after="0"/>
              <w:ind w:left="-212"/>
              <w:jc w:val="right"/>
              <w:rPr>
                <w:bCs/>
              </w:rPr>
            </w:pPr>
            <w:r w:rsidRPr="00037A46">
              <w:rPr>
                <w:bCs/>
              </w:rPr>
              <w:t>21.950</w:t>
            </w:r>
          </w:p>
        </w:tc>
        <w:tc>
          <w:tcPr>
            <w:tcW w:w="1118" w:type="dxa"/>
            <w:noWrap/>
            <w:vAlign w:val="bottom"/>
          </w:tcPr>
          <w:p w14:paraId="77D62DA5" w14:textId="77777777" w:rsidR="003A11FB" w:rsidRPr="00037A46" w:rsidRDefault="003A11FB" w:rsidP="003A11FB">
            <w:pPr>
              <w:spacing w:before="0" w:after="0"/>
              <w:ind w:left="-212"/>
              <w:jc w:val="right"/>
              <w:rPr>
                <w:bCs/>
              </w:rPr>
            </w:pPr>
            <w:r w:rsidRPr="00037A46">
              <w:rPr>
                <w:bCs/>
              </w:rPr>
              <w:t>23.500</w:t>
            </w:r>
          </w:p>
        </w:tc>
        <w:tc>
          <w:tcPr>
            <w:tcW w:w="1127" w:type="dxa"/>
            <w:noWrap/>
            <w:vAlign w:val="bottom"/>
          </w:tcPr>
          <w:p w14:paraId="6EA2068E" w14:textId="77777777" w:rsidR="003A11FB" w:rsidRPr="00037A46" w:rsidRDefault="003A11FB" w:rsidP="003A11FB">
            <w:pPr>
              <w:spacing w:before="0" w:after="0"/>
              <w:ind w:left="-212"/>
              <w:jc w:val="right"/>
              <w:rPr>
                <w:bCs/>
              </w:rPr>
            </w:pPr>
            <w:r w:rsidRPr="00037A46">
              <w:rPr>
                <w:bCs/>
              </w:rPr>
              <w:t>24.050</w:t>
            </w:r>
          </w:p>
        </w:tc>
        <w:tc>
          <w:tcPr>
            <w:tcW w:w="1324" w:type="dxa"/>
            <w:noWrap/>
            <w:vAlign w:val="bottom"/>
          </w:tcPr>
          <w:p w14:paraId="58E259EA" w14:textId="77777777" w:rsidR="003A11FB" w:rsidRPr="00037A46" w:rsidRDefault="003A11FB" w:rsidP="003A11FB">
            <w:pPr>
              <w:spacing w:before="0" w:after="0"/>
              <w:ind w:left="-212"/>
              <w:jc w:val="right"/>
              <w:rPr>
                <w:bCs/>
              </w:rPr>
            </w:pPr>
            <w:r w:rsidRPr="00037A46">
              <w:rPr>
                <w:bCs/>
              </w:rPr>
              <w:t>26.000</w:t>
            </w:r>
          </w:p>
        </w:tc>
      </w:tr>
      <w:tr w:rsidR="003A11FB" w:rsidRPr="00037A46" w14:paraId="45F18E7B" w14:textId="77777777">
        <w:trPr>
          <w:trHeight w:val="315"/>
          <w:jc w:val="center"/>
        </w:trPr>
        <w:tc>
          <w:tcPr>
            <w:tcW w:w="1291" w:type="dxa"/>
            <w:shd w:val="clear" w:color="auto" w:fill="C0C0C0"/>
            <w:noWrap/>
            <w:vAlign w:val="bottom"/>
          </w:tcPr>
          <w:p w14:paraId="66002B04" w14:textId="77777777" w:rsidR="003A11FB" w:rsidRPr="00037A46" w:rsidRDefault="003A11FB" w:rsidP="003A11FB">
            <w:pPr>
              <w:spacing w:before="0" w:after="0"/>
              <w:ind w:left="-212"/>
              <w:jc w:val="right"/>
              <w:rPr>
                <w:b/>
                <w:bCs/>
              </w:rPr>
            </w:pPr>
            <w:r w:rsidRPr="00037A46">
              <w:rPr>
                <w:b/>
                <w:bCs/>
              </w:rPr>
              <w:t>11</w:t>
            </w:r>
          </w:p>
        </w:tc>
        <w:tc>
          <w:tcPr>
            <w:tcW w:w="1242" w:type="dxa"/>
            <w:noWrap/>
            <w:vAlign w:val="bottom"/>
          </w:tcPr>
          <w:p w14:paraId="2F7F3728" w14:textId="77777777" w:rsidR="003A11FB" w:rsidRPr="00037A46" w:rsidRDefault="003A11FB" w:rsidP="003A11FB">
            <w:pPr>
              <w:spacing w:before="0" w:after="0"/>
              <w:ind w:left="-212"/>
              <w:jc w:val="right"/>
              <w:rPr>
                <w:bCs/>
              </w:rPr>
            </w:pPr>
            <w:r w:rsidRPr="00037A46">
              <w:rPr>
                <w:bCs/>
              </w:rPr>
              <w:t>20.300</w:t>
            </w:r>
          </w:p>
        </w:tc>
        <w:tc>
          <w:tcPr>
            <w:tcW w:w="1109" w:type="dxa"/>
            <w:noWrap/>
            <w:vAlign w:val="bottom"/>
          </w:tcPr>
          <w:p w14:paraId="3E73D94A" w14:textId="77777777" w:rsidR="003A11FB" w:rsidRPr="00037A46" w:rsidRDefault="003A11FB" w:rsidP="003A11FB">
            <w:pPr>
              <w:spacing w:before="0" w:after="0"/>
              <w:ind w:left="-212"/>
              <w:jc w:val="right"/>
              <w:rPr>
                <w:bCs/>
              </w:rPr>
            </w:pPr>
            <w:r w:rsidRPr="00037A46">
              <w:rPr>
                <w:bCs/>
              </w:rPr>
              <w:t>22.550</w:t>
            </w:r>
          </w:p>
        </w:tc>
        <w:tc>
          <w:tcPr>
            <w:tcW w:w="1118" w:type="dxa"/>
            <w:noWrap/>
            <w:vAlign w:val="bottom"/>
          </w:tcPr>
          <w:p w14:paraId="7D63CAF7" w14:textId="77777777" w:rsidR="003A11FB" w:rsidRPr="00037A46" w:rsidRDefault="003A11FB" w:rsidP="003A11FB">
            <w:pPr>
              <w:spacing w:before="0" w:after="0"/>
              <w:ind w:left="-212"/>
              <w:jc w:val="right"/>
              <w:rPr>
                <w:bCs/>
              </w:rPr>
            </w:pPr>
            <w:r w:rsidRPr="00037A46">
              <w:rPr>
                <w:bCs/>
              </w:rPr>
              <w:t>24.300</w:t>
            </w:r>
          </w:p>
        </w:tc>
        <w:tc>
          <w:tcPr>
            <w:tcW w:w="1127" w:type="dxa"/>
            <w:noWrap/>
            <w:vAlign w:val="bottom"/>
          </w:tcPr>
          <w:p w14:paraId="786E52D3" w14:textId="77777777" w:rsidR="003A11FB" w:rsidRPr="00037A46" w:rsidRDefault="003A11FB" w:rsidP="003A11FB">
            <w:pPr>
              <w:spacing w:before="0" w:after="0"/>
              <w:ind w:left="-212"/>
              <w:jc w:val="right"/>
              <w:rPr>
                <w:bCs/>
              </w:rPr>
            </w:pPr>
            <w:r w:rsidRPr="00037A46">
              <w:rPr>
                <w:bCs/>
              </w:rPr>
              <w:t>24.850</w:t>
            </w:r>
          </w:p>
        </w:tc>
        <w:tc>
          <w:tcPr>
            <w:tcW w:w="1324" w:type="dxa"/>
            <w:noWrap/>
            <w:vAlign w:val="bottom"/>
          </w:tcPr>
          <w:p w14:paraId="3B6C547A" w14:textId="77777777" w:rsidR="003A11FB" w:rsidRPr="00037A46" w:rsidRDefault="003A11FB" w:rsidP="003A11FB">
            <w:pPr>
              <w:spacing w:before="0" w:after="0"/>
              <w:ind w:left="-212"/>
              <w:jc w:val="right"/>
              <w:rPr>
                <w:bCs/>
              </w:rPr>
            </w:pPr>
            <w:r w:rsidRPr="00037A46">
              <w:rPr>
                <w:bCs/>
              </w:rPr>
              <w:t>26.900</w:t>
            </w:r>
          </w:p>
        </w:tc>
      </w:tr>
      <w:tr w:rsidR="003A11FB" w:rsidRPr="00037A46" w14:paraId="2735C1D0" w14:textId="77777777">
        <w:trPr>
          <w:trHeight w:val="315"/>
          <w:jc w:val="center"/>
        </w:trPr>
        <w:tc>
          <w:tcPr>
            <w:tcW w:w="1291" w:type="dxa"/>
            <w:shd w:val="clear" w:color="auto" w:fill="C0C0C0"/>
            <w:noWrap/>
            <w:vAlign w:val="bottom"/>
          </w:tcPr>
          <w:p w14:paraId="5EF3ED6F" w14:textId="77777777" w:rsidR="003A11FB" w:rsidRPr="00037A46" w:rsidRDefault="003A11FB" w:rsidP="003A11FB">
            <w:pPr>
              <w:spacing w:before="0" w:after="0"/>
              <w:ind w:left="-212"/>
              <w:jc w:val="right"/>
              <w:rPr>
                <w:b/>
                <w:bCs/>
              </w:rPr>
            </w:pPr>
            <w:r w:rsidRPr="00037A46">
              <w:rPr>
                <w:b/>
                <w:bCs/>
              </w:rPr>
              <w:t>12</w:t>
            </w:r>
          </w:p>
        </w:tc>
        <w:tc>
          <w:tcPr>
            <w:tcW w:w="1242" w:type="dxa"/>
            <w:noWrap/>
            <w:vAlign w:val="bottom"/>
          </w:tcPr>
          <w:p w14:paraId="4EE8929D" w14:textId="77777777" w:rsidR="003A11FB" w:rsidRPr="00037A46" w:rsidRDefault="003A11FB" w:rsidP="003A11FB">
            <w:pPr>
              <w:spacing w:before="0" w:after="0"/>
              <w:ind w:left="-212"/>
              <w:jc w:val="right"/>
              <w:rPr>
                <w:bCs/>
              </w:rPr>
            </w:pPr>
            <w:r w:rsidRPr="00037A46">
              <w:rPr>
                <w:bCs/>
              </w:rPr>
              <w:t>20.300</w:t>
            </w:r>
          </w:p>
        </w:tc>
        <w:tc>
          <w:tcPr>
            <w:tcW w:w="1109" w:type="dxa"/>
            <w:noWrap/>
            <w:vAlign w:val="bottom"/>
          </w:tcPr>
          <w:p w14:paraId="4B4D8254" w14:textId="77777777" w:rsidR="003A11FB" w:rsidRPr="00037A46" w:rsidRDefault="003A11FB" w:rsidP="003A11FB">
            <w:pPr>
              <w:spacing w:before="0" w:after="0"/>
              <w:ind w:left="-212"/>
              <w:jc w:val="right"/>
              <w:rPr>
                <w:bCs/>
              </w:rPr>
            </w:pPr>
            <w:r w:rsidRPr="00037A46">
              <w:rPr>
                <w:bCs/>
              </w:rPr>
              <w:t>22.550</w:t>
            </w:r>
          </w:p>
        </w:tc>
        <w:tc>
          <w:tcPr>
            <w:tcW w:w="1118" w:type="dxa"/>
            <w:noWrap/>
            <w:vAlign w:val="bottom"/>
          </w:tcPr>
          <w:p w14:paraId="778D9C91" w14:textId="77777777" w:rsidR="003A11FB" w:rsidRPr="00037A46" w:rsidRDefault="003A11FB" w:rsidP="003A11FB">
            <w:pPr>
              <w:spacing w:before="0" w:after="0"/>
              <w:ind w:left="-212"/>
              <w:jc w:val="right"/>
              <w:rPr>
                <w:bCs/>
              </w:rPr>
            </w:pPr>
            <w:r w:rsidRPr="00037A46">
              <w:rPr>
                <w:bCs/>
              </w:rPr>
              <w:t>24.300</w:t>
            </w:r>
          </w:p>
        </w:tc>
        <w:tc>
          <w:tcPr>
            <w:tcW w:w="1127" w:type="dxa"/>
            <w:noWrap/>
            <w:vAlign w:val="bottom"/>
          </w:tcPr>
          <w:p w14:paraId="0EBC4E88" w14:textId="77777777" w:rsidR="003A11FB" w:rsidRPr="00037A46" w:rsidRDefault="003A11FB" w:rsidP="003A11FB">
            <w:pPr>
              <w:spacing w:before="0" w:after="0"/>
              <w:ind w:left="-212"/>
              <w:jc w:val="right"/>
              <w:rPr>
                <w:bCs/>
              </w:rPr>
            </w:pPr>
            <w:r w:rsidRPr="00037A46">
              <w:rPr>
                <w:bCs/>
              </w:rPr>
              <w:t>24.850</w:t>
            </w:r>
          </w:p>
        </w:tc>
        <w:tc>
          <w:tcPr>
            <w:tcW w:w="1324" w:type="dxa"/>
            <w:noWrap/>
            <w:vAlign w:val="bottom"/>
          </w:tcPr>
          <w:p w14:paraId="691D6197" w14:textId="77777777" w:rsidR="003A11FB" w:rsidRPr="00037A46" w:rsidRDefault="003A11FB" w:rsidP="003A11FB">
            <w:pPr>
              <w:spacing w:before="0" w:after="0"/>
              <w:ind w:left="-212"/>
              <w:jc w:val="right"/>
              <w:rPr>
                <w:bCs/>
              </w:rPr>
            </w:pPr>
            <w:r w:rsidRPr="00037A46">
              <w:rPr>
                <w:bCs/>
              </w:rPr>
              <w:t>26.900</w:t>
            </w:r>
          </w:p>
        </w:tc>
      </w:tr>
      <w:tr w:rsidR="003A11FB" w:rsidRPr="00037A46" w14:paraId="1898ADD5" w14:textId="77777777">
        <w:trPr>
          <w:trHeight w:val="315"/>
          <w:jc w:val="center"/>
        </w:trPr>
        <w:tc>
          <w:tcPr>
            <w:tcW w:w="1291" w:type="dxa"/>
            <w:shd w:val="clear" w:color="auto" w:fill="C0C0C0"/>
            <w:noWrap/>
            <w:vAlign w:val="bottom"/>
          </w:tcPr>
          <w:p w14:paraId="545907E0" w14:textId="77777777" w:rsidR="003A11FB" w:rsidRPr="00037A46" w:rsidRDefault="003A11FB" w:rsidP="003A11FB">
            <w:pPr>
              <w:spacing w:before="0" w:after="0"/>
              <w:ind w:left="-212"/>
              <w:jc w:val="right"/>
              <w:rPr>
                <w:b/>
                <w:bCs/>
              </w:rPr>
            </w:pPr>
            <w:r w:rsidRPr="00037A46">
              <w:rPr>
                <w:b/>
                <w:bCs/>
              </w:rPr>
              <w:t>13</w:t>
            </w:r>
          </w:p>
        </w:tc>
        <w:tc>
          <w:tcPr>
            <w:tcW w:w="1242" w:type="dxa"/>
            <w:noWrap/>
            <w:vAlign w:val="bottom"/>
          </w:tcPr>
          <w:p w14:paraId="769008DE" w14:textId="77777777" w:rsidR="003A11FB" w:rsidRPr="00037A46" w:rsidRDefault="003A11FB" w:rsidP="003A11FB">
            <w:pPr>
              <w:spacing w:before="0" w:after="0"/>
              <w:ind w:left="-212"/>
              <w:jc w:val="right"/>
              <w:rPr>
                <w:bCs/>
              </w:rPr>
            </w:pPr>
            <w:r w:rsidRPr="00037A46">
              <w:rPr>
                <w:bCs/>
              </w:rPr>
              <w:t>20.750</w:t>
            </w:r>
          </w:p>
        </w:tc>
        <w:tc>
          <w:tcPr>
            <w:tcW w:w="1109" w:type="dxa"/>
            <w:noWrap/>
            <w:vAlign w:val="bottom"/>
          </w:tcPr>
          <w:p w14:paraId="0EB12D74" w14:textId="77777777" w:rsidR="003A11FB" w:rsidRPr="00037A46" w:rsidRDefault="003A11FB" w:rsidP="003A11FB">
            <w:pPr>
              <w:spacing w:before="0" w:after="0"/>
              <w:ind w:left="-212"/>
              <w:jc w:val="right"/>
              <w:rPr>
                <w:bCs/>
              </w:rPr>
            </w:pPr>
            <w:r w:rsidRPr="00037A46">
              <w:rPr>
                <w:bCs/>
              </w:rPr>
              <w:t>23.200</w:t>
            </w:r>
          </w:p>
        </w:tc>
        <w:tc>
          <w:tcPr>
            <w:tcW w:w="1118" w:type="dxa"/>
            <w:noWrap/>
            <w:vAlign w:val="bottom"/>
          </w:tcPr>
          <w:p w14:paraId="3E2977E8" w14:textId="77777777" w:rsidR="003A11FB" w:rsidRPr="00037A46" w:rsidRDefault="003A11FB" w:rsidP="003A11FB">
            <w:pPr>
              <w:spacing w:before="0" w:after="0"/>
              <w:ind w:left="-212"/>
              <w:jc w:val="right"/>
              <w:rPr>
                <w:bCs/>
              </w:rPr>
            </w:pPr>
            <w:r w:rsidRPr="00037A46">
              <w:rPr>
                <w:bCs/>
              </w:rPr>
              <w:t>25.100</w:t>
            </w:r>
          </w:p>
        </w:tc>
        <w:tc>
          <w:tcPr>
            <w:tcW w:w="1127" w:type="dxa"/>
            <w:noWrap/>
            <w:vAlign w:val="bottom"/>
          </w:tcPr>
          <w:p w14:paraId="57E9E508" w14:textId="77777777" w:rsidR="003A11FB" w:rsidRPr="00037A46" w:rsidRDefault="003A11FB" w:rsidP="003A11FB">
            <w:pPr>
              <w:spacing w:before="0" w:after="0"/>
              <w:ind w:left="-212"/>
              <w:jc w:val="right"/>
              <w:rPr>
                <w:bCs/>
              </w:rPr>
            </w:pPr>
            <w:r w:rsidRPr="00037A46">
              <w:rPr>
                <w:bCs/>
              </w:rPr>
              <w:t>25.700</w:t>
            </w:r>
          </w:p>
        </w:tc>
        <w:tc>
          <w:tcPr>
            <w:tcW w:w="1324" w:type="dxa"/>
            <w:noWrap/>
            <w:vAlign w:val="bottom"/>
          </w:tcPr>
          <w:p w14:paraId="4304575F" w14:textId="77777777" w:rsidR="003A11FB" w:rsidRPr="00037A46" w:rsidRDefault="003A11FB" w:rsidP="003A11FB">
            <w:pPr>
              <w:spacing w:before="0" w:after="0"/>
              <w:ind w:left="-212"/>
              <w:jc w:val="right"/>
              <w:rPr>
                <w:bCs/>
              </w:rPr>
            </w:pPr>
            <w:r w:rsidRPr="00037A46">
              <w:rPr>
                <w:bCs/>
              </w:rPr>
              <w:t>27.800</w:t>
            </w:r>
          </w:p>
        </w:tc>
      </w:tr>
      <w:tr w:rsidR="003A11FB" w:rsidRPr="00037A46" w14:paraId="4C50C067" w14:textId="77777777">
        <w:trPr>
          <w:trHeight w:val="315"/>
          <w:jc w:val="center"/>
        </w:trPr>
        <w:tc>
          <w:tcPr>
            <w:tcW w:w="1291" w:type="dxa"/>
            <w:shd w:val="clear" w:color="auto" w:fill="C0C0C0"/>
            <w:noWrap/>
            <w:vAlign w:val="bottom"/>
          </w:tcPr>
          <w:p w14:paraId="34518172" w14:textId="77777777" w:rsidR="003A11FB" w:rsidRPr="00037A46" w:rsidRDefault="003A11FB" w:rsidP="003A11FB">
            <w:pPr>
              <w:spacing w:before="0" w:after="0"/>
              <w:ind w:left="-212"/>
              <w:jc w:val="right"/>
              <w:rPr>
                <w:b/>
                <w:bCs/>
              </w:rPr>
            </w:pPr>
            <w:r w:rsidRPr="00037A46">
              <w:rPr>
                <w:b/>
                <w:bCs/>
              </w:rPr>
              <w:t>14</w:t>
            </w:r>
          </w:p>
        </w:tc>
        <w:tc>
          <w:tcPr>
            <w:tcW w:w="1242" w:type="dxa"/>
            <w:noWrap/>
            <w:vAlign w:val="bottom"/>
          </w:tcPr>
          <w:p w14:paraId="35DFCDAD" w14:textId="77777777" w:rsidR="003A11FB" w:rsidRPr="00037A46" w:rsidRDefault="003A11FB" w:rsidP="003A11FB">
            <w:pPr>
              <w:spacing w:before="0" w:after="0"/>
              <w:ind w:left="-212"/>
              <w:jc w:val="right"/>
              <w:rPr>
                <w:bCs/>
              </w:rPr>
            </w:pPr>
            <w:r w:rsidRPr="00037A46">
              <w:rPr>
                <w:bCs/>
              </w:rPr>
              <w:t>20.750</w:t>
            </w:r>
          </w:p>
        </w:tc>
        <w:tc>
          <w:tcPr>
            <w:tcW w:w="1109" w:type="dxa"/>
            <w:noWrap/>
            <w:vAlign w:val="bottom"/>
          </w:tcPr>
          <w:p w14:paraId="65E248D3" w14:textId="77777777" w:rsidR="003A11FB" w:rsidRPr="00037A46" w:rsidRDefault="003A11FB" w:rsidP="003A11FB">
            <w:pPr>
              <w:spacing w:before="0" w:after="0"/>
              <w:ind w:left="-212"/>
              <w:jc w:val="right"/>
              <w:rPr>
                <w:bCs/>
              </w:rPr>
            </w:pPr>
            <w:r w:rsidRPr="00037A46">
              <w:rPr>
                <w:bCs/>
              </w:rPr>
              <w:t>23.200</w:t>
            </w:r>
          </w:p>
        </w:tc>
        <w:tc>
          <w:tcPr>
            <w:tcW w:w="1118" w:type="dxa"/>
            <w:noWrap/>
            <w:vAlign w:val="bottom"/>
          </w:tcPr>
          <w:p w14:paraId="3510C4D5" w14:textId="77777777" w:rsidR="003A11FB" w:rsidRPr="00037A46" w:rsidRDefault="003A11FB" w:rsidP="003A11FB">
            <w:pPr>
              <w:spacing w:before="0" w:after="0"/>
              <w:ind w:left="-212"/>
              <w:jc w:val="right"/>
              <w:rPr>
                <w:bCs/>
              </w:rPr>
            </w:pPr>
            <w:r w:rsidRPr="00037A46">
              <w:rPr>
                <w:bCs/>
              </w:rPr>
              <w:t>25.100</w:t>
            </w:r>
          </w:p>
        </w:tc>
        <w:tc>
          <w:tcPr>
            <w:tcW w:w="1127" w:type="dxa"/>
            <w:noWrap/>
            <w:vAlign w:val="bottom"/>
          </w:tcPr>
          <w:p w14:paraId="5F5BF4B8" w14:textId="77777777" w:rsidR="003A11FB" w:rsidRPr="00037A46" w:rsidRDefault="003A11FB" w:rsidP="003A11FB">
            <w:pPr>
              <w:spacing w:before="0" w:after="0"/>
              <w:ind w:left="-212"/>
              <w:jc w:val="right"/>
              <w:rPr>
                <w:bCs/>
              </w:rPr>
            </w:pPr>
            <w:r w:rsidRPr="00037A46">
              <w:rPr>
                <w:bCs/>
              </w:rPr>
              <w:t>25.700</w:t>
            </w:r>
          </w:p>
        </w:tc>
        <w:tc>
          <w:tcPr>
            <w:tcW w:w="1324" w:type="dxa"/>
            <w:noWrap/>
            <w:vAlign w:val="bottom"/>
          </w:tcPr>
          <w:p w14:paraId="65C832C6" w14:textId="77777777" w:rsidR="003A11FB" w:rsidRPr="00037A46" w:rsidRDefault="003A11FB" w:rsidP="003A11FB">
            <w:pPr>
              <w:spacing w:before="0" w:after="0"/>
              <w:ind w:left="-212"/>
              <w:jc w:val="right"/>
              <w:rPr>
                <w:bCs/>
              </w:rPr>
            </w:pPr>
            <w:r w:rsidRPr="00037A46">
              <w:rPr>
                <w:bCs/>
              </w:rPr>
              <w:t>27.800</w:t>
            </w:r>
          </w:p>
        </w:tc>
      </w:tr>
      <w:tr w:rsidR="003A11FB" w:rsidRPr="00037A46" w14:paraId="1082B8A5" w14:textId="77777777">
        <w:trPr>
          <w:trHeight w:val="315"/>
          <w:jc w:val="center"/>
        </w:trPr>
        <w:tc>
          <w:tcPr>
            <w:tcW w:w="1291" w:type="dxa"/>
            <w:shd w:val="clear" w:color="auto" w:fill="C0C0C0"/>
            <w:noWrap/>
            <w:vAlign w:val="bottom"/>
          </w:tcPr>
          <w:p w14:paraId="50F20D87" w14:textId="77777777" w:rsidR="003A11FB" w:rsidRPr="00037A46" w:rsidRDefault="003A11FB" w:rsidP="003A11FB">
            <w:pPr>
              <w:spacing w:before="0" w:after="0"/>
              <w:ind w:left="-212"/>
              <w:jc w:val="right"/>
              <w:rPr>
                <w:b/>
                <w:bCs/>
              </w:rPr>
            </w:pPr>
            <w:r w:rsidRPr="00037A46">
              <w:rPr>
                <w:b/>
                <w:bCs/>
              </w:rPr>
              <w:t>15</w:t>
            </w:r>
          </w:p>
        </w:tc>
        <w:tc>
          <w:tcPr>
            <w:tcW w:w="1242" w:type="dxa"/>
            <w:noWrap/>
            <w:vAlign w:val="bottom"/>
          </w:tcPr>
          <w:p w14:paraId="70FDD346" w14:textId="77777777" w:rsidR="003A11FB" w:rsidRPr="00037A46" w:rsidRDefault="003A11FB" w:rsidP="003A11FB">
            <w:pPr>
              <w:spacing w:before="0" w:after="0"/>
              <w:ind w:left="-212"/>
              <w:jc w:val="right"/>
              <w:rPr>
                <w:bCs/>
              </w:rPr>
            </w:pPr>
            <w:r w:rsidRPr="00037A46">
              <w:rPr>
                <w:bCs/>
              </w:rPr>
              <w:t>21.250</w:t>
            </w:r>
          </w:p>
        </w:tc>
        <w:tc>
          <w:tcPr>
            <w:tcW w:w="1109" w:type="dxa"/>
            <w:noWrap/>
            <w:vAlign w:val="bottom"/>
          </w:tcPr>
          <w:p w14:paraId="549F1F76" w14:textId="77777777" w:rsidR="003A11FB" w:rsidRPr="00037A46" w:rsidRDefault="003A11FB" w:rsidP="003A11FB">
            <w:pPr>
              <w:spacing w:before="0" w:after="0"/>
              <w:ind w:left="-212"/>
              <w:jc w:val="right"/>
              <w:rPr>
                <w:bCs/>
              </w:rPr>
            </w:pPr>
            <w:r w:rsidRPr="00037A46">
              <w:rPr>
                <w:bCs/>
              </w:rPr>
              <w:t>23.800</w:t>
            </w:r>
          </w:p>
        </w:tc>
        <w:tc>
          <w:tcPr>
            <w:tcW w:w="1118" w:type="dxa"/>
            <w:noWrap/>
            <w:vAlign w:val="bottom"/>
          </w:tcPr>
          <w:p w14:paraId="7786D598" w14:textId="77777777" w:rsidR="003A11FB" w:rsidRPr="00037A46" w:rsidRDefault="003A11FB" w:rsidP="003A11FB">
            <w:pPr>
              <w:spacing w:before="0" w:after="0"/>
              <w:ind w:left="-212"/>
              <w:jc w:val="right"/>
              <w:rPr>
                <w:bCs/>
              </w:rPr>
            </w:pPr>
            <w:r w:rsidRPr="00037A46">
              <w:rPr>
                <w:bCs/>
              </w:rPr>
              <w:t>25.900</w:t>
            </w:r>
          </w:p>
        </w:tc>
        <w:tc>
          <w:tcPr>
            <w:tcW w:w="1127" w:type="dxa"/>
            <w:noWrap/>
            <w:vAlign w:val="bottom"/>
          </w:tcPr>
          <w:p w14:paraId="0ABD1F5C" w14:textId="77777777" w:rsidR="003A11FB" w:rsidRPr="00037A46" w:rsidRDefault="003A11FB" w:rsidP="003A11FB">
            <w:pPr>
              <w:spacing w:before="0" w:after="0"/>
              <w:ind w:left="-212"/>
              <w:jc w:val="right"/>
              <w:rPr>
                <w:bCs/>
              </w:rPr>
            </w:pPr>
            <w:r w:rsidRPr="00037A46">
              <w:rPr>
                <w:bCs/>
              </w:rPr>
              <w:t>26.500</w:t>
            </w:r>
          </w:p>
        </w:tc>
        <w:tc>
          <w:tcPr>
            <w:tcW w:w="1324" w:type="dxa"/>
            <w:noWrap/>
            <w:vAlign w:val="bottom"/>
          </w:tcPr>
          <w:p w14:paraId="1468B8B5" w14:textId="77777777" w:rsidR="003A11FB" w:rsidRPr="00037A46" w:rsidRDefault="003A11FB" w:rsidP="003A11FB">
            <w:pPr>
              <w:spacing w:before="0" w:after="0"/>
              <w:ind w:left="-212"/>
              <w:jc w:val="right"/>
              <w:rPr>
                <w:bCs/>
              </w:rPr>
            </w:pPr>
            <w:r w:rsidRPr="00037A46">
              <w:rPr>
                <w:bCs/>
              </w:rPr>
              <w:t>28.750</w:t>
            </w:r>
          </w:p>
        </w:tc>
      </w:tr>
      <w:tr w:rsidR="003A11FB" w:rsidRPr="00037A46" w14:paraId="76BFEF9E" w14:textId="77777777">
        <w:trPr>
          <w:trHeight w:val="315"/>
          <w:jc w:val="center"/>
        </w:trPr>
        <w:tc>
          <w:tcPr>
            <w:tcW w:w="1291" w:type="dxa"/>
            <w:shd w:val="clear" w:color="auto" w:fill="C0C0C0"/>
            <w:noWrap/>
            <w:vAlign w:val="bottom"/>
          </w:tcPr>
          <w:p w14:paraId="01F250F6" w14:textId="77777777" w:rsidR="003A11FB" w:rsidRPr="00037A46" w:rsidRDefault="003A11FB" w:rsidP="003A11FB">
            <w:pPr>
              <w:spacing w:before="0" w:after="0"/>
              <w:ind w:left="-212"/>
              <w:jc w:val="right"/>
              <w:rPr>
                <w:b/>
                <w:bCs/>
              </w:rPr>
            </w:pPr>
            <w:r w:rsidRPr="00037A46">
              <w:rPr>
                <w:b/>
                <w:bCs/>
              </w:rPr>
              <w:t>16</w:t>
            </w:r>
          </w:p>
        </w:tc>
        <w:tc>
          <w:tcPr>
            <w:tcW w:w="1242" w:type="dxa"/>
            <w:noWrap/>
            <w:vAlign w:val="bottom"/>
          </w:tcPr>
          <w:p w14:paraId="481897A0" w14:textId="77777777" w:rsidR="003A11FB" w:rsidRPr="00037A46" w:rsidRDefault="003A11FB" w:rsidP="003A11FB">
            <w:pPr>
              <w:spacing w:before="0" w:after="0"/>
              <w:ind w:left="-212"/>
              <w:jc w:val="right"/>
              <w:rPr>
                <w:bCs/>
              </w:rPr>
            </w:pPr>
            <w:r w:rsidRPr="00037A46">
              <w:rPr>
                <w:bCs/>
              </w:rPr>
              <w:t>21.250</w:t>
            </w:r>
          </w:p>
        </w:tc>
        <w:tc>
          <w:tcPr>
            <w:tcW w:w="1109" w:type="dxa"/>
            <w:noWrap/>
            <w:vAlign w:val="bottom"/>
          </w:tcPr>
          <w:p w14:paraId="727DC00C" w14:textId="77777777" w:rsidR="003A11FB" w:rsidRPr="00037A46" w:rsidRDefault="003A11FB" w:rsidP="003A11FB">
            <w:pPr>
              <w:spacing w:before="0" w:after="0"/>
              <w:ind w:left="-212"/>
              <w:jc w:val="right"/>
              <w:rPr>
                <w:bCs/>
              </w:rPr>
            </w:pPr>
            <w:r w:rsidRPr="00037A46">
              <w:rPr>
                <w:bCs/>
              </w:rPr>
              <w:t>23.800</w:t>
            </w:r>
          </w:p>
        </w:tc>
        <w:tc>
          <w:tcPr>
            <w:tcW w:w="1118" w:type="dxa"/>
            <w:noWrap/>
            <w:vAlign w:val="bottom"/>
          </w:tcPr>
          <w:p w14:paraId="5D3D84EB" w14:textId="77777777" w:rsidR="003A11FB" w:rsidRPr="00037A46" w:rsidRDefault="003A11FB" w:rsidP="003A11FB">
            <w:pPr>
              <w:spacing w:before="0" w:after="0"/>
              <w:ind w:left="-212"/>
              <w:jc w:val="right"/>
              <w:rPr>
                <w:bCs/>
              </w:rPr>
            </w:pPr>
            <w:r w:rsidRPr="00037A46">
              <w:rPr>
                <w:bCs/>
              </w:rPr>
              <w:t>25.900</w:t>
            </w:r>
          </w:p>
        </w:tc>
        <w:tc>
          <w:tcPr>
            <w:tcW w:w="1127" w:type="dxa"/>
            <w:noWrap/>
            <w:vAlign w:val="bottom"/>
          </w:tcPr>
          <w:p w14:paraId="1C210F41" w14:textId="77777777" w:rsidR="003A11FB" w:rsidRPr="00037A46" w:rsidRDefault="003A11FB" w:rsidP="003A11FB">
            <w:pPr>
              <w:spacing w:before="0" w:after="0"/>
              <w:ind w:left="-212"/>
              <w:jc w:val="right"/>
              <w:rPr>
                <w:bCs/>
              </w:rPr>
            </w:pPr>
            <w:r w:rsidRPr="00037A46">
              <w:rPr>
                <w:bCs/>
              </w:rPr>
              <w:t>26.500</w:t>
            </w:r>
          </w:p>
        </w:tc>
        <w:tc>
          <w:tcPr>
            <w:tcW w:w="1324" w:type="dxa"/>
            <w:noWrap/>
            <w:vAlign w:val="bottom"/>
          </w:tcPr>
          <w:p w14:paraId="3B52E8F6" w14:textId="77777777" w:rsidR="003A11FB" w:rsidRPr="00037A46" w:rsidRDefault="003A11FB" w:rsidP="003A11FB">
            <w:pPr>
              <w:spacing w:before="0" w:after="0"/>
              <w:ind w:left="-212"/>
              <w:jc w:val="right"/>
              <w:rPr>
                <w:bCs/>
              </w:rPr>
            </w:pPr>
            <w:r w:rsidRPr="00037A46">
              <w:rPr>
                <w:bCs/>
              </w:rPr>
              <w:t>28.750</w:t>
            </w:r>
          </w:p>
        </w:tc>
      </w:tr>
      <w:tr w:rsidR="003A11FB" w:rsidRPr="00037A46" w14:paraId="03017DA4" w14:textId="77777777">
        <w:trPr>
          <w:trHeight w:val="315"/>
          <w:jc w:val="center"/>
        </w:trPr>
        <w:tc>
          <w:tcPr>
            <w:tcW w:w="1291" w:type="dxa"/>
            <w:shd w:val="clear" w:color="auto" w:fill="C0C0C0"/>
            <w:noWrap/>
            <w:vAlign w:val="bottom"/>
          </w:tcPr>
          <w:p w14:paraId="3C5880D3" w14:textId="77777777" w:rsidR="003A11FB" w:rsidRPr="00037A46" w:rsidRDefault="003A11FB" w:rsidP="003A11FB">
            <w:pPr>
              <w:spacing w:before="0" w:after="0"/>
              <w:ind w:left="-212"/>
              <w:jc w:val="right"/>
              <w:rPr>
                <w:b/>
                <w:bCs/>
              </w:rPr>
            </w:pPr>
            <w:r w:rsidRPr="00037A46">
              <w:rPr>
                <w:b/>
                <w:bCs/>
              </w:rPr>
              <w:t>17</w:t>
            </w:r>
          </w:p>
        </w:tc>
        <w:tc>
          <w:tcPr>
            <w:tcW w:w="1242" w:type="dxa"/>
            <w:noWrap/>
            <w:vAlign w:val="bottom"/>
          </w:tcPr>
          <w:p w14:paraId="2A530561" w14:textId="77777777" w:rsidR="003A11FB" w:rsidRPr="00037A46" w:rsidRDefault="003A11FB" w:rsidP="003A11FB">
            <w:pPr>
              <w:spacing w:before="0" w:after="0"/>
              <w:ind w:left="-212"/>
              <w:jc w:val="right"/>
              <w:rPr>
                <w:bCs/>
              </w:rPr>
            </w:pPr>
            <w:r w:rsidRPr="00037A46">
              <w:rPr>
                <w:bCs/>
              </w:rPr>
              <w:t>21.750</w:t>
            </w:r>
          </w:p>
        </w:tc>
        <w:tc>
          <w:tcPr>
            <w:tcW w:w="1109" w:type="dxa"/>
            <w:noWrap/>
            <w:vAlign w:val="bottom"/>
          </w:tcPr>
          <w:p w14:paraId="4E023533" w14:textId="77777777" w:rsidR="003A11FB" w:rsidRPr="00037A46" w:rsidRDefault="003A11FB" w:rsidP="003A11FB">
            <w:pPr>
              <w:spacing w:before="0" w:after="0"/>
              <w:ind w:left="-212"/>
              <w:jc w:val="right"/>
              <w:rPr>
                <w:bCs/>
              </w:rPr>
            </w:pPr>
            <w:r w:rsidRPr="00037A46">
              <w:rPr>
                <w:bCs/>
              </w:rPr>
              <w:t>24.400</w:t>
            </w:r>
          </w:p>
        </w:tc>
        <w:tc>
          <w:tcPr>
            <w:tcW w:w="1118" w:type="dxa"/>
            <w:noWrap/>
            <w:vAlign w:val="bottom"/>
          </w:tcPr>
          <w:p w14:paraId="45BFD2FF" w14:textId="77777777" w:rsidR="003A11FB" w:rsidRPr="00037A46" w:rsidRDefault="003A11FB" w:rsidP="003A11FB">
            <w:pPr>
              <w:spacing w:before="0" w:after="0"/>
              <w:ind w:left="-212"/>
              <w:jc w:val="right"/>
              <w:rPr>
                <w:bCs/>
              </w:rPr>
            </w:pPr>
            <w:r w:rsidRPr="00037A46">
              <w:rPr>
                <w:bCs/>
              </w:rPr>
              <w:t>26.650</w:t>
            </w:r>
          </w:p>
        </w:tc>
        <w:tc>
          <w:tcPr>
            <w:tcW w:w="1127" w:type="dxa"/>
            <w:noWrap/>
            <w:vAlign w:val="bottom"/>
          </w:tcPr>
          <w:p w14:paraId="6B0E68EF" w14:textId="77777777" w:rsidR="003A11FB" w:rsidRPr="00037A46" w:rsidRDefault="003A11FB" w:rsidP="003A11FB">
            <w:pPr>
              <w:spacing w:before="0" w:after="0"/>
              <w:ind w:left="-212"/>
              <w:jc w:val="right"/>
              <w:rPr>
                <w:bCs/>
              </w:rPr>
            </w:pPr>
            <w:r w:rsidRPr="00037A46">
              <w:rPr>
                <w:bCs/>
              </w:rPr>
              <w:t>27.300</w:t>
            </w:r>
          </w:p>
        </w:tc>
        <w:tc>
          <w:tcPr>
            <w:tcW w:w="1324" w:type="dxa"/>
            <w:noWrap/>
            <w:vAlign w:val="bottom"/>
          </w:tcPr>
          <w:p w14:paraId="22DC9309" w14:textId="77777777" w:rsidR="003A11FB" w:rsidRPr="00037A46" w:rsidRDefault="003A11FB" w:rsidP="003A11FB">
            <w:pPr>
              <w:spacing w:before="0" w:after="0"/>
              <w:ind w:left="-212"/>
              <w:jc w:val="right"/>
              <w:rPr>
                <w:bCs/>
              </w:rPr>
            </w:pPr>
            <w:r w:rsidRPr="00037A46">
              <w:rPr>
                <w:bCs/>
              </w:rPr>
              <w:t>29.650</w:t>
            </w:r>
          </w:p>
        </w:tc>
      </w:tr>
      <w:tr w:rsidR="003A11FB" w:rsidRPr="00037A46" w14:paraId="293E0D35" w14:textId="77777777">
        <w:trPr>
          <w:trHeight w:val="315"/>
          <w:jc w:val="center"/>
        </w:trPr>
        <w:tc>
          <w:tcPr>
            <w:tcW w:w="1291" w:type="dxa"/>
            <w:shd w:val="clear" w:color="auto" w:fill="C0C0C0"/>
            <w:noWrap/>
            <w:vAlign w:val="bottom"/>
          </w:tcPr>
          <w:p w14:paraId="6B3DA6FC" w14:textId="77777777" w:rsidR="003A11FB" w:rsidRPr="00037A46" w:rsidRDefault="003A11FB" w:rsidP="003A11FB">
            <w:pPr>
              <w:spacing w:before="0" w:after="0"/>
              <w:ind w:left="-212"/>
              <w:jc w:val="right"/>
              <w:rPr>
                <w:b/>
                <w:bCs/>
              </w:rPr>
            </w:pPr>
            <w:r w:rsidRPr="00037A46">
              <w:rPr>
                <w:b/>
                <w:bCs/>
              </w:rPr>
              <w:t>18</w:t>
            </w:r>
          </w:p>
        </w:tc>
        <w:tc>
          <w:tcPr>
            <w:tcW w:w="1242" w:type="dxa"/>
            <w:noWrap/>
            <w:vAlign w:val="bottom"/>
          </w:tcPr>
          <w:p w14:paraId="373C0A69" w14:textId="77777777" w:rsidR="003A11FB" w:rsidRPr="00037A46" w:rsidRDefault="003A11FB" w:rsidP="003A11FB">
            <w:pPr>
              <w:spacing w:before="0" w:after="0"/>
              <w:ind w:left="-212"/>
              <w:jc w:val="right"/>
              <w:rPr>
                <w:bCs/>
              </w:rPr>
            </w:pPr>
            <w:r w:rsidRPr="00037A46">
              <w:rPr>
                <w:bCs/>
              </w:rPr>
              <w:t>21.750</w:t>
            </w:r>
          </w:p>
        </w:tc>
        <w:tc>
          <w:tcPr>
            <w:tcW w:w="1109" w:type="dxa"/>
            <w:noWrap/>
            <w:vAlign w:val="bottom"/>
          </w:tcPr>
          <w:p w14:paraId="1568281A" w14:textId="77777777" w:rsidR="003A11FB" w:rsidRPr="00037A46" w:rsidRDefault="003A11FB" w:rsidP="003A11FB">
            <w:pPr>
              <w:spacing w:before="0" w:after="0"/>
              <w:ind w:left="-212"/>
              <w:jc w:val="right"/>
              <w:rPr>
                <w:bCs/>
              </w:rPr>
            </w:pPr>
            <w:r w:rsidRPr="00037A46">
              <w:rPr>
                <w:bCs/>
              </w:rPr>
              <w:t>24.400</w:t>
            </w:r>
          </w:p>
        </w:tc>
        <w:tc>
          <w:tcPr>
            <w:tcW w:w="1118" w:type="dxa"/>
            <w:noWrap/>
            <w:vAlign w:val="bottom"/>
          </w:tcPr>
          <w:p w14:paraId="57D72BA2" w14:textId="77777777" w:rsidR="003A11FB" w:rsidRPr="00037A46" w:rsidRDefault="003A11FB" w:rsidP="003A11FB">
            <w:pPr>
              <w:spacing w:before="0" w:after="0"/>
              <w:ind w:left="-212"/>
              <w:jc w:val="right"/>
              <w:rPr>
                <w:bCs/>
              </w:rPr>
            </w:pPr>
            <w:r w:rsidRPr="00037A46">
              <w:rPr>
                <w:bCs/>
              </w:rPr>
              <w:t>26.650</w:t>
            </w:r>
          </w:p>
        </w:tc>
        <w:tc>
          <w:tcPr>
            <w:tcW w:w="1127" w:type="dxa"/>
            <w:noWrap/>
            <w:vAlign w:val="bottom"/>
          </w:tcPr>
          <w:p w14:paraId="74B1DCE9" w14:textId="77777777" w:rsidR="003A11FB" w:rsidRPr="00037A46" w:rsidRDefault="003A11FB" w:rsidP="003A11FB">
            <w:pPr>
              <w:spacing w:before="0" w:after="0"/>
              <w:ind w:left="-212"/>
              <w:jc w:val="right"/>
              <w:rPr>
                <w:bCs/>
              </w:rPr>
            </w:pPr>
            <w:r w:rsidRPr="00037A46">
              <w:rPr>
                <w:bCs/>
              </w:rPr>
              <w:t>27.300</w:t>
            </w:r>
          </w:p>
        </w:tc>
        <w:tc>
          <w:tcPr>
            <w:tcW w:w="1324" w:type="dxa"/>
            <w:noWrap/>
            <w:vAlign w:val="bottom"/>
          </w:tcPr>
          <w:p w14:paraId="6674C889" w14:textId="77777777" w:rsidR="003A11FB" w:rsidRPr="00037A46" w:rsidRDefault="003A11FB" w:rsidP="003A11FB">
            <w:pPr>
              <w:spacing w:before="0" w:after="0"/>
              <w:ind w:left="-212"/>
              <w:jc w:val="right"/>
              <w:rPr>
                <w:bCs/>
              </w:rPr>
            </w:pPr>
            <w:r w:rsidRPr="00037A46">
              <w:rPr>
                <w:bCs/>
              </w:rPr>
              <w:t>29.650</w:t>
            </w:r>
          </w:p>
        </w:tc>
      </w:tr>
      <w:tr w:rsidR="003A11FB" w:rsidRPr="00037A46" w14:paraId="2C34F167" w14:textId="77777777">
        <w:trPr>
          <w:trHeight w:val="315"/>
          <w:jc w:val="center"/>
        </w:trPr>
        <w:tc>
          <w:tcPr>
            <w:tcW w:w="1291" w:type="dxa"/>
            <w:shd w:val="clear" w:color="auto" w:fill="C0C0C0"/>
            <w:noWrap/>
            <w:vAlign w:val="bottom"/>
          </w:tcPr>
          <w:p w14:paraId="4C8D7123" w14:textId="77777777" w:rsidR="003A11FB" w:rsidRPr="00037A46" w:rsidRDefault="003A11FB" w:rsidP="003A11FB">
            <w:pPr>
              <w:spacing w:before="0" w:after="0"/>
              <w:ind w:left="-212"/>
              <w:jc w:val="right"/>
              <w:rPr>
                <w:b/>
                <w:bCs/>
              </w:rPr>
            </w:pPr>
            <w:r w:rsidRPr="00037A46">
              <w:rPr>
                <w:b/>
                <w:bCs/>
              </w:rPr>
              <w:t>19</w:t>
            </w:r>
          </w:p>
        </w:tc>
        <w:tc>
          <w:tcPr>
            <w:tcW w:w="1242" w:type="dxa"/>
            <w:noWrap/>
            <w:vAlign w:val="bottom"/>
          </w:tcPr>
          <w:p w14:paraId="693A1F1C" w14:textId="77777777" w:rsidR="003A11FB" w:rsidRPr="00037A46" w:rsidRDefault="003A11FB" w:rsidP="003A11FB">
            <w:pPr>
              <w:spacing w:before="0" w:after="0"/>
              <w:ind w:left="-212"/>
              <w:jc w:val="right"/>
              <w:rPr>
                <w:bCs/>
              </w:rPr>
            </w:pPr>
            <w:r w:rsidRPr="00037A46">
              <w:rPr>
                <w:bCs/>
              </w:rPr>
              <w:t>22.250</w:t>
            </w:r>
          </w:p>
        </w:tc>
        <w:tc>
          <w:tcPr>
            <w:tcW w:w="1109" w:type="dxa"/>
            <w:noWrap/>
            <w:vAlign w:val="bottom"/>
          </w:tcPr>
          <w:p w14:paraId="75C85560" w14:textId="77777777" w:rsidR="003A11FB" w:rsidRPr="00037A46" w:rsidRDefault="003A11FB" w:rsidP="003A11FB">
            <w:pPr>
              <w:spacing w:before="0" w:after="0"/>
              <w:ind w:left="-212"/>
              <w:jc w:val="right"/>
              <w:rPr>
                <w:bCs/>
              </w:rPr>
            </w:pPr>
            <w:r w:rsidRPr="00037A46">
              <w:rPr>
                <w:bCs/>
              </w:rPr>
              <w:t>25.050</w:t>
            </w:r>
          </w:p>
        </w:tc>
        <w:tc>
          <w:tcPr>
            <w:tcW w:w="1118" w:type="dxa"/>
            <w:noWrap/>
            <w:vAlign w:val="bottom"/>
          </w:tcPr>
          <w:p w14:paraId="21804CC5" w14:textId="77777777" w:rsidR="003A11FB" w:rsidRPr="00037A46" w:rsidRDefault="003A11FB" w:rsidP="003A11FB">
            <w:pPr>
              <w:spacing w:before="0" w:after="0"/>
              <w:ind w:left="-212"/>
              <w:jc w:val="right"/>
              <w:rPr>
                <w:bCs/>
              </w:rPr>
            </w:pPr>
            <w:r w:rsidRPr="00037A46">
              <w:rPr>
                <w:bCs/>
              </w:rPr>
              <w:t>27.450</w:t>
            </w:r>
          </w:p>
        </w:tc>
        <w:tc>
          <w:tcPr>
            <w:tcW w:w="1127" w:type="dxa"/>
            <w:noWrap/>
            <w:vAlign w:val="bottom"/>
          </w:tcPr>
          <w:p w14:paraId="520DF603" w14:textId="77777777" w:rsidR="003A11FB" w:rsidRPr="00037A46" w:rsidRDefault="003A11FB" w:rsidP="003A11FB">
            <w:pPr>
              <w:spacing w:before="0" w:after="0"/>
              <w:ind w:left="-212"/>
              <w:jc w:val="right"/>
              <w:rPr>
                <w:bCs/>
              </w:rPr>
            </w:pPr>
            <w:r w:rsidRPr="00037A46">
              <w:rPr>
                <w:bCs/>
              </w:rPr>
              <w:t>28.150</w:t>
            </w:r>
          </w:p>
        </w:tc>
        <w:tc>
          <w:tcPr>
            <w:tcW w:w="1324" w:type="dxa"/>
            <w:noWrap/>
            <w:vAlign w:val="bottom"/>
          </w:tcPr>
          <w:p w14:paraId="7CA39FC3" w14:textId="77777777" w:rsidR="003A11FB" w:rsidRPr="00037A46" w:rsidRDefault="003A11FB" w:rsidP="003A11FB">
            <w:pPr>
              <w:spacing w:before="0" w:after="0"/>
              <w:ind w:left="-212"/>
              <w:jc w:val="right"/>
              <w:rPr>
                <w:bCs/>
              </w:rPr>
            </w:pPr>
            <w:r w:rsidRPr="00037A46">
              <w:rPr>
                <w:bCs/>
              </w:rPr>
              <w:t>30.550</w:t>
            </w:r>
          </w:p>
        </w:tc>
      </w:tr>
      <w:tr w:rsidR="003A11FB" w:rsidRPr="00037A46" w14:paraId="5182C809" w14:textId="77777777">
        <w:trPr>
          <w:trHeight w:val="315"/>
          <w:jc w:val="center"/>
        </w:trPr>
        <w:tc>
          <w:tcPr>
            <w:tcW w:w="1291" w:type="dxa"/>
            <w:shd w:val="clear" w:color="auto" w:fill="C0C0C0"/>
            <w:noWrap/>
            <w:vAlign w:val="bottom"/>
          </w:tcPr>
          <w:p w14:paraId="061DD61C" w14:textId="77777777" w:rsidR="003A11FB" w:rsidRPr="00037A46" w:rsidRDefault="003A11FB" w:rsidP="003A11FB">
            <w:pPr>
              <w:spacing w:before="0" w:after="0"/>
              <w:ind w:left="-212"/>
              <w:jc w:val="right"/>
              <w:rPr>
                <w:b/>
                <w:bCs/>
              </w:rPr>
            </w:pPr>
            <w:r w:rsidRPr="00037A46">
              <w:rPr>
                <w:b/>
                <w:bCs/>
              </w:rPr>
              <w:t>20</w:t>
            </w:r>
          </w:p>
        </w:tc>
        <w:tc>
          <w:tcPr>
            <w:tcW w:w="1242" w:type="dxa"/>
            <w:noWrap/>
            <w:vAlign w:val="bottom"/>
          </w:tcPr>
          <w:p w14:paraId="41ABB3E8" w14:textId="77777777" w:rsidR="003A11FB" w:rsidRPr="00037A46" w:rsidRDefault="003A11FB" w:rsidP="003A11FB">
            <w:pPr>
              <w:spacing w:before="0" w:after="0"/>
              <w:ind w:left="-212"/>
              <w:jc w:val="right"/>
              <w:rPr>
                <w:bCs/>
              </w:rPr>
            </w:pPr>
            <w:r w:rsidRPr="00037A46">
              <w:rPr>
                <w:bCs/>
              </w:rPr>
              <w:t>22.250</w:t>
            </w:r>
          </w:p>
        </w:tc>
        <w:tc>
          <w:tcPr>
            <w:tcW w:w="1109" w:type="dxa"/>
            <w:noWrap/>
            <w:vAlign w:val="bottom"/>
          </w:tcPr>
          <w:p w14:paraId="7321ACE9" w14:textId="77777777" w:rsidR="003A11FB" w:rsidRPr="00037A46" w:rsidRDefault="003A11FB" w:rsidP="003A11FB">
            <w:pPr>
              <w:spacing w:before="0" w:after="0"/>
              <w:ind w:left="-212"/>
              <w:jc w:val="right"/>
              <w:rPr>
                <w:bCs/>
              </w:rPr>
            </w:pPr>
            <w:r w:rsidRPr="00037A46">
              <w:rPr>
                <w:bCs/>
              </w:rPr>
              <w:t>25.050</w:t>
            </w:r>
          </w:p>
        </w:tc>
        <w:tc>
          <w:tcPr>
            <w:tcW w:w="1118" w:type="dxa"/>
            <w:noWrap/>
            <w:vAlign w:val="bottom"/>
          </w:tcPr>
          <w:p w14:paraId="6DF35A7B" w14:textId="77777777" w:rsidR="003A11FB" w:rsidRPr="00037A46" w:rsidRDefault="003A11FB" w:rsidP="003A11FB">
            <w:pPr>
              <w:spacing w:before="0" w:after="0"/>
              <w:ind w:left="-212"/>
              <w:jc w:val="right"/>
              <w:rPr>
                <w:bCs/>
              </w:rPr>
            </w:pPr>
            <w:r w:rsidRPr="00037A46">
              <w:rPr>
                <w:bCs/>
              </w:rPr>
              <w:t>27.450</w:t>
            </w:r>
          </w:p>
        </w:tc>
        <w:tc>
          <w:tcPr>
            <w:tcW w:w="1127" w:type="dxa"/>
            <w:noWrap/>
            <w:vAlign w:val="bottom"/>
          </w:tcPr>
          <w:p w14:paraId="2BE319FE" w14:textId="77777777" w:rsidR="003A11FB" w:rsidRPr="00037A46" w:rsidRDefault="003A11FB" w:rsidP="003A11FB">
            <w:pPr>
              <w:spacing w:before="0" w:after="0"/>
              <w:ind w:left="-212"/>
              <w:jc w:val="right"/>
              <w:rPr>
                <w:bCs/>
              </w:rPr>
            </w:pPr>
            <w:r w:rsidRPr="00037A46">
              <w:rPr>
                <w:bCs/>
              </w:rPr>
              <w:t>28.150</w:t>
            </w:r>
          </w:p>
        </w:tc>
        <w:tc>
          <w:tcPr>
            <w:tcW w:w="1324" w:type="dxa"/>
            <w:noWrap/>
            <w:vAlign w:val="bottom"/>
          </w:tcPr>
          <w:p w14:paraId="4269021C" w14:textId="77777777" w:rsidR="003A11FB" w:rsidRPr="00037A46" w:rsidRDefault="003A11FB" w:rsidP="003A11FB">
            <w:pPr>
              <w:spacing w:before="0" w:after="0"/>
              <w:ind w:left="-212"/>
              <w:jc w:val="right"/>
              <w:rPr>
                <w:bCs/>
              </w:rPr>
            </w:pPr>
            <w:r w:rsidRPr="00037A46">
              <w:rPr>
                <w:bCs/>
              </w:rPr>
              <w:t>30.550</w:t>
            </w:r>
          </w:p>
        </w:tc>
      </w:tr>
      <w:tr w:rsidR="003A11FB" w:rsidRPr="00037A46" w14:paraId="4BEC9593" w14:textId="77777777">
        <w:trPr>
          <w:trHeight w:val="315"/>
          <w:jc w:val="center"/>
        </w:trPr>
        <w:tc>
          <w:tcPr>
            <w:tcW w:w="1291" w:type="dxa"/>
            <w:shd w:val="clear" w:color="auto" w:fill="C0C0C0"/>
            <w:noWrap/>
            <w:vAlign w:val="bottom"/>
          </w:tcPr>
          <w:p w14:paraId="2140CF46" w14:textId="77777777" w:rsidR="003A11FB" w:rsidRPr="00037A46" w:rsidRDefault="003A11FB" w:rsidP="003A11FB">
            <w:pPr>
              <w:spacing w:before="0" w:after="0"/>
              <w:ind w:left="-212"/>
              <w:jc w:val="right"/>
              <w:rPr>
                <w:b/>
                <w:bCs/>
              </w:rPr>
            </w:pPr>
            <w:r w:rsidRPr="00037A46">
              <w:rPr>
                <w:b/>
                <w:bCs/>
              </w:rPr>
              <w:t>21</w:t>
            </w:r>
          </w:p>
        </w:tc>
        <w:tc>
          <w:tcPr>
            <w:tcW w:w="1242" w:type="dxa"/>
            <w:noWrap/>
            <w:vAlign w:val="bottom"/>
          </w:tcPr>
          <w:p w14:paraId="4E5C6747" w14:textId="77777777" w:rsidR="003A11FB" w:rsidRPr="00037A46" w:rsidRDefault="003A11FB" w:rsidP="003A11FB">
            <w:pPr>
              <w:spacing w:before="0" w:after="0"/>
              <w:ind w:left="-212"/>
              <w:jc w:val="right"/>
              <w:rPr>
                <w:bCs/>
              </w:rPr>
            </w:pPr>
            <w:r w:rsidRPr="00037A46">
              <w:rPr>
                <w:bCs/>
              </w:rPr>
              <w:t>22.750</w:t>
            </w:r>
          </w:p>
        </w:tc>
        <w:tc>
          <w:tcPr>
            <w:tcW w:w="1109" w:type="dxa"/>
            <w:noWrap/>
            <w:vAlign w:val="bottom"/>
          </w:tcPr>
          <w:p w14:paraId="49F2E722" w14:textId="77777777" w:rsidR="003A11FB" w:rsidRPr="00037A46" w:rsidRDefault="003A11FB" w:rsidP="003A11FB">
            <w:pPr>
              <w:spacing w:before="0" w:after="0"/>
              <w:ind w:left="-212"/>
              <w:jc w:val="right"/>
              <w:rPr>
                <w:bCs/>
              </w:rPr>
            </w:pPr>
            <w:r w:rsidRPr="00037A46">
              <w:rPr>
                <w:bCs/>
              </w:rPr>
              <w:t>25.650</w:t>
            </w:r>
          </w:p>
        </w:tc>
        <w:tc>
          <w:tcPr>
            <w:tcW w:w="1118" w:type="dxa"/>
            <w:noWrap/>
            <w:vAlign w:val="bottom"/>
          </w:tcPr>
          <w:p w14:paraId="0699E31D" w14:textId="77777777" w:rsidR="003A11FB" w:rsidRPr="00037A46" w:rsidRDefault="003A11FB" w:rsidP="003A11FB">
            <w:pPr>
              <w:spacing w:before="0" w:after="0"/>
              <w:ind w:left="-212"/>
              <w:jc w:val="right"/>
              <w:rPr>
                <w:bCs/>
              </w:rPr>
            </w:pPr>
            <w:r w:rsidRPr="00037A46">
              <w:rPr>
                <w:bCs/>
              </w:rPr>
              <w:t>28.250</w:t>
            </w:r>
          </w:p>
        </w:tc>
        <w:tc>
          <w:tcPr>
            <w:tcW w:w="1127" w:type="dxa"/>
            <w:noWrap/>
            <w:vAlign w:val="bottom"/>
          </w:tcPr>
          <w:p w14:paraId="58AA8841" w14:textId="77777777" w:rsidR="003A11FB" w:rsidRPr="00037A46" w:rsidRDefault="003A11FB" w:rsidP="003A11FB">
            <w:pPr>
              <w:spacing w:before="0" w:after="0"/>
              <w:ind w:left="-212"/>
              <w:jc w:val="right"/>
              <w:rPr>
                <w:bCs/>
              </w:rPr>
            </w:pPr>
            <w:r w:rsidRPr="00037A46">
              <w:rPr>
                <w:bCs/>
              </w:rPr>
              <w:t>28.950</w:t>
            </w:r>
          </w:p>
        </w:tc>
        <w:tc>
          <w:tcPr>
            <w:tcW w:w="1324" w:type="dxa"/>
            <w:noWrap/>
            <w:vAlign w:val="bottom"/>
          </w:tcPr>
          <w:p w14:paraId="213A12B6" w14:textId="77777777" w:rsidR="003A11FB" w:rsidRPr="00037A46" w:rsidRDefault="003A11FB" w:rsidP="003A11FB">
            <w:pPr>
              <w:spacing w:before="0" w:after="0"/>
              <w:ind w:left="-212"/>
              <w:jc w:val="right"/>
              <w:rPr>
                <w:bCs/>
              </w:rPr>
            </w:pPr>
            <w:r w:rsidRPr="00037A46">
              <w:rPr>
                <w:bCs/>
              </w:rPr>
              <w:t>31.500</w:t>
            </w:r>
          </w:p>
        </w:tc>
      </w:tr>
      <w:tr w:rsidR="003A11FB" w:rsidRPr="00037A46" w14:paraId="13AABE2A" w14:textId="77777777">
        <w:trPr>
          <w:trHeight w:val="315"/>
          <w:jc w:val="center"/>
        </w:trPr>
        <w:tc>
          <w:tcPr>
            <w:tcW w:w="1291" w:type="dxa"/>
            <w:shd w:val="clear" w:color="auto" w:fill="C0C0C0"/>
            <w:noWrap/>
            <w:vAlign w:val="bottom"/>
          </w:tcPr>
          <w:p w14:paraId="4E3310DA" w14:textId="77777777" w:rsidR="003A11FB" w:rsidRPr="00037A46" w:rsidRDefault="003A11FB" w:rsidP="003A11FB">
            <w:pPr>
              <w:spacing w:before="0" w:after="0"/>
              <w:ind w:left="-212"/>
              <w:jc w:val="right"/>
              <w:rPr>
                <w:b/>
                <w:bCs/>
              </w:rPr>
            </w:pPr>
            <w:r w:rsidRPr="00037A46">
              <w:rPr>
                <w:b/>
                <w:bCs/>
              </w:rPr>
              <w:t>22</w:t>
            </w:r>
          </w:p>
        </w:tc>
        <w:tc>
          <w:tcPr>
            <w:tcW w:w="1242" w:type="dxa"/>
            <w:noWrap/>
            <w:vAlign w:val="bottom"/>
          </w:tcPr>
          <w:p w14:paraId="181A5CFB" w14:textId="77777777" w:rsidR="003A11FB" w:rsidRPr="00037A46" w:rsidRDefault="003A11FB" w:rsidP="003A11FB">
            <w:pPr>
              <w:spacing w:before="0" w:after="0"/>
              <w:ind w:left="-212"/>
              <w:jc w:val="right"/>
              <w:rPr>
                <w:bCs/>
              </w:rPr>
            </w:pPr>
            <w:r w:rsidRPr="00037A46">
              <w:rPr>
                <w:bCs/>
              </w:rPr>
              <w:t>22.750</w:t>
            </w:r>
          </w:p>
        </w:tc>
        <w:tc>
          <w:tcPr>
            <w:tcW w:w="1109" w:type="dxa"/>
            <w:noWrap/>
            <w:vAlign w:val="bottom"/>
          </w:tcPr>
          <w:p w14:paraId="466DBE3C" w14:textId="77777777" w:rsidR="003A11FB" w:rsidRPr="00037A46" w:rsidRDefault="003A11FB" w:rsidP="003A11FB">
            <w:pPr>
              <w:spacing w:before="0" w:after="0"/>
              <w:ind w:left="-212"/>
              <w:jc w:val="right"/>
              <w:rPr>
                <w:bCs/>
              </w:rPr>
            </w:pPr>
            <w:r w:rsidRPr="00037A46">
              <w:rPr>
                <w:bCs/>
              </w:rPr>
              <w:t>25.650</w:t>
            </w:r>
          </w:p>
        </w:tc>
        <w:tc>
          <w:tcPr>
            <w:tcW w:w="1118" w:type="dxa"/>
            <w:noWrap/>
            <w:vAlign w:val="bottom"/>
          </w:tcPr>
          <w:p w14:paraId="7B27CE59" w14:textId="77777777" w:rsidR="003A11FB" w:rsidRPr="00037A46" w:rsidRDefault="003A11FB" w:rsidP="003A11FB">
            <w:pPr>
              <w:spacing w:before="0" w:after="0"/>
              <w:ind w:left="-212"/>
              <w:jc w:val="right"/>
              <w:rPr>
                <w:bCs/>
              </w:rPr>
            </w:pPr>
            <w:r w:rsidRPr="00037A46">
              <w:rPr>
                <w:bCs/>
              </w:rPr>
              <w:t>28.250</w:t>
            </w:r>
          </w:p>
        </w:tc>
        <w:tc>
          <w:tcPr>
            <w:tcW w:w="1127" w:type="dxa"/>
            <w:noWrap/>
            <w:vAlign w:val="bottom"/>
          </w:tcPr>
          <w:p w14:paraId="41242245" w14:textId="77777777" w:rsidR="003A11FB" w:rsidRPr="00037A46" w:rsidRDefault="003A11FB" w:rsidP="003A11FB">
            <w:pPr>
              <w:spacing w:before="0" w:after="0"/>
              <w:ind w:left="-212"/>
              <w:jc w:val="right"/>
              <w:rPr>
                <w:bCs/>
              </w:rPr>
            </w:pPr>
            <w:r w:rsidRPr="00037A46">
              <w:rPr>
                <w:bCs/>
              </w:rPr>
              <w:t>28.950</w:t>
            </w:r>
          </w:p>
        </w:tc>
        <w:tc>
          <w:tcPr>
            <w:tcW w:w="1324" w:type="dxa"/>
            <w:noWrap/>
            <w:vAlign w:val="bottom"/>
          </w:tcPr>
          <w:p w14:paraId="22438750" w14:textId="77777777" w:rsidR="003A11FB" w:rsidRPr="00037A46" w:rsidRDefault="003A11FB" w:rsidP="003A11FB">
            <w:pPr>
              <w:spacing w:before="0" w:after="0"/>
              <w:ind w:left="-212"/>
              <w:jc w:val="right"/>
              <w:rPr>
                <w:bCs/>
              </w:rPr>
            </w:pPr>
            <w:r w:rsidRPr="00037A46">
              <w:rPr>
                <w:bCs/>
              </w:rPr>
              <w:t>31.500</w:t>
            </w:r>
          </w:p>
        </w:tc>
      </w:tr>
      <w:tr w:rsidR="003A11FB" w:rsidRPr="00037A46" w14:paraId="48F8A9E8" w14:textId="77777777">
        <w:trPr>
          <w:trHeight w:val="330"/>
          <w:jc w:val="center"/>
        </w:trPr>
        <w:tc>
          <w:tcPr>
            <w:tcW w:w="1291" w:type="dxa"/>
            <w:shd w:val="clear" w:color="auto" w:fill="C0C0C0"/>
            <w:noWrap/>
            <w:vAlign w:val="bottom"/>
          </w:tcPr>
          <w:p w14:paraId="184E0A48" w14:textId="77777777" w:rsidR="003A11FB" w:rsidRPr="00037A46" w:rsidRDefault="003A11FB" w:rsidP="003A11FB">
            <w:pPr>
              <w:spacing w:before="0" w:after="0"/>
              <w:ind w:left="-212"/>
              <w:jc w:val="right"/>
              <w:rPr>
                <w:b/>
                <w:bCs/>
              </w:rPr>
            </w:pPr>
            <w:r w:rsidRPr="00037A46">
              <w:rPr>
                <w:b/>
                <w:bCs/>
              </w:rPr>
              <w:t>23</w:t>
            </w:r>
          </w:p>
        </w:tc>
        <w:tc>
          <w:tcPr>
            <w:tcW w:w="1242" w:type="dxa"/>
            <w:noWrap/>
            <w:vAlign w:val="bottom"/>
          </w:tcPr>
          <w:p w14:paraId="04ED2867" w14:textId="77777777" w:rsidR="003A11FB" w:rsidRPr="00037A46" w:rsidRDefault="003A11FB" w:rsidP="003A11FB">
            <w:pPr>
              <w:spacing w:before="0" w:after="0"/>
              <w:ind w:left="-212"/>
              <w:jc w:val="right"/>
              <w:rPr>
                <w:bCs/>
              </w:rPr>
            </w:pPr>
            <w:r w:rsidRPr="00037A46">
              <w:rPr>
                <w:bCs/>
              </w:rPr>
              <w:t>23.350</w:t>
            </w:r>
          </w:p>
        </w:tc>
        <w:tc>
          <w:tcPr>
            <w:tcW w:w="1109" w:type="dxa"/>
            <w:noWrap/>
            <w:vAlign w:val="bottom"/>
          </w:tcPr>
          <w:p w14:paraId="1933AC65" w14:textId="77777777" w:rsidR="003A11FB" w:rsidRPr="00037A46" w:rsidRDefault="003A11FB" w:rsidP="003A11FB">
            <w:pPr>
              <w:spacing w:before="0" w:after="0"/>
              <w:ind w:left="-212"/>
              <w:jc w:val="right"/>
              <w:rPr>
                <w:bCs/>
              </w:rPr>
            </w:pPr>
            <w:r w:rsidRPr="00037A46">
              <w:rPr>
                <w:bCs/>
              </w:rPr>
              <w:t>26.450</w:t>
            </w:r>
          </w:p>
        </w:tc>
        <w:tc>
          <w:tcPr>
            <w:tcW w:w="1118" w:type="dxa"/>
            <w:noWrap/>
            <w:vAlign w:val="bottom"/>
          </w:tcPr>
          <w:p w14:paraId="6E696246" w14:textId="77777777" w:rsidR="003A11FB" w:rsidRPr="00037A46" w:rsidRDefault="003A11FB" w:rsidP="003A11FB">
            <w:pPr>
              <w:spacing w:before="0" w:after="0"/>
              <w:ind w:left="-212"/>
              <w:jc w:val="right"/>
              <w:rPr>
                <w:bCs/>
              </w:rPr>
            </w:pPr>
            <w:r w:rsidRPr="00037A46">
              <w:rPr>
                <w:bCs/>
              </w:rPr>
              <w:t>29.150</w:t>
            </w:r>
          </w:p>
        </w:tc>
        <w:tc>
          <w:tcPr>
            <w:tcW w:w="1127" w:type="dxa"/>
            <w:noWrap/>
            <w:vAlign w:val="bottom"/>
          </w:tcPr>
          <w:p w14:paraId="5BEC117D" w14:textId="77777777" w:rsidR="003A11FB" w:rsidRPr="00037A46" w:rsidRDefault="003A11FB" w:rsidP="003A11FB">
            <w:pPr>
              <w:spacing w:before="0" w:after="0"/>
              <w:ind w:left="-212"/>
              <w:jc w:val="right"/>
              <w:rPr>
                <w:bCs/>
              </w:rPr>
            </w:pPr>
            <w:r w:rsidRPr="00037A46">
              <w:rPr>
                <w:bCs/>
              </w:rPr>
              <w:t>29.750</w:t>
            </w:r>
          </w:p>
        </w:tc>
        <w:tc>
          <w:tcPr>
            <w:tcW w:w="1324" w:type="dxa"/>
            <w:noWrap/>
            <w:vAlign w:val="bottom"/>
          </w:tcPr>
          <w:p w14:paraId="0A67BE35" w14:textId="77777777" w:rsidR="003A11FB" w:rsidRPr="00037A46" w:rsidRDefault="003A11FB" w:rsidP="003A11FB">
            <w:pPr>
              <w:spacing w:before="0" w:after="0"/>
              <w:ind w:left="-212"/>
              <w:jc w:val="right"/>
              <w:rPr>
                <w:bCs/>
              </w:rPr>
            </w:pPr>
            <w:r w:rsidRPr="00037A46">
              <w:rPr>
                <w:bCs/>
              </w:rPr>
              <w:t>32.500</w:t>
            </w:r>
          </w:p>
        </w:tc>
      </w:tr>
    </w:tbl>
    <w:p w14:paraId="029D1BE8" w14:textId="77777777" w:rsidR="003A11FB" w:rsidRPr="00037A46" w:rsidRDefault="003A11FB" w:rsidP="00B31B0B">
      <w:pPr>
        <w:spacing w:before="0" w:after="0"/>
        <w:ind w:left="0"/>
        <w:rPr>
          <w:b/>
          <w:bCs/>
        </w:rPr>
      </w:pPr>
      <w:r w:rsidRPr="00037A46">
        <w:rPr>
          <w:b/>
          <w:bCs/>
        </w:rPr>
        <w:br w:type="page"/>
      </w:r>
    </w:p>
    <w:tbl>
      <w:tblPr>
        <w:tblW w:w="7524" w:type="dxa"/>
        <w:jc w:val="center"/>
        <w:tblBorders>
          <w:top w:val="single" w:sz="8" w:space="0" w:color="auto"/>
          <w:left w:val="single" w:sz="8" w:space="0" w:color="auto"/>
          <w:bottom w:val="single" w:sz="8" w:space="0" w:color="auto"/>
          <w:right w:val="single" w:sz="8" w:space="0" w:color="auto"/>
          <w:insideV w:val="single" w:sz="8" w:space="0" w:color="auto"/>
        </w:tblBorders>
        <w:tblCellMar>
          <w:left w:w="70" w:type="dxa"/>
          <w:right w:w="70" w:type="dxa"/>
        </w:tblCellMar>
        <w:tblLook w:val="0000" w:firstRow="0" w:lastRow="0" w:firstColumn="0" w:lastColumn="0" w:noHBand="0" w:noVBand="0"/>
      </w:tblPr>
      <w:tblGrid>
        <w:gridCol w:w="1149"/>
        <w:gridCol w:w="1236"/>
        <w:gridCol w:w="1276"/>
        <w:gridCol w:w="1276"/>
        <w:gridCol w:w="1276"/>
        <w:gridCol w:w="1311"/>
      </w:tblGrid>
      <w:tr w:rsidR="003A11FB" w:rsidRPr="00037A46" w14:paraId="50E8A0ED" w14:textId="77777777">
        <w:trPr>
          <w:trHeight w:val="630"/>
          <w:jc w:val="center"/>
        </w:trPr>
        <w:tc>
          <w:tcPr>
            <w:tcW w:w="1149" w:type="dxa"/>
            <w:tcBorders>
              <w:top w:val="single" w:sz="8" w:space="0" w:color="auto"/>
              <w:bottom w:val="single" w:sz="8" w:space="0" w:color="auto"/>
            </w:tcBorders>
            <w:shd w:val="clear" w:color="auto" w:fill="E3E3E3"/>
            <w:vAlign w:val="center"/>
          </w:tcPr>
          <w:p w14:paraId="60443705" w14:textId="7FB739CF" w:rsidR="003A11FB" w:rsidRPr="00037A46" w:rsidRDefault="00124C52" w:rsidP="00124C52">
            <w:pPr>
              <w:spacing w:before="0" w:after="0"/>
              <w:ind w:left="0"/>
              <w:jc w:val="center"/>
              <w:rPr>
                <w:b/>
                <w:bCs/>
              </w:rPr>
            </w:pPr>
            <w:proofErr w:type="spellStart"/>
            <w:r>
              <w:rPr>
                <w:b/>
                <w:bCs/>
              </w:rPr>
              <w:lastRenderedPageBreak/>
              <w:t>S</w:t>
            </w:r>
            <w:r w:rsidR="003A11FB" w:rsidRPr="00037A46">
              <w:rPr>
                <w:b/>
                <w:bCs/>
              </w:rPr>
              <w:t>alaris-schalen</w:t>
            </w:r>
            <w:proofErr w:type="spellEnd"/>
          </w:p>
        </w:tc>
        <w:tc>
          <w:tcPr>
            <w:tcW w:w="1236" w:type="dxa"/>
            <w:tcBorders>
              <w:top w:val="single" w:sz="8" w:space="0" w:color="auto"/>
              <w:bottom w:val="single" w:sz="8" w:space="0" w:color="auto"/>
            </w:tcBorders>
            <w:shd w:val="clear" w:color="auto" w:fill="C0C0C0"/>
            <w:vAlign w:val="center"/>
          </w:tcPr>
          <w:p w14:paraId="33FFAD4F" w14:textId="77777777" w:rsidR="003A11FB" w:rsidRPr="00037A46" w:rsidRDefault="003A11FB" w:rsidP="003A11FB">
            <w:pPr>
              <w:spacing w:before="0" w:after="0"/>
              <w:ind w:left="0"/>
              <w:jc w:val="right"/>
              <w:rPr>
                <w:b/>
                <w:bCs/>
              </w:rPr>
            </w:pPr>
            <w:r w:rsidRPr="00037A46">
              <w:rPr>
                <w:b/>
                <w:bCs/>
              </w:rPr>
              <w:t>C1</w:t>
            </w:r>
          </w:p>
        </w:tc>
        <w:tc>
          <w:tcPr>
            <w:tcW w:w="1276" w:type="dxa"/>
            <w:tcBorders>
              <w:top w:val="single" w:sz="8" w:space="0" w:color="auto"/>
              <w:bottom w:val="single" w:sz="8" w:space="0" w:color="auto"/>
            </w:tcBorders>
            <w:shd w:val="clear" w:color="auto" w:fill="C0C0C0"/>
            <w:vAlign w:val="center"/>
          </w:tcPr>
          <w:p w14:paraId="72A88F28" w14:textId="77777777" w:rsidR="003A11FB" w:rsidRPr="00037A46" w:rsidRDefault="003A11FB" w:rsidP="003A11FB">
            <w:pPr>
              <w:spacing w:before="0" w:after="0"/>
              <w:jc w:val="center"/>
              <w:rPr>
                <w:b/>
                <w:bCs/>
              </w:rPr>
            </w:pPr>
            <w:r w:rsidRPr="00037A46">
              <w:rPr>
                <w:b/>
                <w:bCs/>
              </w:rPr>
              <w:t>C2</w:t>
            </w:r>
          </w:p>
        </w:tc>
        <w:tc>
          <w:tcPr>
            <w:tcW w:w="1276" w:type="dxa"/>
            <w:tcBorders>
              <w:top w:val="single" w:sz="8" w:space="0" w:color="auto"/>
              <w:bottom w:val="single" w:sz="8" w:space="0" w:color="auto"/>
            </w:tcBorders>
            <w:shd w:val="clear" w:color="auto" w:fill="C0C0C0"/>
            <w:vAlign w:val="center"/>
          </w:tcPr>
          <w:p w14:paraId="4788DB1B" w14:textId="77777777" w:rsidR="003A11FB" w:rsidRPr="00037A46" w:rsidRDefault="003A11FB" w:rsidP="003A11FB">
            <w:pPr>
              <w:spacing w:before="0" w:after="0"/>
              <w:jc w:val="center"/>
              <w:rPr>
                <w:b/>
                <w:bCs/>
              </w:rPr>
            </w:pPr>
            <w:r w:rsidRPr="00037A46">
              <w:rPr>
                <w:b/>
                <w:bCs/>
              </w:rPr>
              <w:t>C3</w:t>
            </w:r>
          </w:p>
        </w:tc>
        <w:tc>
          <w:tcPr>
            <w:tcW w:w="1276" w:type="dxa"/>
            <w:tcBorders>
              <w:top w:val="single" w:sz="8" w:space="0" w:color="auto"/>
              <w:bottom w:val="single" w:sz="8" w:space="0" w:color="auto"/>
            </w:tcBorders>
            <w:shd w:val="clear" w:color="auto" w:fill="C0C0C0"/>
            <w:vAlign w:val="center"/>
          </w:tcPr>
          <w:p w14:paraId="684A7219" w14:textId="77777777" w:rsidR="003A11FB" w:rsidRPr="00037A46" w:rsidRDefault="003A11FB" w:rsidP="003A11FB">
            <w:pPr>
              <w:spacing w:before="0" w:after="0"/>
              <w:jc w:val="center"/>
              <w:rPr>
                <w:b/>
                <w:bCs/>
              </w:rPr>
            </w:pPr>
            <w:r w:rsidRPr="00037A46">
              <w:rPr>
                <w:b/>
                <w:bCs/>
              </w:rPr>
              <w:t>C4</w:t>
            </w:r>
          </w:p>
        </w:tc>
        <w:tc>
          <w:tcPr>
            <w:tcW w:w="1311" w:type="dxa"/>
            <w:tcBorders>
              <w:top w:val="single" w:sz="8" w:space="0" w:color="auto"/>
              <w:bottom w:val="single" w:sz="8" w:space="0" w:color="auto"/>
            </w:tcBorders>
            <w:shd w:val="clear" w:color="auto" w:fill="C0C0C0"/>
            <w:vAlign w:val="center"/>
          </w:tcPr>
          <w:p w14:paraId="0B081A61" w14:textId="77777777" w:rsidR="003A11FB" w:rsidRPr="00037A46" w:rsidRDefault="003A11FB" w:rsidP="003A11FB">
            <w:pPr>
              <w:spacing w:before="0" w:after="0"/>
              <w:jc w:val="center"/>
              <w:rPr>
                <w:b/>
                <w:bCs/>
              </w:rPr>
            </w:pPr>
            <w:r w:rsidRPr="00037A46">
              <w:rPr>
                <w:b/>
                <w:bCs/>
              </w:rPr>
              <w:t>C5</w:t>
            </w:r>
          </w:p>
        </w:tc>
      </w:tr>
      <w:tr w:rsidR="003A11FB" w:rsidRPr="00037A46" w14:paraId="022CB192" w14:textId="77777777">
        <w:trPr>
          <w:trHeight w:val="284"/>
          <w:jc w:val="center"/>
        </w:trPr>
        <w:tc>
          <w:tcPr>
            <w:tcW w:w="1149" w:type="dxa"/>
            <w:tcBorders>
              <w:top w:val="single" w:sz="8" w:space="0" w:color="auto"/>
              <w:bottom w:val="nil"/>
            </w:tcBorders>
            <w:shd w:val="clear" w:color="auto" w:fill="C0C0C0"/>
            <w:noWrap/>
            <w:vAlign w:val="bottom"/>
          </w:tcPr>
          <w:p w14:paraId="07728BF4" w14:textId="77777777" w:rsidR="003A11FB" w:rsidRPr="00037A46" w:rsidRDefault="003A11FB" w:rsidP="00124C52">
            <w:pPr>
              <w:spacing w:before="0" w:after="0"/>
              <w:ind w:left="0"/>
              <w:jc w:val="center"/>
              <w:rPr>
                <w:b/>
                <w:bCs/>
              </w:rPr>
            </w:pPr>
            <w:r w:rsidRPr="00037A46">
              <w:rPr>
                <w:b/>
                <w:bCs/>
              </w:rPr>
              <w:t>Minimum</w:t>
            </w:r>
          </w:p>
        </w:tc>
        <w:tc>
          <w:tcPr>
            <w:tcW w:w="1236" w:type="dxa"/>
            <w:tcBorders>
              <w:top w:val="single" w:sz="8" w:space="0" w:color="auto"/>
              <w:bottom w:val="nil"/>
            </w:tcBorders>
            <w:noWrap/>
            <w:vAlign w:val="bottom"/>
          </w:tcPr>
          <w:p w14:paraId="506FB9AD" w14:textId="77777777" w:rsidR="003A11FB" w:rsidRPr="00037A46" w:rsidRDefault="003A11FB" w:rsidP="003A11FB">
            <w:pPr>
              <w:spacing w:before="0" w:after="0"/>
              <w:ind w:left="0"/>
              <w:jc w:val="right"/>
              <w:rPr>
                <w:bCs/>
              </w:rPr>
            </w:pPr>
            <w:r w:rsidRPr="00037A46">
              <w:rPr>
                <w:bCs/>
              </w:rPr>
              <w:t>13.550</w:t>
            </w:r>
          </w:p>
        </w:tc>
        <w:tc>
          <w:tcPr>
            <w:tcW w:w="1276" w:type="dxa"/>
            <w:tcBorders>
              <w:top w:val="single" w:sz="8" w:space="0" w:color="auto"/>
              <w:bottom w:val="nil"/>
            </w:tcBorders>
            <w:noWrap/>
            <w:vAlign w:val="bottom"/>
          </w:tcPr>
          <w:p w14:paraId="6932F7DD" w14:textId="77777777" w:rsidR="003A11FB" w:rsidRPr="00037A46" w:rsidRDefault="003A11FB" w:rsidP="003A11FB">
            <w:pPr>
              <w:spacing w:before="0" w:after="0"/>
              <w:ind w:left="0"/>
              <w:jc w:val="right"/>
              <w:rPr>
                <w:bCs/>
              </w:rPr>
            </w:pPr>
            <w:r w:rsidRPr="00037A46">
              <w:rPr>
                <w:bCs/>
              </w:rPr>
              <w:t>14.250</w:t>
            </w:r>
          </w:p>
        </w:tc>
        <w:tc>
          <w:tcPr>
            <w:tcW w:w="1276" w:type="dxa"/>
            <w:tcBorders>
              <w:top w:val="single" w:sz="8" w:space="0" w:color="auto"/>
              <w:bottom w:val="nil"/>
            </w:tcBorders>
            <w:noWrap/>
            <w:vAlign w:val="bottom"/>
          </w:tcPr>
          <w:p w14:paraId="635BC734" w14:textId="77777777" w:rsidR="003A11FB" w:rsidRPr="00037A46" w:rsidRDefault="003A11FB" w:rsidP="003A11FB">
            <w:pPr>
              <w:spacing w:before="0" w:after="0"/>
              <w:ind w:left="0"/>
              <w:jc w:val="right"/>
              <w:rPr>
                <w:bCs/>
              </w:rPr>
            </w:pPr>
            <w:r w:rsidRPr="00037A46">
              <w:rPr>
                <w:bCs/>
              </w:rPr>
              <w:t>15.900</w:t>
            </w:r>
          </w:p>
        </w:tc>
        <w:tc>
          <w:tcPr>
            <w:tcW w:w="1276" w:type="dxa"/>
            <w:tcBorders>
              <w:top w:val="single" w:sz="8" w:space="0" w:color="auto"/>
              <w:bottom w:val="nil"/>
            </w:tcBorders>
            <w:noWrap/>
            <w:vAlign w:val="bottom"/>
          </w:tcPr>
          <w:p w14:paraId="52F601A3" w14:textId="77777777" w:rsidR="003A11FB" w:rsidRPr="00037A46" w:rsidRDefault="003A11FB" w:rsidP="003A11FB">
            <w:pPr>
              <w:spacing w:before="0" w:after="0"/>
              <w:ind w:left="0"/>
              <w:jc w:val="right"/>
              <w:rPr>
                <w:bCs/>
              </w:rPr>
            </w:pPr>
            <w:r w:rsidRPr="00037A46">
              <w:rPr>
                <w:bCs/>
              </w:rPr>
              <w:t>18.550</w:t>
            </w:r>
          </w:p>
        </w:tc>
        <w:tc>
          <w:tcPr>
            <w:tcW w:w="1311" w:type="dxa"/>
            <w:tcBorders>
              <w:top w:val="single" w:sz="8" w:space="0" w:color="auto"/>
              <w:bottom w:val="nil"/>
            </w:tcBorders>
            <w:noWrap/>
            <w:vAlign w:val="bottom"/>
          </w:tcPr>
          <w:p w14:paraId="42A9ABB2" w14:textId="77777777" w:rsidR="003A11FB" w:rsidRPr="00037A46" w:rsidRDefault="003A11FB" w:rsidP="003A11FB">
            <w:pPr>
              <w:spacing w:before="0" w:after="0"/>
              <w:ind w:left="0"/>
              <w:jc w:val="right"/>
              <w:rPr>
                <w:bCs/>
              </w:rPr>
            </w:pPr>
            <w:r w:rsidRPr="00037A46">
              <w:rPr>
                <w:bCs/>
              </w:rPr>
              <w:t>20.400</w:t>
            </w:r>
          </w:p>
        </w:tc>
      </w:tr>
      <w:tr w:rsidR="003A11FB" w:rsidRPr="00037A46" w14:paraId="0DD9DDE5" w14:textId="77777777">
        <w:trPr>
          <w:trHeight w:val="284"/>
          <w:jc w:val="center"/>
        </w:trPr>
        <w:tc>
          <w:tcPr>
            <w:tcW w:w="1149" w:type="dxa"/>
            <w:tcBorders>
              <w:top w:val="nil"/>
              <w:bottom w:val="single" w:sz="8" w:space="0" w:color="auto"/>
            </w:tcBorders>
            <w:shd w:val="clear" w:color="auto" w:fill="C0C0C0"/>
            <w:noWrap/>
            <w:vAlign w:val="bottom"/>
          </w:tcPr>
          <w:p w14:paraId="07A4E2B8" w14:textId="77777777" w:rsidR="003A11FB" w:rsidRPr="00037A46" w:rsidRDefault="003A11FB" w:rsidP="00124C52">
            <w:pPr>
              <w:spacing w:before="0" w:after="0"/>
              <w:ind w:left="0"/>
              <w:jc w:val="center"/>
              <w:rPr>
                <w:b/>
                <w:bCs/>
              </w:rPr>
            </w:pPr>
            <w:r w:rsidRPr="00037A46">
              <w:rPr>
                <w:b/>
                <w:bCs/>
              </w:rPr>
              <w:t>Maximum</w:t>
            </w:r>
          </w:p>
        </w:tc>
        <w:tc>
          <w:tcPr>
            <w:tcW w:w="1236" w:type="dxa"/>
            <w:tcBorders>
              <w:top w:val="nil"/>
              <w:bottom w:val="single" w:sz="8" w:space="0" w:color="auto"/>
            </w:tcBorders>
            <w:noWrap/>
            <w:vAlign w:val="bottom"/>
          </w:tcPr>
          <w:p w14:paraId="5B9A548F" w14:textId="77777777" w:rsidR="003A11FB" w:rsidRPr="00037A46" w:rsidRDefault="003A11FB" w:rsidP="003A11FB">
            <w:pPr>
              <w:spacing w:before="0" w:after="0"/>
              <w:ind w:left="0"/>
              <w:jc w:val="right"/>
              <w:rPr>
                <w:bCs/>
              </w:rPr>
            </w:pPr>
            <w:r w:rsidRPr="00037A46">
              <w:rPr>
                <w:bCs/>
              </w:rPr>
              <w:t>21.950</w:t>
            </w:r>
          </w:p>
        </w:tc>
        <w:tc>
          <w:tcPr>
            <w:tcW w:w="1276" w:type="dxa"/>
            <w:tcBorders>
              <w:top w:val="nil"/>
              <w:bottom w:val="single" w:sz="8" w:space="0" w:color="auto"/>
            </w:tcBorders>
            <w:noWrap/>
            <w:vAlign w:val="bottom"/>
          </w:tcPr>
          <w:p w14:paraId="4AAAC6C2" w14:textId="77777777" w:rsidR="003A11FB" w:rsidRPr="00037A46" w:rsidRDefault="003A11FB" w:rsidP="003A11FB">
            <w:pPr>
              <w:spacing w:before="0" w:after="0"/>
              <w:ind w:left="0"/>
              <w:jc w:val="right"/>
              <w:rPr>
                <w:bCs/>
              </w:rPr>
            </w:pPr>
            <w:r w:rsidRPr="00037A46">
              <w:rPr>
                <w:bCs/>
              </w:rPr>
              <w:t>22.800</w:t>
            </w:r>
          </w:p>
        </w:tc>
        <w:tc>
          <w:tcPr>
            <w:tcW w:w="1276" w:type="dxa"/>
            <w:tcBorders>
              <w:top w:val="nil"/>
              <w:bottom w:val="single" w:sz="8" w:space="0" w:color="auto"/>
            </w:tcBorders>
            <w:noWrap/>
            <w:vAlign w:val="bottom"/>
          </w:tcPr>
          <w:p w14:paraId="1497E2B6" w14:textId="77777777" w:rsidR="003A11FB" w:rsidRPr="00037A46" w:rsidRDefault="003A11FB" w:rsidP="003A11FB">
            <w:pPr>
              <w:spacing w:before="0" w:after="0"/>
              <w:ind w:left="0"/>
              <w:jc w:val="right"/>
              <w:rPr>
                <w:bCs/>
              </w:rPr>
            </w:pPr>
            <w:r w:rsidRPr="00037A46">
              <w:rPr>
                <w:bCs/>
              </w:rPr>
              <w:t>24.800</w:t>
            </w:r>
          </w:p>
        </w:tc>
        <w:tc>
          <w:tcPr>
            <w:tcW w:w="1276" w:type="dxa"/>
            <w:tcBorders>
              <w:top w:val="nil"/>
              <w:bottom w:val="single" w:sz="8" w:space="0" w:color="auto"/>
            </w:tcBorders>
            <w:noWrap/>
            <w:vAlign w:val="bottom"/>
          </w:tcPr>
          <w:p w14:paraId="21E1189E" w14:textId="77777777" w:rsidR="003A11FB" w:rsidRPr="00037A46" w:rsidRDefault="003A11FB" w:rsidP="003A11FB">
            <w:pPr>
              <w:spacing w:before="0" w:after="0"/>
              <w:ind w:left="0"/>
              <w:jc w:val="right"/>
              <w:rPr>
                <w:bCs/>
              </w:rPr>
            </w:pPr>
            <w:r w:rsidRPr="00037A46">
              <w:rPr>
                <w:bCs/>
              </w:rPr>
              <w:t>26.550</w:t>
            </w:r>
          </w:p>
        </w:tc>
        <w:tc>
          <w:tcPr>
            <w:tcW w:w="1311" w:type="dxa"/>
            <w:tcBorders>
              <w:top w:val="nil"/>
              <w:bottom w:val="single" w:sz="8" w:space="0" w:color="auto"/>
            </w:tcBorders>
            <w:noWrap/>
            <w:vAlign w:val="bottom"/>
          </w:tcPr>
          <w:p w14:paraId="537A173A" w14:textId="77777777" w:rsidR="003A11FB" w:rsidRPr="00037A46" w:rsidRDefault="003A11FB" w:rsidP="003A11FB">
            <w:pPr>
              <w:spacing w:before="0" w:after="0"/>
              <w:ind w:left="0"/>
              <w:jc w:val="right"/>
              <w:rPr>
                <w:bCs/>
              </w:rPr>
            </w:pPr>
            <w:r w:rsidRPr="00037A46">
              <w:rPr>
                <w:bCs/>
              </w:rPr>
              <w:t>29.300</w:t>
            </w:r>
          </w:p>
        </w:tc>
      </w:tr>
      <w:tr w:rsidR="003A11FB" w:rsidRPr="00037A46" w14:paraId="2DF7587D" w14:textId="77777777">
        <w:trPr>
          <w:trHeight w:val="284"/>
          <w:jc w:val="center"/>
        </w:trPr>
        <w:tc>
          <w:tcPr>
            <w:tcW w:w="1149" w:type="dxa"/>
            <w:tcBorders>
              <w:top w:val="single" w:sz="8" w:space="0" w:color="auto"/>
              <w:bottom w:val="nil"/>
            </w:tcBorders>
            <w:shd w:val="clear" w:color="auto" w:fill="C0C0C0"/>
            <w:noWrap/>
            <w:vAlign w:val="bottom"/>
          </w:tcPr>
          <w:p w14:paraId="7A225B27" w14:textId="77777777" w:rsidR="003A11FB" w:rsidRPr="00037A46" w:rsidRDefault="003A11FB" w:rsidP="00124C52">
            <w:pPr>
              <w:spacing w:before="0" w:after="0"/>
              <w:ind w:left="0"/>
              <w:jc w:val="center"/>
              <w:rPr>
                <w:b/>
                <w:bCs/>
              </w:rPr>
            </w:pPr>
            <w:r w:rsidRPr="00037A46">
              <w:rPr>
                <w:b/>
                <w:bCs/>
              </w:rPr>
              <w:t>Verhoging</w:t>
            </w:r>
          </w:p>
        </w:tc>
        <w:tc>
          <w:tcPr>
            <w:tcW w:w="1236" w:type="dxa"/>
            <w:tcBorders>
              <w:top w:val="single" w:sz="8" w:space="0" w:color="auto"/>
              <w:bottom w:val="nil"/>
            </w:tcBorders>
            <w:noWrap/>
            <w:vAlign w:val="bottom"/>
          </w:tcPr>
          <w:p w14:paraId="130FD384" w14:textId="77777777" w:rsidR="003A11FB" w:rsidRPr="00037A46" w:rsidRDefault="003A11FB" w:rsidP="003A11FB">
            <w:pPr>
              <w:spacing w:before="0" w:after="0"/>
              <w:ind w:left="0"/>
              <w:jc w:val="right"/>
              <w:rPr>
                <w:bCs/>
              </w:rPr>
            </w:pPr>
            <w:r w:rsidRPr="00037A46">
              <w:rPr>
                <w:bCs/>
              </w:rPr>
              <w:t>1x1x600</w:t>
            </w:r>
          </w:p>
        </w:tc>
        <w:tc>
          <w:tcPr>
            <w:tcW w:w="1276" w:type="dxa"/>
            <w:tcBorders>
              <w:top w:val="single" w:sz="8" w:space="0" w:color="auto"/>
              <w:bottom w:val="nil"/>
            </w:tcBorders>
            <w:noWrap/>
            <w:vAlign w:val="bottom"/>
          </w:tcPr>
          <w:p w14:paraId="61323B9A" w14:textId="77777777" w:rsidR="003A11FB" w:rsidRPr="00037A46" w:rsidRDefault="003A11FB" w:rsidP="003A11FB">
            <w:pPr>
              <w:spacing w:before="0" w:after="0"/>
              <w:ind w:left="0"/>
              <w:jc w:val="right"/>
              <w:rPr>
                <w:bCs/>
              </w:rPr>
            </w:pPr>
            <w:r w:rsidRPr="00037A46">
              <w:rPr>
                <w:bCs/>
              </w:rPr>
              <w:t>1x1x550</w:t>
            </w:r>
          </w:p>
        </w:tc>
        <w:tc>
          <w:tcPr>
            <w:tcW w:w="1276" w:type="dxa"/>
            <w:tcBorders>
              <w:top w:val="single" w:sz="8" w:space="0" w:color="auto"/>
              <w:bottom w:val="nil"/>
            </w:tcBorders>
            <w:noWrap/>
            <w:vAlign w:val="bottom"/>
          </w:tcPr>
          <w:p w14:paraId="5F257C2D" w14:textId="77777777" w:rsidR="003A11FB" w:rsidRPr="00037A46" w:rsidRDefault="003A11FB" w:rsidP="003A11FB">
            <w:pPr>
              <w:spacing w:before="0" w:after="0"/>
              <w:ind w:left="0"/>
              <w:jc w:val="right"/>
              <w:rPr>
                <w:bCs/>
              </w:rPr>
            </w:pPr>
            <w:r w:rsidRPr="00037A46">
              <w:rPr>
                <w:bCs/>
              </w:rPr>
              <w:t>1x1x650</w:t>
            </w:r>
          </w:p>
        </w:tc>
        <w:tc>
          <w:tcPr>
            <w:tcW w:w="1276" w:type="dxa"/>
            <w:tcBorders>
              <w:top w:val="single" w:sz="8" w:space="0" w:color="auto"/>
              <w:bottom w:val="nil"/>
            </w:tcBorders>
            <w:noWrap/>
            <w:vAlign w:val="bottom"/>
          </w:tcPr>
          <w:p w14:paraId="3C19C681" w14:textId="77777777" w:rsidR="003A11FB" w:rsidRPr="00037A46" w:rsidRDefault="003A11FB" w:rsidP="003A11FB">
            <w:pPr>
              <w:spacing w:before="0" w:after="0"/>
              <w:ind w:left="0"/>
              <w:jc w:val="right"/>
              <w:rPr>
                <w:bCs/>
              </w:rPr>
            </w:pPr>
            <w:r w:rsidRPr="00037A46">
              <w:rPr>
                <w:bCs/>
              </w:rPr>
              <w:t>1x1x550</w:t>
            </w:r>
          </w:p>
        </w:tc>
        <w:tc>
          <w:tcPr>
            <w:tcW w:w="1311" w:type="dxa"/>
            <w:tcBorders>
              <w:top w:val="single" w:sz="8" w:space="0" w:color="auto"/>
              <w:bottom w:val="nil"/>
            </w:tcBorders>
            <w:noWrap/>
            <w:vAlign w:val="bottom"/>
          </w:tcPr>
          <w:p w14:paraId="43E11BE1" w14:textId="77777777" w:rsidR="003A11FB" w:rsidRPr="00037A46" w:rsidRDefault="003A11FB" w:rsidP="003A11FB">
            <w:pPr>
              <w:spacing w:before="0" w:after="0"/>
              <w:ind w:left="0"/>
              <w:jc w:val="right"/>
              <w:rPr>
                <w:bCs/>
              </w:rPr>
            </w:pPr>
            <w:r w:rsidRPr="00037A46">
              <w:rPr>
                <w:bCs/>
              </w:rPr>
              <w:t>1x1x600</w:t>
            </w:r>
          </w:p>
        </w:tc>
      </w:tr>
      <w:tr w:rsidR="003A11FB" w:rsidRPr="00037A46" w14:paraId="496BD1DA" w14:textId="77777777">
        <w:trPr>
          <w:trHeight w:val="284"/>
          <w:jc w:val="center"/>
        </w:trPr>
        <w:tc>
          <w:tcPr>
            <w:tcW w:w="1149" w:type="dxa"/>
            <w:tcBorders>
              <w:top w:val="nil"/>
              <w:bottom w:val="nil"/>
            </w:tcBorders>
            <w:shd w:val="clear" w:color="auto" w:fill="C0C0C0"/>
            <w:noWrap/>
            <w:vAlign w:val="bottom"/>
          </w:tcPr>
          <w:p w14:paraId="050A6D69" w14:textId="77777777" w:rsidR="003A11FB" w:rsidRPr="00037A46" w:rsidRDefault="003A11FB" w:rsidP="003A11FB">
            <w:pPr>
              <w:spacing w:before="0" w:after="0"/>
              <w:rPr>
                <w:b/>
                <w:bCs/>
              </w:rPr>
            </w:pPr>
            <w:r w:rsidRPr="00037A46">
              <w:rPr>
                <w:b/>
                <w:bCs/>
              </w:rPr>
              <w:t> </w:t>
            </w:r>
          </w:p>
        </w:tc>
        <w:tc>
          <w:tcPr>
            <w:tcW w:w="1236" w:type="dxa"/>
            <w:tcBorders>
              <w:top w:val="nil"/>
              <w:bottom w:val="nil"/>
            </w:tcBorders>
            <w:noWrap/>
            <w:vAlign w:val="bottom"/>
          </w:tcPr>
          <w:p w14:paraId="7C13F8E2" w14:textId="77777777" w:rsidR="003A11FB" w:rsidRPr="00037A46" w:rsidRDefault="003A11FB" w:rsidP="003A11FB">
            <w:pPr>
              <w:spacing w:before="0" w:after="0"/>
              <w:ind w:left="0"/>
              <w:jc w:val="right"/>
              <w:rPr>
                <w:bCs/>
              </w:rPr>
            </w:pPr>
            <w:r w:rsidRPr="00037A46">
              <w:rPr>
                <w:bCs/>
              </w:rPr>
              <w:t>1x2x600</w:t>
            </w:r>
          </w:p>
        </w:tc>
        <w:tc>
          <w:tcPr>
            <w:tcW w:w="1276" w:type="dxa"/>
            <w:tcBorders>
              <w:top w:val="nil"/>
              <w:bottom w:val="nil"/>
            </w:tcBorders>
            <w:noWrap/>
            <w:vAlign w:val="bottom"/>
          </w:tcPr>
          <w:p w14:paraId="253FE898" w14:textId="77777777" w:rsidR="003A11FB" w:rsidRPr="00037A46" w:rsidRDefault="003A11FB" w:rsidP="003A11FB">
            <w:pPr>
              <w:spacing w:before="0" w:after="0"/>
              <w:ind w:left="0"/>
              <w:jc w:val="right"/>
              <w:rPr>
                <w:bCs/>
              </w:rPr>
            </w:pPr>
            <w:r w:rsidRPr="00037A46">
              <w:rPr>
                <w:bCs/>
              </w:rPr>
              <w:t>9x2x600</w:t>
            </w:r>
          </w:p>
        </w:tc>
        <w:tc>
          <w:tcPr>
            <w:tcW w:w="1276" w:type="dxa"/>
            <w:tcBorders>
              <w:top w:val="nil"/>
              <w:bottom w:val="nil"/>
            </w:tcBorders>
            <w:noWrap/>
            <w:vAlign w:val="bottom"/>
          </w:tcPr>
          <w:p w14:paraId="1FCAD7AD" w14:textId="77777777" w:rsidR="003A11FB" w:rsidRPr="00037A46" w:rsidRDefault="003A11FB" w:rsidP="003A11FB">
            <w:pPr>
              <w:spacing w:before="0" w:after="0"/>
              <w:ind w:left="0"/>
              <w:jc w:val="right"/>
              <w:rPr>
                <w:bCs/>
              </w:rPr>
            </w:pPr>
            <w:r w:rsidRPr="00037A46">
              <w:rPr>
                <w:bCs/>
              </w:rPr>
              <w:t>2x2x600</w:t>
            </w:r>
          </w:p>
        </w:tc>
        <w:tc>
          <w:tcPr>
            <w:tcW w:w="1276" w:type="dxa"/>
            <w:tcBorders>
              <w:top w:val="nil"/>
              <w:bottom w:val="nil"/>
            </w:tcBorders>
            <w:noWrap/>
            <w:vAlign w:val="bottom"/>
          </w:tcPr>
          <w:p w14:paraId="43C0D420" w14:textId="77777777" w:rsidR="003A11FB" w:rsidRPr="00037A46" w:rsidRDefault="003A11FB" w:rsidP="003A11FB">
            <w:pPr>
              <w:spacing w:before="0" w:after="0"/>
              <w:ind w:left="0"/>
              <w:jc w:val="right"/>
              <w:rPr>
                <w:bCs/>
              </w:rPr>
            </w:pPr>
            <w:r w:rsidRPr="00037A46">
              <w:rPr>
                <w:bCs/>
              </w:rPr>
              <w:t>1x2x600</w:t>
            </w:r>
          </w:p>
        </w:tc>
        <w:tc>
          <w:tcPr>
            <w:tcW w:w="1311" w:type="dxa"/>
            <w:tcBorders>
              <w:top w:val="nil"/>
              <w:bottom w:val="nil"/>
            </w:tcBorders>
            <w:noWrap/>
            <w:vAlign w:val="bottom"/>
          </w:tcPr>
          <w:p w14:paraId="5796A604" w14:textId="77777777" w:rsidR="003A11FB" w:rsidRPr="00037A46" w:rsidRDefault="003A11FB" w:rsidP="003A11FB">
            <w:pPr>
              <w:spacing w:before="0" w:after="0"/>
              <w:ind w:left="0"/>
              <w:jc w:val="right"/>
              <w:rPr>
                <w:bCs/>
              </w:rPr>
            </w:pPr>
            <w:r w:rsidRPr="00037A46">
              <w:rPr>
                <w:bCs/>
              </w:rPr>
              <w:t>1x2x600</w:t>
            </w:r>
          </w:p>
        </w:tc>
      </w:tr>
      <w:tr w:rsidR="003A11FB" w:rsidRPr="00037A46" w14:paraId="15785570" w14:textId="77777777">
        <w:trPr>
          <w:trHeight w:val="284"/>
          <w:jc w:val="center"/>
        </w:trPr>
        <w:tc>
          <w:tcPr>
            <w:tcW w:w="1149" w:type="dxa"/>
            <w:tcBorders>
              <w:top w:val="nil"/>
              <w:bottom w:val="nil"/>
            </w:tcBorders>
            <w:shd w:val="clear" w:color="auto" w:fill="C0C0C0"/>
            <w:noWrap/>
            <w:vAlign w:val="bottom"/>
          </w:tcPr>
          <w:p w14:paraId="485E6F56" w14:textId="77777777" w:rsidR="003A11FB" w:rsidRPr="00037A46" w:rsidRDefault="003A11FB" w:rsidP="003A11FB">
            <w:pPr>
              <w:spacing w:before="0" w:after="0"/>
              <w:rPr>
                <w:b/>
                <w:bCs/>
              </w:rPr>
            </w:pPr>
            <w:r w:rsidRPr="00037A46">
              <w:rPr>
                <w:b/>
                <w:bCs/>
              </w:rPr>
              <w:t> </w:t>
            </w:r>
          </w:p>
        </w:tc>
        <w:tc>
          <w:tcPr>
            <w:tcW w:w="1236" w:type="dxa"/>
            <w:tcBorders>
              <w:top w:val="nil"/>
              <w:bottom w:val="nil"/>
            </w:tcBorders>
            <w:noWrap/>
            <w:vAlign w:val="bottom"/>
          </w:tcPr>
          <w:p w14:paraId="69E21998" w14:textId="77777777" w:rsidR="003A11FB" w:rsidRPr="00037A46" w:rsidRDefault="003A11FB" w:rsidP="003A11FB">
            <w:pPr>
              <w:spacing w:before="0" w:after="0"/>
              <w:ind w:left="0"/>
              <w:jc w:val="right"/>
              <w:rPr>
                <w:bCs/>
              </w:rPr>
            </w:pPr>
            <w:r w:rsidRPr="00037A46">
              <w:rPr>
                <w:bCs/>
              </w:rPr>
              <w:t>1x2x550</w:t>
            </w:r>
          </w:p>
        </w:tc>
        <w:tc>
          <w:tcPr>
            <w:tcW w:w="1276" w:type="dxa"/>
            <w:tcBorders>
              <w:top w:val="nil"/>
              <w:bottom w:val="nil"/>
            </w:tcBorders>
            <w:noWrap/>
            <w:vAlign w:val="bottom"/>
          </w:tcPr>
          <w:p w14:paraId="21FCD6E1" w14:textId="77777777" w:rsidR="003A11FB" w:rsidRPr="00037A46" w:rsidRDefault="003A11FB" w:rsidP="003A11FB">
            <w:pPr>
              <w:spacing w:before="0" w:after="0"/>
              <w:ind w:left="0"/>
              <w:jc w:val="right"/>
              <w:rPr>
                <w:bCs/>
              </w:rPr>
            </w:pPr>
            <w:r w:rsidRPr="00037A46">
              <w:rPr>
                <w:bCs/>
              </w:rPr>
              <w:t>1x2x550</w:t>
            </w:r>
          </w:p>
        </w:tc>
        <w:tc>
          <w:tcPr>
            <w:tcW w:w="1276" w:type="dxa"/>
            <w:tcBorders>
              <w:top w:val="nil"/>
              <w:bottom w:val="nil"/>
            </w:tcBorders>
            <w:noWrap/>
            <w:vAlign w:val="bottom"/>
          </w:tcPr>
          <w:p w14:paraId="7BCC3679" w14:textId="77777777" w:rsidR="003A11FB" w:rsidRPr="00037A46" w:rsidRDefault="003A11FB" w:rsidP="003A11FB">
            <w:pPr>
              <w:spacing w:before="0" w:after="0"/>
              <w:ind w:left="0"/>
              <w:jc w:val="right"/>
              <w:rPr>
                <w:bCs/>
              </w:rPr>
            </w:pPr>
            <w:r w:rsidRPr="00037A46">
              <w:rPr>
                <w:bCs/>
              </w:rPr>
              <w:t>1x2x650</w:t>
            </w:r>
          </w:p>
        </w:tc>
        <w:tc>
          <w:tcPr>
            <w:tcW w:w="1276" w:type="dxa"/>
            <w:tcBorders>
              <w:top w:val="nil"/>
              <w:bottom w:val="nil"/>
            </w:tcBorders>
            <w:noWrap/>
            <w:vAlign w:val="bottom"/>
          </w:tcPr>
          <w:p w14:paraId="6452BDC2" w14:textId="77777777" w:rsidR="003A11FB" w:rsidRPr="00037A46" w:rsidRDefault="003A11FB" w:rsidP="003A11FB">
            <w:pPr>
              <w:spacing w:before="0" w:after="0"/>
              <w:ind w:left="0"/>
              <w:jc w:val="right"/>
              <w:rPr>
                <w:bCs/>
              </w:rPr>
            </w:pPr>
            <w:r w:rsidRPr="00037A46">
              <w:rPr>
                <w:bCs/>
              </w:rPr>
              <w:t>2x2x550</w:t>
            </w:r>
          </w:p>
        </w:tc>
        <w:tc>
          <w:tcPr>
            <w:tcW w:w="1311" w:type="dxa"/>
            <w:tcBorders>
              <w:top w:val="nil"/>
              <w:bottom w:val="nil"/>
            </w:tcBorders>
            <w:noWrap/>
            <w:vAlign w:val="bottom"/>
          </w:tcPr>
          <w:p w14:paraId="5546BAC7" w14:textId="77777777" w:rsidR="003A11FB" w:rsidRPr="00037A46" w:rsidRDefault="003A11FB" w:rsidP="003A11FB">
            <w:pPr>
              <w:spacing w:before="0" w:after="0"/>
              <w:ind w:left="0"/>
              <w:jc w:val="right"/>
              <w:rPr>
                <w:bCs/>
              </w:rPr>
            </w:pPr>
            <w:r w:rsidRPr="00037A46">
              <w:rPr>
                <w:bCs/>
              </w:rPr>
              <w:t>1x2x650</w:t>
            </w:r>
          </w:p>
        </w:tc>
      </w:tr>
      <w:tr w:rsidR="003A11FB" w:rsidRPr="00037A46" w14:paraId="71C39FC7" w14:textId="77777777">
        <w:trPr>
          <w:trHeight w:val="284"/>
          <w:jc w:val="center"/>
        </w:trPr>
        <w:tc>
          <w:tcPr>
            <w:tcW w:w="1149" w:type="dxa"/>
            <w:tcBorders>
              <w:top w:val="nil"/>
              <w:bottom w:val="nil"/>
            </w:tcBorders>
            <w:shd w:val="clear" w:color="auto" w:fill="C0C0C0"/>
            <w:noWrap/>
            <w:vAlign w:val="bottom"/>
          </w:tcPr>
          <w:p w14:paraId="447267CE" w14:textId="77777777" w:rsidR="003A11FB" w:rsidRPr="00037A46" w:rsidRDefault="003A11FB" w:rsidP="003A11FB">
            <w:pPr>
              <w:spacing w:before="0" w:after="0"/>
              <w:rPr>
                <w:b/>
                <w:bCs/>
              </w:rPr>
            </w:pPr>
            <w:r w:rsidRPr="00037A46">
              <w:rPr>
                <w:b/>
                <w:bCs/>
              </w:rPr>
              <w:t> </w:t>
            </w:r>
          </w:p>
        </w:tc>
        <w:tc>
          <w:tcPr>
            <w:tcW w:w="1236" w:type="dxa"/>
            <w:tcBorders>
              <w:top w:val="nil"/>
              <w:bottom w:val="nil"/>
            </w:tcBorders>
            <w:noWrap/>
            <w:vAlign w:val="bottom"/>
          </w:tcPr>
          <w:p w14:paraId="74051390" w14:textId="77777777" w:rsidR="003A11FB" w:rsidRPr="00037A46" w:rsidRDefault="003A11FB" w:rsidP="003A11FB">
            <w:pPr>
              <w:spacing w:before="0" w:after="0"/>
              <w:ind w:left="0"/>
              <w:jc w:val="right"/>
              <w:rPr>
                <w:bCs/>
              </w:rPr>
            </w:pPr>
            <w:r w:rsidRPr="00037A46">
              <w:rPr>
                <w:bCs/>
              </w:rPr>
              <w:t>8x2x600</w:t>
            </w:r>
          </w:p>
        </w:tc>
        <w:tc>
          <w:tcPr>
            <w:tcW w:w="1276" w:type="dxa"/>
            <w:tcBorders>
              <w:top w:val="nil"/>
              <w:bottom w:val="nil"/>
            </w:tcBorders>
            <w:noWrap/>
            <w:vAlign w:val="bottom"/>
          </w:tcPr>
          <w:p w14:paraId="01CC7154" w14:textId="77777777" w:rsidR="003A11FB" w:rsidRPr="00037A46" w:rsidRDefault="003A11FB" w:rsidP="003A11FB">
            <w:pPr>
              <w:spacing w:before="0" w:after="0"/>
              <w:ind w:left="0"/>
              <w:jc w:val="right"/>
              <w:rPr>
                <w:bCs/>
              </w:rPr>
            </w:pPr>
            <w:r w:rsidRPr="00037A46">
              <w:rPr>
                <w:bCs/>
              </w:rPr>
              <w:t>2x2x600</w:t>
            </w:r>
          </w:p>
        </w:tc>
        <w:tc>
          <w:tcPr>
            <w:tcW w:w="1276" w:type="dxa"/>
            <w:tcBorders>
              <w:top w:val="nil"/>
              <w:bottom w:val="nil"/>
            </w:tcBorders>
            <w:noWrap/>
            <w:vAlign w:val="bottom"/>
          </w:tcPr>
          <w:p w14:paraId="1B245A4A" w14:textId="77777777" w:rsidR="003A11FB" w:rsidRPr="00037A46" w:rsidRDefault="003A11FB" w:rsidP="003A11FB">
            <w:pPr>
              <w:spacing w:before="0" w:after="0"/>
              <w:ind w:left="0"/>
              <w:jc w:val="right"/>
              <w:rPr>
                <w:bCs/>
              </w:rPr>
            </w:pPr>
            <w:r w:rsidRPr="00037A46">
              <w:rPr>
                <w:bCs/>
              </w:rPr>
              <w:t>1x2x600</w:t>
            </w:r>
          </w:p>
        </w:tc>
        <w:tc>
          <w:tcPr>
            <w:tcW w:w="1276" w:type="dxa"/>
            <w:tcBorders>
              <w:top w:val="nil"/>
              <w:bottom w:val="nil"/>
            </w:tcBorders>
            <w:noWrap/>
            <w:vAlign w:val="bottom"/>
          </w:tcPr>
          <w:p w14:paraId="5CA89A41" w14:textId="77777777" w:rsidR="003A11FB" w:rsidRPr="00037A46" w:rsidRDefault="003A11FB" w:rsidP="003A11FB">
            <w:pPr>
              <w:spacing w:before="0" w:after="0"/>
              <w:ind w:left="0"/>
              <w:jc w:val="right"/>
              <w:rPr>
                <w:bCs/>
              </w:rPr>
            </w:pPr>
            <w:r w:rsidRPr="00037A46">
              <w:rPr>
                <w:bCs/>
              </w:rPr>
              <w:t>1x2x600</w:t>
            </w:r>
          </w:p>
        </w:tc>
        <w:tc>
          <w:tcPr>
            <w:tcW w:w="1311" w:type="dxa"/>
            <w:tcBorders>
              <w:top w:val="nil"/>
              <w:bottom w:val="nil"/>
            </w:tcBorders>
            <w:noWrap/>
            <w:vAlign w:val="bottom"/>
          </w:tcPr>
          <w:p w14:paraId="4B32AA7F" w14:textId="77777777" w:rsidR="003A11FB" w:rsidRPr="00037A46" w:rsidRDefault="003A11FB" w:rsidP="003A11FB">
            <w:pPr>
              <w:spacing w:before="0" w:after="0"/>
              <w:ind w:left="0"/>
              <w:jc w:val="right"/>
              <w:rPr>
                <w:bCs/>
              </w:rPr>
            </w:pPr>
            <w:r w:rsidRPr="00037A46">
              <w:rPr>
                <w:bCs/>
              </w:rPr>
              <w:t>1x2x600</w:t>
            </w:r>
          </w:p>
        </w:tc>
      </w:tr>
      <w:tr w:rsidR="003A11FB" w:rsidRPr="00037A46" w14:paraId="41965067" w14:textId="77777777">
        <w:trPr>
          <w:trHeight w:val="284"/>
          <w:jc w:val="center"/>
        </w:trPr>
        <w:tc>
          <w:tcPr>
            <w:tcW w:w="1149" w:type="dxa"/>
            <w:tcBorders>
              <w:top w:val="nil"/>
              <w:bottom w:val="nil"/>
            </w:tcBorders>
            <w:shd w:val="clear" w:color="auto" w:fill="C0C0C0"/>
            <w:noWrap/>
            <w:vAlign w:val="bottom"/>
          </w:tcPr>
          <w:p w14:paraId="78D586BB" w14:textId="77777777" w:rsidR="003A11FB" w:rsidRPr="00037A46" w:rsidRDefault="003A11FB" w:rsidP="003A11FB">
            <w:pPr>
              <w:spacing w:before="0" w:after="0"/>
              <w:rPr>
                <w:b/>
                <w:bCs/>
              </w:rPr>
            </w:pPr>
            <w:r w:rsidRPr="00037A46">
              <w:rPr>
                <w:b/>
                <w:bCs/>
              </w:rPr>
              <w:t> </w:t>
            </w:r>
          </w:p>
        </w:tc>
        <w:tc>
          <w:tcPr>
            <w:tcW w:w="1236" w:type="dxa"/>
            <w:tcBorders>
              <w:top w:val="nil"/>
              <w:bottom w:val="nil"/>
            </w:tcBorders>
            <w:noWrap/>
            <w:vAlign w:val="bottom"/>
          </w:tcPr>
          <w:p w14:paraId="329EB470" w14:textId="77777777" w:rsidR="003A11FB" w:rsidRPr="00037A46" w:rsidRDefault="003A11FB" w:rsidP="003A11FB">
            <w:pPr>
              <w:spacing w:before="0" w:after="0"/>
              <w:ind w:left="0"/>
              <w:jc w:val="right"/>
              <w:rPr>
                <w:bCs/>
              </w:rPr>
            </w:pPr>
            <w:r w:rsidRPr="00037A46">
              <w:rPr>
                <w:bCs/>
              </w:rPr>
              <w:t>1x2x550</w:t>
            </w:r>
          </w:p>
        </w:tc>
        <w:tc>
          <w:tcPr>
            <w:tcW w:w="1276" w:type="dxa"/>
            <w:tcBorders>
              <w:top w:val="nil"/>
              <w:bottom w:val="nil"/>
            </w:tcBorders>
            <w:noWrap/>
            <w:vAlign w:val="bottom"/>
          </w:tcPr>
          <w:p w14:paraId="0D7CF3F3" w14:textId="77777777" w:rsidR="003A11FB" w:rsidRPr="00037A46" w:rsidRDefault="003A11FB" w:rsidP="003A11FB">
            <w:pPr>
              <w:spacing w:before="0" w:after="0"/>
              <w:ind w:left="0"/>
              <w:jc w:val="right"/>
              <w:rPr>
                <w:bCs/>
              </w:rPr>
            </w:pPr>
            <w:r w:rsidRPr="00037A46">
              <w:rPr>
                <w:bCs/>
              </w:rPr>
              <w:t>1x2x850</w:t>
            </w:r>
          </w:p>
        </w:tc>
        <w:tc>
          <w:tcPr>
            <w:tcW w:w="1276" w:type="dxa"/>
            <w:tcBorders>
              <w:top w:val="nil"/>
              <w:bottom w:val="nil"/>
            </w:tcBorders>
            <w:noWrap/>
            <w:vAlign w:val="bottom"/>
          </w:tcPr>
          <w:p w14:paraId="0DA75ACB" w14:textId="77777777" w:rsidR="003A11FB" w:rsidRPr="00037A46" w:rsidRDefault="003A11FB" w:rsidP="003A11FB">
            <w:pPr>
              <w:spacing w:before="0" w:after="0"/>
              <w:ind w:left="0"/>
              <w:jc w:val="right"/>
              <w:rPr>
                <w:bCs/>
              </w:rPr>
            </w:pPr>
            <w:r w:rsidRPr="00037A46">
              <w:rPr>
                <w:bCs/>
              </w:rPr>
              <w:t>1x2x650</w:t>
            </w:r>
          </w:p>
        </w:tc>
        <w:tc>
          <w:tcPr>
            <w:tcW w:w="1276" w:type="dxa"/>
            <w:tcBorders>
              <w:top w:val="nil"/>
              <w:bottom w:val="nil"/>
            </w:tcBorders>
            <w:noWrap/>
            <w:vAlign w:val="bottom"/>
          </w:tcPr>
          <w:p w14:paraId="6852C2FC" w14:textId="77777777" w:rsidR="003A11FB" w:rsidRPr="00037A46" w:rsidRDefault="003A11FB" w:rsidP="003A11FB">
            <w:pPr>
              <w:spacing w:before="0" w:after="0"/>
              <w:ind w:left="0"/>
              <w:jc w:val="right"/>
              <w:rPr>
                <w:bCs/>
              </w:rPr>
            </w:pPr>
            <w:r w:rsidRPr="00037A46">
              <w:rPr>
                <w:bCs/>
              </w:rPr>
              <w:t>1x2x550</w:t>
            </w:r>
          </w:p>
        </w:tc>
        <w:tc>
          <w:tcPr>
            <w:tcW w:w="1311" w:type="dxa"/>
            <w:tcBorders>
              <w:top w:val="nil"/>
              <w:bottom w:val="nil"/>
            </w:tcBorders>
            <w:noWrap/>
            <w:vAlign w:val="bottom"/>
          </w:tcPr>
          <w:p w14:paraId="4A0F21F3" w14:textId="77777777" w:rsidR="003A11FB" w:rsidRPr="00037A46" w:rsidRDefault="003A11FB" w:rsidP="003A11FB">
            <w:pPr>
              <w:spacing w:before="0" w:after="0"/>
              <w:ind w:left="0"/>
              <w:jc w:val="right"/>
              <w:rPr>
                <w:bCs/>
              </w:rPr>
            </w:pPr>
            <w:r w:rsidRPr="00037A46">
              <w:rPr>
                <w:bCs/>
              </w:rPr>
              <w:t>1x2x650</w:t>
            </w:r>
          </w:p>
        </w:tc>
      </w:tr>
      <w:tr w:rsidR="003A11FB" w:rsidRPr="00037A46" w14:paraId="46DF52FF" w14:textId="77777777">
        <w:trPr>
          <w:trHeight w:val="284"/>
          <w:jc w:val="center"/>
        </w:trPr>
        <w:tc>
          <w:tcPr>
            <w:tcW w:w="1149" w:type="dxa"/>
            <w:tcBorders>
              <w:top w:val="nil"/>
              <w:bottom w:val="nil"/>
            </w:tcBorders>
            <w:shd w:val="clear" w:color="auto" w:fill="C0C0C0"/>
            <w:noWrap/>
            <w:vAlign w:val="bottom"/>
          </w:tcPr>
          <w:p w14:paraId="3E975330" w14:textId="77777777" w:rsidR="003A11FB" w:rsidRPr="00037A46" w:rsidRDefault="003A11FB" w:rsidP="003A11FB">
            <w:pPr>
              <w:spacing w:before="0" w:after="0"/>
              <w:rPr>
                <w:b/>
                <w:bCs/>
              </w:rPr>
            </w:pPr>
            <w:r w:rsidRPr="00037A46">
              <w:rPr>
                <w:b/>
                <w:bCs/>
              </w:rPr>
              <w:t> </w:t>
            </w:r>
          </w:p>
        </w:tc>
        <w:tc>
          <w:tcPr>
            <w:tcW w:w="1236" w:type="dxa"/>
            <w:tcBorders>
              <w:top w:val="nil"/>
              <w:bottom w:val="nil"/>
            </w:tcBorders>
            <w:noWrap/>
            <w:vAlign w:val="bottom"/>
          </w:tcPr>
          <w:p w14:paraId="4E5F3520" w14:textId="77777777" w:rsidR="003A11FB" w:rsidRPr="00037A46" w:rsidRDefault="003A11FB" w:rsidP="003A11FB">
            <w:pPr>
              <w:spacing w:before="0" w:after="0"/>
              <w:ind w:left="0"/>
              <w:jc w:val="right"/>
              <w:rPr>
                <w:bCs/>
              </w:rPr>
            </w:pPr>
            <w:r w:rsidRPr="00037A46">
              <w:rPr>
                <w:bCs/>
              </w:rPr>
              <w:t>1x2x600</w:t>
            </w:r>
          </w:p>
        </w:tc>
        <w:tc>
          <w:tcPr>
            <w:tcW w:w="1276" w:type="dxa"/>
            <w:tcBorders>
              <w:top w:val="nil"/>
              <w:bottom w:val="nil"/>
            </w:tcBorders>
            <w:noWrap/>
            <w:vAlign w:val="bottom"/>
          </w:tcPr>
          <w:p w14:paraId="3585DA8D" w14:textId="77777777" w:rsidR="003A11FB" w:rsidRPr="00037A46" w:rsidRDefault="003A11FB" w:rsidP="003A11FB">
            <w:pPr>
              <w:spacing w:before="0" w:after="0"/>
              <w:jc w:val="right"/>
              <w:rPr>
                <w:bCs/>
              </w:rPr>
            </w:pPr>
            <w:r w:rsidRPr="00037A46">
              <w:rPr>
                <w:bCs/>
              </w:rPr>
              <w:t> </w:t>
            </w:r>
          </w:p>
        </w:tc>
        <w:tc>
          <w:tcPr>
            <w:tcW w:w="1276" w:type="dxa"/>
            <w:tcBorders>
              <w:top w:val="nil"/>
              <w:bottom w:val="nil"/>
            </w:tcBorders>
            <w:noWrap/>
            <w:vAlign w:val="bottom"/>
          </w:tcPr>
          <w:p w14:paraId="6B1E2976" w14:textId="77777777" w:rsidR="003A11FB" w:rsidRPr="00037A46" w:rsidRDefault="003A11FB" w:rsidP="003A11FB">
            <w:pPr>
              <w:spacing w:before="0" w:after="0"/>
              <w:ind w:left="0"/>
              <w:jc w:val="right"/>
              <w:rPr>
                <w:bCs/>
              </w:rPr>
            </w:pPr>
            <w:r w:rsidRPr="00037A46">
              <w:rPr>
                <w:bCs/>
              </w:rPr>
              <w:t>2x2x600</w:t>
            </w:r>
          </w:p>
        </w:tc>
        <w:tc>
          <w:tcPr>
            <w:tcW w:w="1276" w:type="dxa"/>
            <w:tcBorders>
              <w:top w:val="nil"/>
              <w:bottom w:val="nil"/>
            </w:tcBorders>
            <w:noWrap/>
            <w:vAlign w:val="bottom"/>
          </w:tcPr>
          <w:p w14:paraId="7F2996B0" w14:textId="77777777" w:rsidR="003A11FB" w:rsidRPr="00037A46" w:rsidRDefault="003A11FB" w:rsidP="003A11FB">
            <w:pPr>
              <w:spacing w:before="0" w:after="0"/>
              <w:ind w:left="0"/>
              <w:jc w:val="right"/>
              <w:rPr>
                <w:bCs/>
              </w:rPr>
            </w:pPr>
            <w:r w:rsidRPr="00037A46">
              <w:rPr>
                <w:bCs/>
              </w:rPr>
              <w:t>1x2x600</w:t>
            </w:r>
          </w:p>
        </w:tc>
        <w:tc>
          <w:tcPr>
            <w:tcW w:w="1311" w:type="dxa"/>
            <w:tcBorders>
              <w:top w:val="nil"/>
              <w:bottom w:val="nil"/>
            </w:tcBorders>
            <w:noWrap/>
            <w:vAlign w:val="bottom"/>
          </w:tcPr>
          <w:p w14:paraId="7986E3D5" w14:textId="77777777" w:rsidR="003A11FB" w:rsidRPr="00037A46" w:rsidRDefault="003A11FB" w:rsidP="003A11FB">
            <w:pPr>
              <w:spacing w:before="0" w:after="0"/>
              <w:ind w:left="0"/>
              <w:jc w:val="right"/>
              <w:rPr>
                <w:bCs/>
              </w:rPr>
            </w:pPr>
            <w:r w:rsidRPr="00037A46">
              <w:rPr>
                <w:bCs/>
              </w:rPr>
              <w:t>2x2x600</w:t>
            </w:r>
          </w:p>
        </w:tc>
      </w:tr>
      <w:tr w:rsidR="003A11FB" w:rsidRPr="00037A46" w14:paraId="38236DCD" w14:textId="77777777">
        <w:trPr>
          <w:trHeight w:val="284"/>
          <w:jc w:val="center"/>
        </w:trPr>
        <w:tc>
          <w:tcPr>
            <w:tcW w:w="1149" w:type="dxa"/>
            <w:tcBorders>
              <w:top w:val="nil"/>
              <w:bottom w:val="nil"/>
            </w:tcBorders>
            <w:shd w:val="clear" w:color="auto" w:fill="C0C0C0"/>
            <w:noWrap/>
            <w:vAlign w:val="bottom"/>
          </w:tcPr>
          <w:p w14:paraId="007FDAC8" w14:textId="77777777" w:rsidR="003A11FB" w:rsidRPr="00037A46" w:rsidRDefault="003A11FB" w:rsidP="003A11FB">
            <w:pPr>
              <w:spacing w:before="0" w:after="0"/>
              <w:rPr>
                <w:b/>
                <w:bCs/>
              </w:rPr>
            </w:pPr>
            <w:r w:rsidRPr="00037A46">
              <w:rPr>
                <w:b/>
                <w:bCs/>
              </w:rPr>
              <w:t> </w:t>
            </w:r>
          </w:p>
        </w:tc>
        <w:tc>
          <w:tcPr>
            <w:tcW w:w="1236" w:type="dxa"/>
            <w:tcBorders>
              <w:top w:val="nil"/>
              <w:bottom w:val="nil"/>
            </w:tcBorders>
            <w:noWrap/>
            <w:vAlign w:val="bottom"/>
          </w:tcPr>
          <w:p w14:paraId="43F8CB7A" w14:textId="77777777" w:rsidR="003A11FB" w:rsidRPr="00037A46" w:rsidRDefault="003A11FB" w:rsidP="003A11FB">
            <w:pPr>
              <w:spacing w:before="0" w:after="0"/>
              <w:ind w:left="0"/>
              <w:jc w:val="right"/>
              <w:rPr>
                <w:bCs/>
              </w:rPr>
            </w:pPr>
            <w:r w:rsidRPr="00037A46">
              <w:rPr>
                <w:bCs/>
              </w:rPr>
              <w:t>1x2x700</w:t>
            </w:r>
          </w:p>
        </w:tc>
        <w:tc>
          <w:tcPr>
            <w:tcW w:w="1276" w:type="dxa"/>
            <w:tcBorders>
              <w:top w:val="nil"/>
              <w:bottom w:val="nil"/>
            </w:tcBorders>
            <w:noWrap/>
            <w:vAlign w:val="bottom"/>
          </w:tcPr>
          <w:p w14:paraId="3AA2D03A" w14:textId="77777777" w:rsidR="003A11FB" w:rsidRPr="00037A46" w:rsidRDefault="003A11FB" w:rsidP="003A11FB">
            <w:pPr>
              <w:spacing w:before="0" w:after="0"/>
              <w:jc w:val="right"/>
              <w:rPr>
                <w:bCs/>
              </w:rPr>
            </w:pPr>
            <w:r w:rsidRPr="00037A46">
              <w:rPr>
                <w:bCs/>
              </w:rPr>
              <w:t> </w:t>
            </w:r>
          </w:p>
        </w:tc>
        <w:tc>
          <w:tcPr>
            <w:tcW w:w="1276" w:type="dxa"/>
            <w:tcBorders>
              <w:top w:val="nil"/>
              <w:bottom w:val="nil"/>
            </w:tcBorders>
            <w:noWrap/>
            <w:vAlign w:val="bottom"/>
          </w:tcPr>
          <w:p w14:paraId="131B1C43" w14:textId="77777777" w:rsidR="003A11FB" w:rsidRPr="00037A46" w:rsidRDefault="003A11FB" w:rsidP="003A11FB">
            <w:pPr>
              <w:spacing w:before="0" w:after="0"/>
              <w:ind w:left="0"/>
              <w:jc w:val="right"/>
              <w:rPr>
                <w:bCs/>
              </w:rPr>
            </w:pPr>
            <w:r w:rsidRPr="00037A46">
              <w:rPr>
                <w:bCs/>
              </w:rPr>
              <w:t>1x2x650</w:t>
            </w:r>
          </w:p>
        </w:tc>
        <w:tc>
          <w:tcPr>
            <w:tcW w:w="1276" w:type="dxa"/>
            <w:tcBorders>
              <w:top w:val="nil"/>
              <w:bottom w:val="nil"/>
            </w:tcBorders>
            <w:noWrap/>
            <w:vAlign w:val="bottom"/>
          </w:tcPr>
          <w:p w14:paraId="1217EBFE" w14:textId="77777777" w:rsidR="003A11FB" w:rsidRPr="00037A46" w:rsidRDefault="003A11FB" w:rsidP="003A11FB">
            <w:pPr>
              <w:spacing w:before="0" w:after="0"/>
              <w:ind w:left="0"/>
              <w:jc w:val="right"/>
              <w:rPr>
                <w:bCs/>
              </w:rPr>
            </w:pPr>
            <w:r w:rsidRPr="00037A46">
              <w:rPr>
                <w:bCs/>
              </w:rPr>
              <w:t>2x2x550</w:t>
            </w:r>
          </w:p>
        </w:tc>
        <w:tc>
          <w:tcPr>
            <w:tcW w:w="1311" w:type="dxa"/>
            <w:tcBorders>
              <w:top w:val="nil"/>
              <w:bottom w:val="nil"/>
            </w:tcBorders>
            <w:noWrap/>
            <w:vAlign w:val="bottom"/>
          </w:tcPr>
          <w:p w14:paraId="3AC524D9" w14:textId="77777777" w:rsidR="003A11FB" w:rsidRPr="00037A46" w:rsidRDefault="003A11FB" w:rsidP="003A11FB">
            <w:pPr>
              <w:spacing w:before="0" w:after="0"/>
              <w:ind w:left="0"/>
              <w:jc w:val="right"/>
              <w:rPr>
                <w:bCs/>
              </w:rPr>
            </w:pPr>
            <w:r w:rsidRPr="00037A46">
              <w:rPr>
                <w:bCs/>
              </w:rPr>
              <w:t>1x2x650</w:t>
            </w:r>
          </w:p>
        </w:tc>
      </w:tr>
      <w:tr w:rsidR="003A11FB" w:rsidRPr="00037A46" w14:paraId="3B8D11B8" w14:textId="77777777">
        <w:trPr>
          <w:trHeight w:val="284"/>
          <w:jc w:val="center"/>
        </w:trPr>
        <w:tc>
          <w:tcPr>
            <w:tcW w:w="1149" w:type="dxa"/>
            <w:tcBorders>
              <w:top w:val="nil"/>
              <w:bottom w:val="nil"/>
            </w:tcBorders>
            <w:shd w:val="clear" w:color="auto" w:fill="C0C0C0"/>
            <w:noWrap/>
            <w:vAlign w:val="bottom"/>
          </w:tcPr>
          <w:p w14:paraId="42382A90" w14:textId="77777777" w:rsidR="003A11FB" w:rsidRPr="00037A46" w:rsidRDefault="003A11FB" w:rsidP="003A11FB">
            <w:pPr>
              <w:spacing w:before="0" w:after="0"/>
              <w:rPr>
                <w:b/>
                <w:bCs/>
              </w:rPr>
            </w:pPr>
            <w:r w:rsidRPr="00037A46">
              <w:rPr>
                <w:b/>
                <w:bCs/>
              </w:rPr>
              <w:t> </w:t>
            </w:r>
          </w:p>
        </w:tc>
        <w:tc>
          <w:tcPr>
            <w:tcW w:w="1236" w:type="dxa"/>
            <w:tcBorders>
              <w:top w:val="nil"/>
              <w:bottom w:val="nil"/>
            </w:tcBorders>
            <w:noWrap/>
            <w:vAlign w:val="bottom"/>
          </w:tcPr>
          <w:p w14:paraId="7FC5AF06" w14:textId="77777777" w:rsidR="003A11FB" w:rsidRPr="00037A46" w:rsidRDefault="003A11FB" w:rsidP="003A11FB">
            <w:pPr>
              <w:spacing w:before="0" w:after="0"/>
              <w:jc w:val="right"/>
              <w:rPr>
                <w:bCs/>
              </w:rPr>
            </w:pPr>
            <w:r w:rsidRPr="00037A46">
              <w:rPr>
                <w:bCs/>
              </w:rPr>
              <w:t> </w:t>
            </w:r>
          </w:p>
        </w:tc>
        <w:tc>
          <w:tcPr>
            <w:tcW w:w="1276" w:type="dxa"/>
            <w:tcBorders>
              <w:top w:val="nil"/>
              <w:bottom w:val="nil"/>
            </w:tcBorders>
            <w:noWrap/>
            <w:vAlign w:val="bottom"/>
          </w:tcPr>
          <w:p w14:paraId="5DD87BC7" w14:textId="77777777" w:rsidR="003A11FB" w:rsidRPr="00037A46" w:rsidRDefault="003A11FB" w:rsidP="003A11FB">
            <w:pPr>
              <w:spacing w:before="0" w:after="0"/>
              <w:jc w:val="right"/>
              <w:rPr>
                <w:bCs/>
              </w:rPr>
            </w:pPr>
            <w:r w:rsidRPr="00037A46">
              <w:rPr>
                <w:bCs/>
              </w:rPr>
              <w:t> </w:t>
            </w:r>
          </w:p>
        </w:tc>
        <w:tc>
          <w:tcPr>
            <w:tcW w:w="1276" w:type="dxa"/>
            <w:tcBorders>
              <w:top w:val="nil"/>
              <w:bottom w:val="nil"/>
            </w:tcBorders>
            <w:noWrap/>
            <w:vAlign w:val="bottom"/>
          </w:tcPr>
          <w:p w14:paraId="55117235" w14:textId="77777777" w:rsidR="003A11FB" w:rsidRPr="00037A46" w:rsidRDefault="003A11FB" w:rsidP="003A11FB">
            <w:pPr>
              <w:spacing w:before="0" w:after="0"/>
              <w:ind w:left="0"/>
              <w:jc w:val="right"/>
              <w:rPr>
                <w:bCs/>
              </w:rPr>
            </w:pPr>
            <w:r w:rsidRPr="00037A46">
              <w:rPr>
                <w:bCs/>
              </w:rPr>
              <w:t>1x2x600</w:t>
            </w:r>
          </w:p>
        </w:tc>
        <w:tc>
          <w:tcPr>
            <w:tcW w:w="1276" w:type="dxa"/>
            <w:tcBorders>
              <w:top w:val="nil"/>
              <w:bottom w:val="nil"/>
            </w:tcBorders>
            <w:noWrap/>
            <w:vAlign w:val="bottom"/>
          </w:tcPr>
          <w:p w14:paraId="19575132" w14:textId="77777777" w:rsidR="003A11FB" w:rsidRPr="00037A46" w:rsidRDefault="003A11FB" w:rsidP="003A11FB">
            <w:pPr>
              <w:spacing w:before="0" w:after="0"/>
              <w:ind w:left="0"/>
              <w:jc w:val="right"/>
              <w:rPr>
                <w:bCs/>
              </w:rPr>
            </w:pPr>
            <w:r w:rsidRPr="00037A46">
              <w:rPr>
                <w:bCs/>
              </w:rPr>
              <w:t>1x2x600</w:t>
            </w:r>
          </w:p>
        </w:tc>
        <w:tc>
          <w:tcPr>
            <w:tcW w:w="1311" w:type="dxa"/>
            <w:tcBorders>
              <w:top w:val="nil"/>
              <w:bottom w:val="nil"/>
            </w:tcBorders>
            <w:noWrap/>
            <w:vAlign w:val="bottom"/>
          </w:tcPr>
          <w:p w14:paraId="45D29AE5" w14:textId="77777777" w:rsidR="003A11FB" w:rsidRPr="00037A46" w:rsidRDefault="003A11FB" w:rsidP="003A11FB">
            <w:pPr>
              <w:spacing w:before="0" w:after="0"/>
              <w:ind w:left="0"/>
              <w:jc w:val="right"/>
              <w:rPr>
                <w:bCs/>
              </w:rPr>
            </w:pPr>
            <w:r w:rsidRPr="00037A46">
              <w:rPr>
                <w:bCs/>
              </w:rPr>
              <w:t>2x2x600</w:t>
            </w:r>
          </w:p>
        </w:tc>
      </w:tr>
      <w:tr w:rsidR="003A11FB" w:rsidRPr="00037A46" w14:paraId="4E3A132D" w14:textId="77777777">
        <w:trPr>
          <w:trHeight w:val="284"/>
          <w:jc w:val="center"/>
        </w:trPr>
        <w:tc>
          <w:tcPr>
            <w:tcW w:w="1149" w:type="dxa"/>
            <w:tcBorders>
              <w:top w:val="nil"/>
              <w:bottom w:val="nil"/>
            </w:tcBorders>
            <w:shd w:val="clear" w:color="auto" w:fill="C0C0C0"/>
            <w:noWrap/>
            <w:vAlign w:val="bottom"/>
          </w:tcPr>
          <w:p w14:paraId="2DED811C" w14:textId="77777777" w:rsidR="003A11FB" w:rsidRPr="00037A46" w:rsidRDefault="003A11FB" w:rsidP="003A11FB">
            <w:pPr>
              <w:spacing w:before="0" w:after="0"/>
              <w:rPr>
                <w:b/>
                <w:bCs/>
              </w:rPr>
            </w:pPr>
            <w:r w:rsidRPr="00037A46">
              <w:rPr>
                <w:b/>
                <w:bCs/>
              </w:rPr>
              <w:t> </w:t>
            </w:r>
          </w:p>
        </w:tc>
        <w:tc>
          <w:tcPr>
            <w:tcW w:w="1236" w:type="dxa"/>
            <w:tcBorders>
              <w:top w:val="nil"/>
              <w:bottom w:val="nil"/>
            </w:tcBorders>
            <w:noWrap/>
            <w:vAlign w:val="bottom"/>
          </w:tcPr>
          <w:p w14:paraId="0B7ECAAB" w14:textId="77777777" w:rsidR="003A11FB" w:rsidRPr="00037A46" w:rsidRDefault="003A11FB" w:rsidP="003A11FB">
            <w:pPr>
              <w:spacing w:before="0" w:after="0"/>
              <w:jc w:val="right"/>
              <w:rPr>
                <w:bCs/>
              </w:rPr>
            </w:pPr>
            <w:r w:rsidRPr="00037A46">
              <w:rPr>
                <w:bCs/>
              </w:rPr>
              <w:t> </w:t>
            </w:r>
          </w:p>
        </w:tc>
        <w:tc>
          <w:tcPr>
            <w:tcW w:w="1276" w:type="dxa"/>
            <w:tcBorders>
              <w:top w:val="nil"/>
              <w:bottom w:val="nil"/>
            </w:tcBorders>
            <w:noWrap/>
            <w:vAlign w:val="bottom"/>
          </w:tcPr>
          <w:p w14:paraId="1A31BE24" w14:textId="77777777" w:rsidR="003A11FB" w:rsidRPr="00037A46" w:rsidRDefault="003A11FB" w:rsidP="003A11FB">
            <w:pPr>
              <w:spacing w:before="0" w:after="0"/>
              <w:jc w:val="right"/>
              <w:rPr>
                <w:bCs/>
              </w:rPr>
            </w:pPr>
            <w:r w:rsidRPr="00037A46">
              <w:rPr>
                <w:bCs/>
              </w:rPr>
              <w:t> </w:t>
            </w:r>
          </w:p>
        </w:tc>
        <w:tc>
          <w:tcPr>
            <w:tcW w:w="1276" w:type="dxa"/>
            <w:tcBorders>
              <w:top w:val="nil"/>
              <w:bottom w:val="nil"/>
            </w:tcBorders>
            <w:noWrap/>
            <w:vAlign w:val="bottom"/>
          </w:tcPr>
          <w:p w14:paraId="01583184" w14:textId="77777777" w:rsidR="003A11FB" w:rsidRPr="00037A46" w:rsidRDefault="003A11FB" w:rsidP="003A11FB">
            <w:pPr>
              <w:spacing w:before="0" w:after="0"/>
              <w:ind w:left="0"/>
              <w:jc w:val="right"/>
              <w:rPr>
                <w:bCs/>
              </w:rPr>
            </w:pPr>
            <w:r w:rsidRPr="00037A46">
              <w:rPr>
                <w:bCs/>
              </w:rPr>
              <w:t>1x2x650</w:t>
            </w:r>
          </w:p>
        </w:tc>
        <w:tc>
          <w:tcPr>
            <w:tcW w:w="1276" w:type="dxa"/>
            <w:tcBorders>
              <w:top w:val="nil"/>
              <w:bottom w:val="nil"/>
            </w:tcBorders>
            <w:noWrap/>
            <w:vAlign w:val="bottom"/>
          </w:tcPr>
          <w:p w14:paraId="2F703E8A" w14:textId="77777777" w:rsidR="003A11FB" w:rsidRPr="00037A46" w:rsidRDefault="003A11FB" w:rsidP="003A11FB">
            <w:pPr>
              <w:spacing w:before="0" w:after="0"/>
              <w:ind w:left="0"/>
              <w:jc w:val="right"/>
              <w:rPr>
                <w:bCs/>
              </w:rPr>
            </w:pPr>
            <w:r w:rsidRPr="00037A46">
              <w:rPr>
                <w:bCs/>
              </w:rPr>
              <w:t>1x2x550</w:t>
            </w:r>
          </w:p>
        </w:tc>
        <w:tc>
          <w:tcPr>
            <w:tcW w:w="1311" w:type="dxa"/>
            <w:tcBorders>
              <w:top w:val="nil"/>
              <w:bottom w:val="nil"/>
            </w:tcBorders>
            <w:noWrap/>
            <w:vAlign w:val="bottom"/>
          </w:tcPr>
          <w:p w14:paraId="001C06B6" w14:textId="77777777" w:rsidR="003A11FB" w:rsidRPr="00037A46" w:rsidRDefault="003A11FB" w:rsidP="003A11FB">
            <w:pPr>
              <w:spacing w:before="0" w:after="0"/>
              <w:ind w:left="0"/>
              <w:jc w:val="right"/>
              <w:rPr>
                <w:bCs/>
              </w:rPr>
            </w:pPr>
            <w:r w:rsidRPr="00037A46">
              <w:rPr>
                <w:bCs/>
              </w:rPr>
              <w:t>1x2x650</w:t>
            </w:r>
          </w:p>
        </w:tc>
      </w:tr>
      <w:tr w:rsidR="003A11FB" w:rsidRPr="00037A46" w14:paraId="5D3CCFE9" w14:textId="77777777">
        <w:trPr>
          <w:trHeight w:val="284"/>
          <w:jc w:val="center"/>
        </w:trPr>
        <w:tc>
          <w:tcPr>
            <w:tcW w:w="1149" w:type="dxa"/>
            <w:tcBorders>
              <w:top w:val="nil"/>
              <w:bottom w:val="nil"/>
            </w:tcBorders>
            <w:shd w:val="clear" w:color="auto" w:fill="C0C0C0"/>
            <w:noWrap/>
            <w:vAlign w:val="bottom"/>
          </w:tcPr>
          <w:p w14:paraId="24FE7723" w14:textId="77777777" w:rsidR="003A11FB" w:rsidRPr="00037A46" w:rsidRDefault="003A11FB" w:rsidP="003A11FB">
            <w:pPr>
              <w:spacing w:before="0" w:after="0"/>
              <w:rPr>
                <w:b/>
                <w:bCs/>
              </w:rPr>
            </w:pPr>
            <w:r w:rsidRPr="00037A46">
              <w:rPr>
                <w:b/>
                <w:bCs/>
              </w:rPr>
              <w:t> </w:t>
            </w:r>
          </w:p>
        </w:tc>
        <w:tc>
          <w:tcPr>
            <w:tcW w:w="1236" w:type="dxa"/>
            <w:tcBorders>
              <w:top w:val="nil"/>
              <w:bottom w:val="nil"/>
            </w:tcBorders>
            <w:noWrap/>
            <w:vAlign w:val="bottom"/>
          </w:tcPr>
          <w:p w14:paraId="512D325C" w14:textId="77777777" w:rsidR="003A11FB" w:rsidRPr="00037A46" w:rsidRDefault="003A11FB" w:rsidP="003A11FB">
            <w:pPr>
              <w:spacing w:before="0" w:after="0"/>
              <w:jc w:val="right"/>
              <w:rPr>
                <w:bCs/>
              </w:rPr>
            </w:pPr>
            <w:r w:rsidRPr="00037A46">
              <w:rPr>
                <w:bCs/>
              </w:rPr>
              <w:t> </w:t>
            </w:r>
          </w:p>
        </w:tc>
        <w:tc>
          <w:tcPr>
            <w:tcW w:w="1276" w:type="dxa"/>
            <w:tcBorders>
              <w:top w:val="nil"/>
              <w:bottom w:val="nil"/>
            </w:tcBorders>
            <w:noWrap/>
            <w:vAlign w:val="bottom"/>
          </w:tcPr>
          <w:p w14:paraId="4DF1D98C" w14:textId="77777777" w:rsidR="003A11FB" w:rsidRPr="00037A46" w:rsidRDefault="003A11FB" w:rsidP="003A11FB">
            <w:pPr>
              <w:spacing w:before="0" w:after="0"/>
              <w:jc w:val="right"/>
              <w:rPr>
                <w:bCs/>
              </w:rPr>
            </w:pPr>
            <w:r w:rsidRPr="00037A46">
              <w:rPr>
                <w:bCs/>
              </w:rPr>
              <w:t> </w:t>
            </w:r>
          </w:p>
        </w:tc>
        <w:tc>
          <w:tcPr>
            <w:tcW w:w="1276" w:type="dxa"/>
            <w:tcBorders>
              <w:top w:val="nil"/>
              <w:bottom w:val="nil"/>
            </w:tcBorders>
            <w:noWrap/>
            <w:vAlign w:val="bottom"/>
          </w:tcPr>
          <w:p w14:paraId="5233BFCD" w14:textId="77777777" w:rsidR="003A11FB" w:rsidRPr="00037A46" w:rsidRDefault="003A11FB" w:rsidP="003A11FB">
            <w:pPr>
              <w:spacing w:before="0" w:after="0"/>
              <w:ind w:left="0"/>
              <w:jc w:val="right"/>
              <w:rPr>
                <w:bCs/>
              </w:rPr>
            </w:pPr>
            <w:r w:rsidRPr="00037A46">
              <w:rPr>
                <w:bCs/>
              </w:rPr>
              <w:t>2x2x600</w:t>
            </w:r>
          </w:p>
        </w:tc>
        <w:tc>
          <w:tcPr>
            <w:tcW w:w="1276" w:type="dxa"/>
            <w:tcBorders>
              <w:top w:val="nil"/>
              <w:bottom w:val="nil"/>
            </w:tcBorders>
            <w:noWrap/>
            <w:vAlign w:val="bottom"/>
          </w:tcPr>
          <w:p w14:paraId="2652038D" w14:textId="77777777" w:rsidR="003A11FB" w:rsidRPr="00037A46" w:rsidRDefault="003A11FB" w:rsidP="003A11FB">
            <w:pPr>
              <w:spacing w:before="0" w:after="0"/>
              <w:ind w:left="0"/>
              <w:jc w:val="right"/>
              <w:rPr>
                <w:bCs/>
              </w:rPr>
            </w:pPr>
            <w:r w:rsidRPr="00037A46">
              <w:rPr>
                <w:bCs/>
              </w:rPr>
              <w:t>1x2x600</w:t>
            </w:r>
          </w:p>
        </w:tc>
        <w:tc>
          <w:tcPr>
            <w:tcW w:w="1311" w:type="dxa"/>
            <w:tcBorders>
              <w:top w:val="nil"/>
              <w:bottom w:val="nil"/>
            </w:tcBorders>
            <w:noWrap/>
            <w:vAlign w:val="bottom"/>
          </w:tcPr>
          <w:p w14:paraId="335EF72A" w14:textId="77777777" w:rsidR="003A11FB" w:rsidRPr="00037A46" w:rsidRDefault="003A11FB" w:rsidP="003A11FB">
            <w:pPr>
              <w:spacing w:before="0" w:after="0"/>
              <w:ind w:left="0"/>
              <w:jc w:val="right"/>
              <w:rPr>
                <w:bCs/>
              </w:rPr>
            </w:pPr>
            <w:r w:rsidRPr="00037A46">
              <w:rPr>
                <w:bCs/>
              </w:rPr>
              <w:t>1x2x600</w:t>
            </w:r>
          </w:p>
        </w:tc>
      </w:tr>
      <w:tr w:rsidR="003A11FB" w:rsidRPr="00037A46" w14:paraId="72C1AB35" w14:textId="77777777">
        <w:trPr>
          <w:trHeight w:val="284"/>
          <w:jc w:val="center"/>
        </w:trPr>
        <w:tc>
          <w:tcPr>
            <w:tcW w:w="1149" w:type="dxa"/>
            <w:tcBorders>
              <w:top w:val="nil"/>
              <w:bottom w:val="nil"/>
            </w:tcBorders>
            <w:shd w:val="clear" w:color="auto" w:fill="C0C0C0"/>
            <w:noWrap/>
            <w:vAlign w:val="bottom"/>
          </w:tcPr>
          <w:p w14:paraId="01010CB1" w14:textId="77777777" w:rsidR="003A11FB" w:rsidRPr="00037A46" w:rsidRDefault="003A11FB" w:rsidP="003A11FB">
            <w:pPr>
              <w:spacing w:before="0" w:after="0"/>
              <w:rPr>
                <w:b/>
                <w:bCs/>
              </w:rPr>
            </w:pPr>
            <w:r w:rsidRPr="00037A46">
              <w:rPr>
                <w:b/>
                <w:bCs/>
              </w:rPr>
              <w:t> </w:t>
            </w:r>
          </w:p>
        </w:tc>
        <w:tc>
          <w:tcPr>
            <w:tcW w:w="1236" w:type="dxa"/>
            <w:tcBorders>
              <w:top w:val="nil"/>
              <w:bottom w:val="nil"/>
            </w:tcBorders>
            <w:noWrap/>
            <w:vAlign w:val="bottom"/>
          </w:tcPr>
          <w:p w14:paraId="20509D1F" w14:textId="77777777" w:rsidR="003A11FB" w:rsidRPr="00037A46" w:rsidRDefault="003A11FB" w:rsidP="003A11FB">
            <w:pPr>
              <w:spacing w:before="0" w:after="0"/>
              <w:jc w:val="right"/>
              <w:rPr>
                <w:bCs/>
              </w:rPr>
            </w:pPr>
            <w:r w:rsidRPr="00037A46">
              <w:rPr>
                <w:bCs/>
              </w:rPr>
              <w:t> </w:t>
            </w:r>
          </w:p>
        </w:tc>
        <w:tc>
          <w:tcPr>
            <w:tcW w:w="1276" w:type="dxa"/>
            <w:tcBorders>
              <w:top w:val="nil"/>
              <w:bottom w:val="nil"/>
            </w:tcBorders>
            <w:noWrap/>
            <w:vAlign w:val="bottom"/>
          </w:tcPr>
          <w:p w14:paraId="4FA8784B" w14:textId="77777777" w:rsidR="003A11FB" w:rsidRPr="00037A46" w:rsidRDefault="003A11FB" w:rsidP="003A11FB">
            <w:pPr>
              <w:spacing w:before="0" w:after="0"/>
              <w:jc w:val="right"/>
              <w:rPr>
                <w:bCs/>
              </w:rPr>
            </w:pPr>
            <w:r w:rsidRPr="00037A46">
              <w:rPr>
                <w:bCs/>
              </w:rPr>
              <w:t> </w:t>
            </w:r>
          </w:p>
        </w:tc>
        <w:tc>
          <w:tcPr>
            <w:tcW w:w="1276" w:type="dxa"/>
            <w:tcBorders>
              <w:top w:val="nil"/>
              <w:bottom w:val="nil"/>
            </w:tcBorders>
            <w:noWrap/>
            <w:vAlign w:val="bottom"/>
          </w:tcPr>
          <w:p w14:paraId="0D1BA5E9" w14:textId="77777777" w:rsidR="003A11FB" w:rsidRPr="00037A46" w:rsidRDefault="003A11FB" w:rsidP="003A11FB">
            <w:pPr>
              <w:spacing w:before="0" w:after="0"/>
              <w:ind w:left="0"/>
              <w:jc w:val="right"/>
              <w:rPr>
                <w:bCs/>
              </w:rPr>
            </w:pPr>
            <w:r w:rsidRPr="00037A46">
              <w:rPr>
                <w:bCs/>
              </w:rPr>
              <w:t>1x2x850</w:t>
            </w:r>
          </w:p>
        </w:tc>
        <w:tc>
          <w:tcPr>
            <w:tcW w:w="1276" w:type="dxa"/>
            <w:tcBorders>
              <w:top w:val="nil"/>
              <w:bottom w:val="nil"/>
            </w:tcBorders>
            <w:noWrap/>
            <w:vAlign w:val="bottom"/>
          </w:tcPr>
          <w:p w14:paraId="78B8908A" w14:textId="77777777" w:rsidR="003A11FB" w:rsidRPr="00037A46" w:rsidRDefault="003A11FB" w:rsidP="003A11FB">
            <w:pPr>
              <w:spacing w:before="0" w:after="0"/>
              <w:ind w:left="0"/>
              <w:jc w:val="right"/>
              <w:rPr>
                <w:bCs/>
              </w:rPr>
            </w:pPr>
            <w:r w:rsidRPr="00037A46">
              <w:rPr>
                <w:bCs/>
              </w:rPr>
              <w:t>1x2x550</w:t>
            </w:r>
          </w:p>
        </w:tc>
        <w:tc>
          <w:tcPr>
            <w:tcW w:w="1311" w:type="dxa"/>
            <w:tcBorders>
              <w:top w:val="nil"/>
              <w:bottom w:val="nil"/>
            </w:tcBorders>
            <w:noWrap/>
            <w:vAlign w:val="bottom"/>
          </w:tcPr>
          <w:p w14:paraId="5B8E077A" w14:textId="77777777" w:rsidR="003A11FB" w:rsidRPr="00037A46" w:rsidRDefault="003A11FB" w:rsidP="003A11FB">
            <w:pPr>
              <w:spacing w:before="0" w:after="0"/>
              <w:ind w:left="0"/>
              <w:jc w:val="right"/>
              <w:rPr>
                <w:bCs/>
              </w:rPr>
            </w:pPr>
            <w:r w:rsidRPr="00037A46">
              <w:rPr>
                <w:bCs/>
              </w:rPr>
              <w:t>1x2x650</w:t>
            </w:r>
          </w:p>
        </w:tc>
      </w:tr>
      <w:tr w:rsidR="003A11FB" w:rsidRPr="00037A46" w14:paraId="0E2B78C6" w14:textId="77777777">
        <w:trPr>
          <w:trHeight w:val="284"/>
          <w:jc w:val="center"/>
        </w:trPr>
        <w:tc>
          <w:tcPr>
            <w:tcW w:w="1149" w:type="dxa"/>
            <w:tcBorders>
              <w:top w:val="nil"/>
              <w:bottom w:val="single" w:sz="8" w:space="0" w:color="auto"/>
            </w:tcBorders>
            <w:shd w:val="clear" w:color="auto" w:fill="C0C0C0"/>
            <w:noWrap/>
            <w:vAlign w:val="bottom"/>
          </w:tcPr>
          <w:p w14:paraId="0AD212EF" w14:textId="77777777" w:rsidR="003A11FB" w:rsidRPr="00037A46" w:rsidRDefault="003A11FB" w:rsidP="003A11FB">
            <w:pPr>
              <w:spacing w:before="0" w:after="0"/>
              <w:rPr>
                <w:b/>
                <w:bCs/>
              </w:rPr>
            </w:pPr>
            <w:r w:rsidRPr="00037A46">
              <w:rPr>
                <w:b/>
                <w:bCs/>
              </w:rPr>
              <w:t> </w:t>
            </w:r>
          </w:p>
        </w:tc>
        <w:tc>
          <w:tcPr>
            <w:tcW w:w="1236" w:type="dxa"/>
            <w:tcBorders>
              <w:top w:val="nil"/>
              <w:bottom w:val="single" w:sz="8" w:space="0" w:color="auto"/>
            </w:tcBorders>
            <w:noWrap/>
            <w:vAlign w:val="bottom"/>
          </w:tcPr>
          <w:p w14:paraId="382D05E9" w14:textId="77777777" w:rsidR="003A11FB" w:rsidRPr="00037A46" w:rsidRDefault="003A11FB" w:rsidP="003A11FB">
            <w:pPr>
              <w:spacing w:before="0" w:after="0"/>
              <w:jc w:val="right"/>
              <w:rPr>
                <w:bCs/>
              </w:rPr>
            </w:pPr>
            <w:r w:rsidRPr="00037A46">
              <w:rPr>
                <w:bCs/>
              </w:rPr>
              <w:t> </w:t>
            </w:r>
          </w:p>
        </w:tc>
        <w:tc>
          <w:tcPr>
            <w:tcW w:w="1276" w:type="dxa"/>
            <w:tcBorders>
              <w:top w:val="nil"/>
              <w:bottom w:val="single" w:sz="8" w:space="0" w:color="auto"/>
            </w:tcBorders>
            <w:noWrap/>
            <w:vAlign w:val="bottom"/>
          </w:tcPr>
          <w:p w14:paraId="32488021" w14:textId="77777777" w:rsidR="003A11FB" w:rsidRPr="00037A46" w:rsidRDefault="003A11FB" w:rsidP="003A11FB">
            <w:pPr>
              <w:spacing w:before="0" w:after="0"/>
              <w:jc w:val="right"/>
              <w:rPr>
                <w:bCs/>
              </w:rPr>
            </w:pPr>
            <w:r w:rsidRPr="00037A46">
              <w:rPr>
                <w:bCs/>
              </w:rPr>
              <w:t> </w:t>
            </w:r>
          </w:p>
        </w:tc>
        <w:tc>
          <w:tcPr>
            <w:tcW w:w="1276" w:type="dxa"/>
            <w:tcBorders>
              <w:top w:val="nil"/>
              <w:bottom w:val="single" w:sz="8" w:space="0" w:color="auto"/>
            </w:tcBorders>
            <w:noWrap/>
            <w:vAlign w:val="bottom"/>
          </w:tcPr>
          <w:p w14:paraId="22684C94" w14:textId="77777777" w:rsidR="003A11FB" w:rsidRPr="00037A46" w:rsidRDefault="003A11FB" w:rsidP="003A11FB">
            <w:pPr>
              <w:spacing w:before="0" w:after="0"/>
              <w:jc w:val="right"/>
              <w:rPr>
                <w:bCs/>
              </w:rPr>
            </w:pPr>
            <w:r w:rsidRPr="00037A46">
              <w:rPr>
                <w:bCs/>
              </w:rPr>
              <w:t> </w:t>
            </w:r>
          </w:p>
        </w:tc>
        <w:tc>
          <w:tcPr>
            <w:tcW w:w="1276" w:type="dxa"/>
            <w:tcBorders>
              <w:top w:val="nil"/>
              <w:bottom w:val="single" w:sz="8" w:space="0" w:color="auto"/>
            </w:tcBorders>
            <w:noWrap/>
            <w:vAlign w:val="bottom"/>
          </w:tcPr>
          <w:p w14:paraId="164E9466" w14:textId="77777777" w:rsidR="003A11FB" w:rsidRPr="00037A46" w:rsidRDefault="003A11FB" w:rsidP="003A11FB">
            <w:pPr>
              <w:spacing w:before="0" w:after="0"/>
              <w:ind w:left="0"/>
              <w:jc w:val="right"/>
              <w:rPr>
                <w:bCs/>
              </w:rPr>
            </w:pPr>
            <w:r w:rsidRPr="00037A46">
              <w:rPr>
                <w:bCs/>
              </w:rPr>
              <w:t>1x2x600</w:t>
            </w:r>
          </w:p>
        </w:tc>
        <w:tc>
          <w:tcPr>
            <w:tcW w:w="1311" w:type="dxa"/>
            <w:tcBorders>
              <w:top w:val="nil"/>
              <w:bottom w:val="single" w:sz="8" w:space="0" w:color="auto"/>
            </w:tcBorders>
            <w:noWrap/>
            <w:vAlign w:val="bottom"/>
          </w:tcPr>
          <w:p w14:paraId="5F9FBD3B" w14:textId="77777777" w:rsidR="003A11FB" w:rsidRPr="00037A46" w:rsidRDefault="003A11FB" w:rsidP="003A11FB">
            <w:pPr>
              <w:spacing w:before="0" w:after="0"/>
              <w:ind w:left="0"/>
              <w:jc w:val="right"/>
              <w:rPr>
                <w:bCs/>
              </w:rPr>
            </w:pPr>
            <w:r w:rsidRPr="00037A46">
              <w:rPr>
                <w:bCs/>
              </w:rPr>
              <w:t>1x2x850</w:t>
            </w:r>
          </w:p>
        </w:tc>
      </w:tr>
      <w:tr w:rsidR="003A11FB" w:rsidRPr="00037A46" w14:paraId="51B71749" w14:textId="77777777">
        <w:trPr>
          <w:trHeight w:val="284"/>
          <w:jc w:val="center"/>
        </w:trPr>
        <w:tc>
          <w:tcPr>
            <w:tcW w:w="1149" w:type="dxa"/>
            <w:tcBorders>
              <w:top w:val="single" w:sz="8" w:space="0" w:color="auto"/>
            </w:tcBorders>
            <w:shd w:val="clear" w:color="auto" w:fill="C0C0C0"/>
            <w:noWrap/>
            <w:vAlign w:val="bottom"/>
          </w:tcPr>
          <w:p w14:paraId="34C4EC78" w14:textId="77777777" w:rsidR="003A11FB" w:rsidRPr="00037A46" w:rsidRDefault="003A11FB" w:rsidP="003A11FB">
            <w:pPr>
              <w:spacing w:before="0" w:after="0"/>
              <w:jc w:val="right"/>
              <w:rPr>
                <w:b/>
                <w:bCs/>
              </w:rPr>
            </w:pPr>
            <w:r w:rsidRPr="00037A46">
              <w:rPr>
                <w:b/>
                <w:bCs/>
              </w:rPr>
              <w:t>0</w:t>
            </w:r>
          </w:p>
        </w:tc>
        <w:tc>
          <w:tcPr>
            <w:tcW w:w="1236" w:type="dxa"/>
            <w:tcBorders>
              <w:top w:val="single" w:sz="8" w:space="0" w:color="auto"/>
            </w:tcBorders>
            <w:noWrap/>
            <w:vAlign w:val="bottom"/>
          </w:tcPr>
          <w:p w14:paraId="01B07557" w14:textId="77777777" w:rsidR="003A11FB" w:rsidRPr="00037A46" w:rsidRDefault="003A11FB" w:rsidP="003A11FB">
            <w:pPr>
              <w:spacing w:before="0" w:after="0"/>
              <w:ind w:left="0"/>
              <w:jc w:val="right"/>
              <w:rPr>
                <w:bCs/>
              </w:rPr>
            </w:pPr>
            <w:r w:rsidRPr="00037A46">
              <w:rPr>
                <w:bCs/>
              </w:rPr>
              <w:t>13.550</w:t>
            </w:r>
          </w:p>
        </w:tc>
        <w:tc>
          <w:tcPr>
            <w:tcW w:w="1276" w:type="dxa"/>
            <w:tcBorders>
              <w:top w:val="single" w:sz="8" w:space="0" w:color="auto"/>
            </w:tcBorders>
            <w:noWrap/>
            <w:vAlign w:val="bottom"/>
          </w:tcPr>
          <w:p w14:paraId="6992317E" w14:textId="77777777" w:rsidR="003A11FB" w:rsidRPr="00037A46" w:rsidRDefault="003A11FB" w:rsidP="003A11FB">
            <w:pPr>
              <w:spacing w:before="0" w:after="0"/>
              <w:ind w:left="0"/>
              <w:jc w:val="right"/>
              <w:rPr>
                <w:bCs/>
              </w:rPr>
            </w:pPr>
            <w:r w:rsidRPr="00037A46">
              <w:rPr>
                <w:bCs/>
              </w:rPr>
              <w:t>14.250</w:t>
            </w:r>
          </w:p>
        </w:tc>
        <w:tc>
          <w:tcPr>
            <w:tcW w:w="1276" w:type="dxa"/>
            <w:tcBorders>
              <w:top w:val="single" w:sz="8" w:space="0" w:color="auto"/>
            </w:tcBorders>
            <w:noWrap/>
            <w:vAlign w:val="bottom"/>
          </w:tcPr>
          <w:p w14:paraId="28819308" w14:textId="77777777" w:rsidR="003A11FB" w:rsidRPr="00037A46" w:rsidRDefault="003A11FB" w:rsidP="003A11FB">
            <w:pPr>
              <w:spacing w:before="0" w:after="0"/>
              <w:ind w:left="0"/>
              <w:jc w:val="right"/>
              <w:rPr>
                <w:bCs/>
              </w:rPr>
            </w:pPr>
            <w:r w:rsidRPr="00037A46">
              <w:rPr>
                <w:bCs/>
              </w:rPr>
              <w:t>15.900</w:t>
            </w:r>
          </w:p>
        </w:tc>
        <w:tc>
          <w:tcPr>
            <w:tcW w:w="1276" w:type="dxa"/>
            <w:tcBorders>
              <w:top w:val="single" w:sz="8" w:space="0" w:color="auto"/>
            </w:tcBorders>
            <w:noWrap/>
            <w:vAlign w:val="bottom"/>
          </w:tcPr>
          <w:p w14:paraId="0DF265BD" w14:textId="77777777" w:rsidR="003A11FB" w:rsidRPr="00037A46" w:rsidRDefault="003A11FB" w:rsidP="003A11FB">
            <w:pPr>
              <w:spacing w:before="0" w:after="0"/>
              <w:ind w:left="0"/>
              <w:jc w:val="right"/>
              <w:rPr>
                <w:bCs/>
              </w:rPr>
            </w:pPr>
            <w:r w:rsidRPr="00037A46">
              <w:rPr>
                <w:bCs/>
              </w:rPr>
              <w:t>18.550</w:t>
            </w:r>
          </w:p>
        </w:tc>
        <w:tc>
          <w:tcPr>
            <w:tcW w:w="1311" w:type="dxa"/>
            <w:tcBorders>
              <w:top w:val="single" w:sz="8" w:space="0" w:color="auto"/>
            </w:tcBorders>
            <w:noWrap/>
            <w:vAlign w:val="bottom"/>
          </w:tcPr>
          <w:p w14:paraId="2735B03F" w14:textId="77777777" w:rsidR="003A11FB" w:rsidRPr="00037A46" w:rsidRDefault="003A11FB" w:rsidP="003A11FB">
            <w:pPr>
              <w:spacing w:before="0" w:after="0"/>
              <w:ind w:left="0"/>
              <w:jc w:val="right"/>
              <w:rPr>
                <w:bCs/>
              </w:rPr>
            </w:pPr>
            <w:r w:rsidRPr="00037A46">
              <w:rPr>
                <w:bCs/>
              </w:rPr>
              <w:t>20.400</w:t>
            </w:r>
          </w:p>
        </w:tc>
      </w:tr>
      <w:tr w:rsidR="003A11FB" w:rsidRPr="00037A46" w14:paraId="1372F40F" w14:textId="77777777">
        <w:trPr>
          <w:trHeight w:val="284"/>
          <w:jc w:val="center"/>
        </w:trPr>
        <w:tc>
          <w:tcPr>
            <w:tcW w:w="1149" w:type="dxa"/>
            <w:shd w:val="clear" w:color="auto" w:fill="C0C0C0"/>
            <w:noWrap/>
            <w:vAlign w:val="bottom"/>
          </w:tcPr>
          <w:p w14:paraId="78052069" w14:textId="77777777" w:rsidR="003A11FB" w:rsidRPr="00037A46" w:rsidRDefault="003A11FB" w:rsidP="003A11FB">
            <w:pPr>
              <w:spacing w:before="0" w:after="0"/>
              <w:jc w:val="right"/>
              <w:rPr>
                <w:b/>
                <w:bCs/>
              </w:rPr>
            </w:pPr>
            <w:r w:rsidRPr="00037A46">
              <w:rPr>
                <w:b/>
                <w:bCs/>
              </w:rPr>
              <w:t>1</w:t>
            </w:r>
          </w:p>
        </w:tc>
        <w:tc>
          <w:tcPr>
            <w:tcW w:w="1236" w:type="dxa"/>
            <w:noWrap/>
            <w:vAlign w:val="bottom"/>
          </w:tcPr>
          <w:p w14:paraId="77B954A0" w14:textId="77777777" w:rsidR="003A11FB" w:rsidRPr="00037A46" w:rsidRDefault="003A11FB" w:rsidP="003A11FB">
            <w:pPr>
              <w:spacing w:before="0" w:after="0"/>
              <w:ind w:left="0"/>
              <w:jc w:val="right"/>
              <w:rPr>
                <w:bCs/>
              </w:rPr>
            </w:pPr>
            <w:r w:rsidRPr="00037A46">
              <w:rPr>
                <w:bCs/>
              </w:rPr>
              <w:t>14.150</w:t>
            </w:r>
          </w:p>
        </w:tc>
        <w:tc>
          <w:tcPr>
            <w:tcW w:w="1276" w:type="dxa"/>
            <w:noWrap/>
            <w:vAlign w:val="bottom"/>
          </w:tcPr>
          <w:p w14:paraId="1BF08154" w14:textId="77777777" w:rsidR="003A11FB" w:rsidRPr="00037A46" w:rsidRDefault="003A11FB" w:rsidP="003A11FB">
            <w:pPr>
              <w:spacing w:before="0" w:after="0"/>
              <w:ind w:left="0"/>
              <w:jc w:val="right"/>
              <w:rPr>
                <w:bCs/>
              </w:rPr>
            </w:pPr>
            <w:r w:rsidRPr="00037A46">
              <w:rPr>
                <w:bCs/>
              </w:rPr>
              <w:t>14.800</w:t>
            </w:r>
          </w:p>
        </w:tc>
        <w:tc>
          <w:tcPr>
            <w:tcW w:w="1276" w:type="dxa"/>
            <w:noWrap/>
            <w:vAlign w:val="bottom"/>
          </w:tcPr>
          <w:p w14:paraId="749E2916" w14:textId="77777777" w:rsidR="003A11FB" w:rsidRPr="00037A46" w:rsidRDefault="003A11FB" w:rsidP="003A11FB">
            <w:pPr>
              <w:spacing w:before="0" w:after="0"/>
              <w:ind w:left="0"/>
              <w:jc w:val="right"/>
              <w:rPr>
                <w:bCs/>
              </w:rPr>
            </w:pPr>
            <w:r w:rsidRPr="00037A46">
              <w:rPr>
                <w:bCs/>
              </w:rPr>
              <w:t>16.550</w:t>
            </w:r>
          </w:p>
        </w:tc>
        <w:tc>
          <w:tcPr>
            <w:tcW w:w="1276" w:type="dxa"/>
            <w:noWrap/>
            <w:vAlign w:val="bottom"/>
          </w:tcPr>
          <w:p w14:paraId="729B2C52" w14:textId="77777777" w:rsidR="003A11FB" w:rsidRPr="00037A46" w:rsidRDefault="003A11FB" w:rsidP="003A11FB">
            <w:pPr>
              <w:spacing w:before="0" w:after="0"/>
              <w:ind w:left="0"/>
              <w:jc w:val="right"/>
              <w:rPr>
                <w:bCs/>
              </w:rPr>
            </w:pPr>
            <w:r w:rsidRPr="00037A46">
              <w:rPr>
                <w:bCs/>
              </w:rPr>
              <w:t>19.100</w:t>
            </w:r>
          </w:p>
        </w:tc>
        <w:tc>
          <w:tcPr>
            <w:tcW w:w="1311" w:type="dxa"/>
            <w:noWrap/>
            <w:vAlign w:val="bottom"/>
          </w:tcPr>
          <w:p w14:paraId="46004564" w14:textId="77777777" w:rsidR="003A11FB" w:rsidRPr="00037A46" w:rsidRDefault="003A11FB" w:rsidP="003A11FB">
            <w:pPr>
              <w:spacing w:before="0" w:after="0"/>
              <w:ind w:left="0"/>
              <w:jc w:val="right"/>
              <w:rPr>
                <w:bCs/>
              </w:rPr>
            </w:pPr>
            <w:r w:rsidRPr="00037A46">
              <w:rPr>
                <w:bCs/>
              </w:rPr>
              <w:t>21.000</w:t>
            </w:r>
          </w:p>
        </w:tc>
      </w:tr>
      <w:tr w:rsidR="003A11FB" w:rsidRPr="00037A46" w14:paraId="4EBB97C8" w14:textId="77777777">
        <w:trPr>
          <w:trHeight w:val="284"/>
          <w:jc w:val="center"/>
        </w:trPr>
        <w:tc>
          <w:tcPr>
            <w:tcW w:w="1149" w:type="dxa"/>
            <w:shd w:val="clear" w:color="auto" w:fill="C0C0C0"/>
            <w:noWrap/>
            <w:vAlign w:val="bottom"/>
          </w:tcPr>
          <w:p w14:paraId="3C09980D" w14:textId="77777777" w:rsidR="003A11FB" w:rsidRPr="00037A46" w:rsidRDefault="003A11FB" w:rsidP="003A11FB">
            <w:pPr>
              <w:spacing w:before="0" w:after="0"/>
              <w:jc w:val="right"/>
              <w:rPr>
                <w:b/>
                <w:bCs/>
              </w:rPr>
            </w:pPr>
            <w:r w:rsidRPr="00037A46">
              <w:rPr>
                <w:b/>
                <w:bCs/>
              </w:rPr>
              <w:t>2</w:t>
            </w:r>
          </w:p>
        </w:tc>
        <w:tc>
          <w:tcPr>
            <w:tcW w:w="1236" w:type="dxa"/>
            <w:noWrap/>
            <w:vAlign w:val="bottom"/>
          </w:tcPr>
          <w:p w14:paraId="571AF1D4" w14:textId="77777777" w:rsidR="003A11FB" w:rsidRPr="00037A46" w:rsidRDefault="003A11FB" w:rsidP="003A11FB">
            <w:pPr>
              <w:spacing w:before="0" w:after="0"/>
              <w:ind w:left="0"/>
              <w:jc w:val="right"/>
              <w:rPr>
                <w:bCs/>
              </w:rPr>
            </w:pPr>
            <w:r w:rsidRPr="00037A46">
              <w:rPr>
                <w:bCs/>
              </w:rPr>
              <w:t>14.150</w:t>
            </w:r>
          </w:p>
        </w:tc>
        <w:tc>
          <w:tcPr>
            <w:tcW w:w="1276" w:type="dxa"/>
            <w:noWrap/>
            <w:vAlign w:val="bottom"/>
          </w:tcPr>
          <w:p w14:paraId="3FBC3A51" w14:textId="77777777" w:rsidR="003A11FB" w:rsidRPr="00037A46" w:rsidRDefault="003A11FB" w:rsidP="003A11FB">
            <w:pPr>
              <w:spacing w:before="0" w:after="0"/>
              <w:ind w:left="0"/>
              <w:jc w:val="right"/>
              <w:rPr>
                <w:bCs/>
              </w:rPr>
            </w:pPr>
            <w:r w:rsidRPr="00037A46">
              <w:rPr>
                <w:bCs/>
              </w:rPr>
              <w:t>14.800</w:t>
            </w:r>
          </w:p>
        </w:tc>
        <w:tc>
          <w:tcPr>
            <w:tcW w:w="1276" w:type="dxa"/>
            <w:noWrap/>
            <w:vAlign w:val="bottom"/>
          </w:tcPr>
          <w:p w14:paraId="33160946" w14:textId="77777777" w:rsidR="003A11FB" w:rsidRPr="00037A46" w:rsidRDefault="003A11FB" w:rsidP="003A11FB">
            <w:pPr>
              <w:spacing w:before="0" w:after="0"/>
              <w:ind w:left="0"/>
              <w:jc w:val="right"/>
              <w:rPr>
                <w:bCs/>
              </w:rPr>
            </w:pPr>
            <w:r w:rsidRPr="00037A46">
              <w:rPr>
                <w:bCs/>
              </w:rPr>
              <w:t>16.550</w:t>
            </w:r>
          </w:p>
        </w:tc>
        <w:tc>
          <w:tcPr>
            <w:tcW w:w="1276" w:type="dxa"/>
            <w:noWrap/>
            <w:vAlign w:val="bottom"/>
          </w:tcPr>
          <w:p w14:paraId="6F6E7FB8" w14:textId="77777777" w:rsidR="003A11FB" w:rsidRPr="00037A46" w:rsidRDefault="003A11FB" w:rsidP="003A11FB">
            <w:pPr>
              <w:spacing w:before="0" w:after="0"/>
              <w:ind w:left="0"/>
              <w:jc w:val="right"/>
              <w:rPr>
                <w:bCs/>
              </w:rPr>
            </w:pPr>
            <w:r w:rsidRPr="00037A46">
              <w:rPr>
                <w:bCs/>
              </w:rPr>
              <w:t>19.100</w:t>
            </w:r>
          </w:p>
        </w:tc>
        <w:tc>
          <w:tcPr>
            <w:tcW w:w="1311" w:type="dxa"/>
            <w:noWrap/>
            <w:vAlign w:val="bottom"/>
          </w:tcPr>
          <w:p w14:paraId="7D26A602" w14:textId="77777777" w:rsidR="003A11FB" w:rsidRPr="00037A46" w:rsidRDefault="003A11FB" w:rsidP="003A11FB">
            <w:pPr>
              <w:spacing w:before="0" w:after="0"/>
              <w:ind w:left="0"/>
              <w:jc w:val="right"/>
              <w:rPr>
                <w:bCs/>
              </w:rPr>
            </w:pPr>
            <w:r w:rsidRPr="00037A46">
              <w:rPr>
                <w:bCs/>
              </w:rPr>
              <w:t>21.000</w:t>
            </w:r>
          </w:p>
        </w:tc>
      </w:tr>
      <w:tr w:rsidR="003A11FB" w:rsidRPr="00037A46" w14:paraId="73A8962E" w14:textId="77777777">
        <w:trPr>
          <w:trHeight w:val="284"/>
          <w:jc w:val="center"/>
        </w:trPr>
        <w:tc>
          <w:tcPr>
            <w:tcW w:w="1149" w:type="dxa"/>
            <w:shd w:val="clear" w:color="auto" w:fill="C0C0C0"/>
            <w:noWrap/>
            <w:vAlign w:val="bottom"/>
          </w:tcPr>
          <w:p w14:paraId="0DBAB3A5" w14:textId="77777777" w:rsidR="003A11FB" w:rsidRPr="00037A46" w:rsidRDefault="003A11FB" w:rsidP="003A11FB">
            <w:pPr>
              <w:spacing w:before="0" w:after="0"/>
              <w:jc w:val="right"/>
              <w:rPr>
                <w:b/>
                <w:bCs/>
              </w:rPr>
            </w:pPr>
            <w:r w:rsidRPr="00037A46">
              <w:rPr>
                <w:b/>
                <w:bCs/>
              </w:rPr>
              <w:t>3</w:t>
            </w:r>
          </w:p>
        </w:tc>
        <w:tc>
          <w:tcPr>
            <w:tcW w:w="1236" w:type="dxa"/>
            <w:noWrap/>
            <w:vAlign w:val="bottom"/>
          </w:tcPr>
          <w:p w14:paraId="4E8A6834" w14:textId="77777777" w:rsidR="003A11FB" w:rsidRPr="00037A46" w:rsidRDefault="003A11FB" w:rsidP="003A11FB">
            <w:pPr>
              <w:spacing w:before="0" w:after="0"/>
              <w:ind w:left="0"/>
              <w:jc w:val="right"/>
              <w:rPr>
                <w:bCs/>
              </w:rPr>
            </w:pPr>
            <w:r w:rsidRPr="00037A46">
              <w:rPr>
                <w:bCs/>
              </w:rPr>
              <w:t>14.750</w:t>
            </w:r>
          </w:p>
        </w:tc>
        <w:tc>
          <w:tcPr>
            <w:tcW w:w="1276" w:type="dxa"/>
            <w:noWrap/>
            <w:vAlign w:val="bottom"/>
          </w:tcPr>
          <w:p w14:paraId="2ECC73A0" w14:textId="77777777" w:rsidR="003A11FB" w:rsidRPr="00037A46" w:rsidRDefault="003A11FB" w:rsidP="003A11FB">
            <w:pPr>
              <w:spacing w:before="0" w:after="0"/>
              <w:ind w:left="0"/>
              <w:jc w:val="right"/>
              <w:rPr>
                <w:bCs/>
              </w:rPr>
            </w:pPr>
            <w:r w:rsidRPr="00037A46">
              <w:rPr>
                <w:bCs/>
              </w:rPr>
              <w:t>15.400</w:t>
            </w:r>
          </w:p>
        </w:tc>
        <w:tc>
          <w:tcPr>
            <w:tcW w:w="1276" w:type="dxa"/>
            <w:noWrap/>
            <w:vAlign w:val="bottom"/>
          </w:tcPr>
          <w:p w14:paraId="747C87B4" w14:textId="77777777" w:rsidR="003A11FB" w:rsidRPr="00037A46" w:rsidRDefault="003A11FB" w:rsidP="003A11FB">
            <w:pPr>
              <w:spacing w:before="0" w:after="0"/>
              <w:ind w:left="0"/>
              <w:jc w:val="right"/>
              <w:rPr>
                <w:bCs/>
              </w:rPr>
            </w:pPr>
            <w:r w:rsidRPr="00037A46">
              <w:rPr>
                <w:bCs/>
              </w:rPr>
              <w:t>17.150</w:t>
            </w:r>
          </w:p>
        </w:tc>
        <w:tc>
          <w:tcPr>
            <w:tcW w:w="1276" w:type="dxa"/>
            <w:noWrap/>
            <w:vAlign w:val="bottom"/>
          </w:tcPr>
          <w:p w14:paraId="686F08A3" w14:textId="77777777" w:rsidR="003A11FB" w:rsidRPr="00037A46" w:rsidRDefault="003A11FB" w:rsidP="003A11FB">
            <w:pPr>
              <w:spacing w:before="0" w:after="0"/>
              <w:ind w:left="0"/>
              <w:jc w:val="right"/>
              <w:rPr>
                <w:bCs/>
              </w:rPr>
            </w:pPr>
            <w:r w:rsidRPr="00037A46">
              <w:rPr>
                <w:bCs/>
              </w:rPr>
              <w:t>19.700</w:t>
            </w:r>
          </w:p>
        </w:tc>
        <w:tc>
          <w:tcPr>
            <w:tcW w:w="1311" w:type="dxa"/>
            <w:noWrap/>
            <w:vAlign w:val="bottom"/>
          </w:tcPr>
          <w:p w14:paraId="06AB45FC" w14:textId="77777777" w:rsidR="003A11FB" w:rsidRPr="00037A46" w:rsidRDefault="003A11FB" w:rsidP="003A11FB">
            <w:pPr>
              <w:spacing w:before="0" w:after="0"/>
              <w:ind w:left="0"/>
              <w:jc w:val="right"/>
              <w:rPr>
                <w:bCs/>
              </w:rPr>
            </w:pPr>
            <w:r w:rsidRPr="00037A46">
              <w:rPr>
                <w:bCs/>
              </w:rPr>
              <w:t>21.600</w:t>
            </w:r>
          </w:p>
        </w:tc>
      </w:tr>
      <w:tr w:rsidR="003A11FB" w:rsidRPr="00037A46" w14:paraId="04B61D46" w14:textId="77777777">
        <w:trPr>
          <w:trHeight w:val="284"/>
          <w:jc w:val="center"/>
        </w:trPr>
        <w:tc>
          <w:tcPr>
            <w:tcW w:w="1149" w:type="dxa"/>
            <w:shd w:val="clear" w:color="auto" w:fill="C0C0C0"/>
            <w:noWrap/>
            <w:vAlign w:val="bottom"/>
          </w:tcPr>
          <w:p w14:paraId="25966769" w14:textId="77777777" w:rsidR="003A11FB" w:rsidRPr="00037A46" w:rsidRDefault="003A11FB" w:rsidP="003A11FB">
            <w:pPr>
              <w:spacing w:before="0" w:after="0"/>
              <w:jc w:val="right"/>
              <w:rPr>
                <w:b/>
                <w:bCs/>
              </w:rPr>
            </w:pPr>
            <w:r w:rsidRPr="00037A46">
              <w:rPr>
                <w:b/>
                <w:bCs/>
              </w:rPr>
              <w:t>4</w:t>
            </w:r>
          </w:p>
        </w:tc>
        <w:tc>
          <w:tcPr>
            <w:tcW w:w="1236" w:type="dxa"/>
            <w:noWrap/>
            <w:vAlign w:val="bottom"/>
          </w:tcPr>
          <w:p w14:paraId="1609F4FF" w14:textId="77777777" w:rsidR="003A11FB" w:rsidRPr="00037A46" w:rsidRDefault="003A11FB" w:rsidP="003A11FB">
            <w:pPr>
              <w:spacing w:before="0" w:after="0"/>
              <w:ind w:left="0"/>
              <w:jc w:val="right"/>
              <w:rPr>
                <w:bCs/>
              </w:rPr>
            </w:pPr>
            <w:r w:rsidRPr="00037A46">
              <w:rPr>
                <w:bCs/>
              </w:rPr>
              <w:t>14.750</w:t>
            </w:r>
          </w:p>
        </w:tc>
        <w:tc>
          <w:tcPr>
            <w:tcW w:w="1276" w:type="dxa"/>
            <w:noWrap/>
            <w:vAlign w:val="bottom"/>
          </w:tcPr>
          <w:p w14:paraId="1708A9EA" w14:textId="77777777" w:rsidR="003A11FB" w:rsidRPr="00037A46" w:rsidRDefault="003A11FB" w:rsidP="003A11FB">
            <w:pPr>
              <w:spacing w:before="0" w:after="0"/>
              <w:ind w:left="0"/>
              <w:jc w:val="right"/>
              <w:rPr>
                <w:bCs/>
              </w:rPr>
            </w:pPr>
            <w:r w:rsidRPr="00037A46">
              <w:rPr>
                <w:bCs/>
              </w:rPr>
              <w:t>15.400</w:t>
            </w:r>
          </w:p>
        </w:tc>
        <w:tc>
          <w:tcPr>
            <w:tcW w:w="1276" w:type="dxa"/>
            <w:noWrap/>
            <w:vAlign w:val="bottom"/>
          </w:tcPr>
          <w:p w14:paraId="426B303A" w14:textId="77777777" w:rsidR="003A11FB" w:rsidRPr="00037A46" w:rsidRDefault="003A11FB" w:rsidP="003A11FB">
            <w:pPr>
              <w:spacing w:before="0" w:after="0"/>
              <w:ind w:left="0"/>
              <w:jc w:val="right"/>
              <w:rPr>
                <w:bCs/>
              </w:rPr>
            </w:pPr>
            <w:r w:rsidRPr="00037A46">
              <w:rPr>
                <w:bCs/>
              </w:rPr>
              <w:t>17.150</w:t>
            </w:r>
          </w:p>
        </w:tc>
        <w:tc>
          <w:tcPr>
            <w:tcW w:w="1276" w:type="dxa"/>
            <w:noWrap/>
            <w:vAlign w:val="bottom"/>
          </w:tcPr>
          <w:p w14:paraId="25260015" w14:textId="77777777" w:rsidR="003A11FB" w:rsidRPr="00037A46" w:rsidRDefault="003A11FB" w:rsidP="003A11FB">
            <w:pPr>
              <w:spacing w:before="0" w:after="0"/>
              <w:ind w:left="0"/>
              <w:jc w:val="right"/>
              <w:rPr>
                <w:bCs/>
              </w:rPr>
            </w:pPr>
            <w:r w:rsidRPr="00037A46">
              <w:rPr>
                <w:bCs/>
              </w:rPr>
              <w:t>19.700</w:t>
            </w:r>
          </w:p>
        </w:tc>
        <w:tc>
          <w:tcPr>
            <w:tcW w:w="1311" w:type="dxa"/>
            <w:noWrap/>
            <w:vAlign w:val="bottom"/>
          </w:tcPr>
          <w:p w14:paraId="3DDDE565" w14:textId="77777777" w:rsidR="003A11FB" w:rsidRPr="00037A46" w:rsidRDefault="003A11FB" w:rsidP="003A11FB">
            <w:pPr>
              <w:spacing w:before="0" w:after="0"/>
              <w:ind w:left="0"/>
              <w:jc w:val="right"/>
              <w:rPr>
                <w:bCs/>
              </w:rPr>
            </w:pPr>
            <w:r w:rsidRPr="00037A46">
              <w:rPr>
                <w:bCs/>
              </w:rPr>
              <w:t>21.600</w:t>
            </w:r>
          </w:p>
        </w:tc>
      </w:tr>
      <w:tr w:rsidR="003A11FB" w:rsidRPr="00037A46" w14:paraId="60A54D3F" w14:textId="77777777">
        <w:trPr>
          <w:trHeight w:val="284"/>
          <w:jc w:val="center"/>
        </w:trPr>
        <w:tc>
          <w:tcPr>
            <w:tcW w:w="1149" w:type="dxa"/>
            <w:shd w:val="clear" w:color="auto" w:fill="C0C0C0"/>
            <w:noWrap/>
            <w:vAlign w:val="bottom"/>
          </w:tcPr>
          <w:p w14:paraId="598DC824" w14:textId="77777777" w:rsidR="003A11FB" w:rsidRPr="00037A46" w:rsidRDefault="003A11FB" w:rsidP="003A11FB">
            <w:pPr>
              <w:spacing w:before="0" w:after="0"/>
              <w:jc w:val="right"/>
              <w:rPr>
                <w:b/>
                <w:bCs/>
              </w:rPr>
            </w:pPr>
            <w:r w:rsidRPr="00037A46">
              <w:rPr>
                <w:b/>
                <w:bCs/>
              </w:rPr>
              <w:t>5</w:t>
            </w:r>
          </w:p>
        </w:tc>
        <w:tc>
          <w:tcPr>
            <w:tcW w:w="1236" w:type="dxa"/>
            <w:noWrap/>
            <w:vAlign w:val="bottom"/>
          </w:tcPr>
          <w:p w14:paraId="2F43F262" w14:textId="77777777" w:rsidR="003A11FB" w:rsidRPr="00037A46" w:rsidRDefault="003A11FB" w:rsidP="003A11FB">
            <w:pPr>
              <w:spacing w:before="0" w:after="0"/>
              <w:ind w:left="0"/>
              <w:jc w:val="right"/>
              <w:rPr>
                <w:bCs/>
              </w:rPr>
            </w:pPr>
            <w:r w:rsidRPr="00037A46">
              <w:rPr>
                <w:bCs/>
              </w:rPr>
              <w:t>15.300</w:t>
            </w:r>
          </w:p>
        </w:tc>
        <w:tc>
          <w:tcPr>
            <w:tcW w:w="1276" w:type="dxa"/>
            <w:noWrap/>
            <w:vAlign w:val="bottom"/>
          </w:tcPr>
          <w:p w14:paraId="5CB66341" w14:textId="77777777" w:rsidR="003A11FB" w:rsidRPr="00037A46" w:rsidRDefault="003A11FB" w:rsidP="003A11FB">
            <w:pPr>
              <w:spacing w:before="0" w:after="0"/>
              <w:ind w:left="0"/>
              <w:jc w:val="right"/>
              <w:rPr>
                <w:bCs/>
              </w:rPr>
            </w:pPr>
            <w:r w:rsidRPr="00037A46">
              <w:rPr>
                <w:bCs/>
              </w:rPr>
              <w:t>16.000</w:t>
            </w:r>
          </w:p>
        </w:tc>
        <w:tc>
          <w:tcPr>
            <w:tcW w:w="1276" w:type="dxa"/>
            <w:noWrap/>
            <w:vAlign w:val="bottom"/>
          </w:tcPr>
          <w:p w14:paraId="5C0AA3A8" w14:textId="77777777" w:rsidR="003A11FB" w:rsidRPr="00037A46" w:rsidRDefault="003A11FB" w:rsidP="003A11FB">
            <w:pPr>
              <w:spacing w:before="0" w:after="0"/>
              <w:ind w:left="0"/>
              <w:jc w:val="right"/>
              <w:rPr>
                <w:bCs/>
              </w:rPr>
            </w:pPr>
            <w:r w:rsidRPr="00037A46">
              <w:rPr>
                <w:bCs/>
              </w:rPr>
              <w:t>17.750</w:t>
            </w:r>
          </w:p>
        </w:tc>
        <w:tc>
          <w:tcPr>
            <w:tcW w:w="1276" w:type="dxa"/>
            <w:noWrap/>
            <w:vAlign w:val="bottom"/>
          </w:tcPr>
          <w:p w14:paraId="1F354537" w14:textId="77777777" w:rsidR="003A11FB" w:rsidRPr="00037A46" w:rsidRDefault="003A11FB" w:rsidP="003A11FB">
            <w:pPr>
              <w:spacing w:before="0" w:after="0"/>
              <w:ind w:left="0"/>
              <w:jc w:val="right"/>
              <w:rPr>
                <w:bCs/>
              </w:rPr>
            </w:pPr>
            <w:r w:rsidRPr="00037A46">
              <w:rPr>
                <w:bCs/>
              </w:rPr>
              <w:t>20.250</w:t>
            </w:r>
          </w:p>
        </w:tc>
        <w:tc>
          <w:tcPr>
            <w:tcW w:w="1311" w:type="dxa"/>
            <w:noWrap/>
            <w:vAlign w:val="bottom"/>
          </w:tcPr>
          <w:p w14:paraId="59AD1902" w14:textId="77777777" w:rsidR="003A11FB" w:rsidRPr="00037A46" w:rsidRDefault="003A11FB" w:rsidP="003A11FB">
            <w:pPr>
              <w:spacing w:before="0" w:after="0"/>
              <w:ind w:left="0"/>
              <w:jc w:val="right"/>
              <w:rPr>
                <w:bCs/>
              </w:rPr>
            </w:pPr>
            <w:r w:rsidRPr="00037A46">
              <w:rPr>
                <w:bCs/>
              </w:rPr>
              <w:t>22.250</w:t>
            </w:r>
          </w:p>
        </w:tc>
      </w:tr>
      <w:tr w:rsidR="003A11FB" w:rsidRPr="00037A46" w14:paraId="78D8F8E4" w14:textId="77777777">
        <w:trPr>
          <w:trHeight w:val="284"/>
          <w:jc w:val="center"/>
        </w:trPr>
        <w:tc>
          <w:tcPr>
            <w:tcW w:w="1149" w:type="dxa"/>
            <w:shd w:val="clear" w:color="auto" w:fill="C0C0C0"/>
            <w:noWrap/>
            <w:vAlign w:val="bottom"/>
          </w:tcPr>
          <w:p w14:paraId="40915CD4" w14:textId="77777777" w:rsidR="003A11FB" w:rsidRPr="00037A46" w:rsidRDefault="003A11FB" w:rsidP="003A11FB">
            <w:pPr>
              <w:spacing w:before="0" w:after="0"/>
              <w:jc w:val="right"/>
              <w:rPr>
                <w:b/>
                <w:bCs/>
              </w:rPr>
            </w:pPr>
            <w:r w:rsidRPr="00037A46">
              <w:rPr>
                <w:b/>
                <w:bCs/>
              </w:rPr>
              <w:t>6</w:t>
            </w:r>
          </w:p>
        </w:tc>
        <w:tc>
          <w:tcPr>
            <w:tcW w:w="1236" w:type="dxa"/>
            <w:noWrap/>
            <w:vAlign w:val="bottom"/>
          </w:tcPr>
          <w:p w14:paraId="23A2FCEC" w14:textId="77777777" w:rsidR="003A11FB" w:rsidRPr="00037A46" w:rsidRDefault="003A11FB" w:rsidP="003A11FB">
            <w:pPr>
              <w:spacing w:before="0" w:after="0"/>
              <w:ind w:left="0"/>
              <w:jc w:val="right"/>
              <w:rPr>
                <w:bCs/>
              </w:rPr>
            </w:pPr>
            <w:r w:rsidRPr="00037A46">
              <w:rPr>
                <w:bCs/>
              </w:rPr>
              <w:t>15.300</w:t>
            </w:r>
          </w:p>
        </w:tc>
        <w:tc>
          <w:tcPr>
            <w:tcW w:w="1276" w:type="dxa"/>
            <w:noWrap/>
            <w:vAlign w:val="bottom"/>
          </w:tcPr>
          <w:p w14:paraId="3ECD9D49" w14:textId="77777777" w:rsidR="003A11FB" w:rsidRPr="00037A46" w:rsidRDefault="003A11FB" w:rsidP="003A11FB">
            <w:pPr>
              <w:spacing w:before="0" w:after="0"/>
              <w:ind w:left="0"/>
              <w:jc w:val="right"/>
              <w:rPr>
                <w:bCs/>
              </w:rPr>
            </w:pPr>
            <w:r w:rsidRPr="00037A46">
              <w:rPr>
                <w:bCs/>
              </w:rPr>
              <w:t>16.000</w:t>
            </w:r>
          </w:p>
        </w:tc>
        <w:tc>
          <w:tcPr>
            <w:tcW w:w="1276" w:type="dxa"/>
            <w:noWrap/>
            <w:vAlign w:val="bottom"/>
          </w:tcPr>
          <w:p w14:paraId="7117D228" w14:textId="77777777" w:rsidR="003A11FB" w:rsidRPr="00037A46" w:rsidRDefault="003A11FB" w:rsidP="003A11FB">
            <w:pPr>
              <w:spacing w:before="0" w:after="0"/>
              <w:ind w:left="0"/>
              <w:jc w:val="right"/>
              <w:rPr>
                <w:bCs/>
              </w:rPr>
            </w:pPr>
            <w:r w:rsidRPr="00037A46">
              <w:rPr>
                <w:bCs/>
              </w:rPr>
              <w:t>17.750</w:t>
            </w:r>
          </w:p>
        </w:tc>
        <w:tc>
          <w:tcPr>
            <w:tcW w:w="1276" w:type="dxa"/>
            <w:noWrap/>
            <w:vAlign w:val="bottom"/>
          </w:tcPr>
          <w:p w14:paraId="39E6442A" w14:textId="77777777" w:rsidR="003A11FB" w:rsidRPr="00037A46" w:rsidRDefault="003A11FB" w:rsidP="003A11FB">
            <w:pPr>
              <w:spacing w:before="0" w:after="0"/>
              <w:ind w:left="0"/>
              <w:jc w:val="right"/>
              <w:rPr>
                <w:bCs/>
              </w:rPr>
            </w:pPr>
            <w:r w:rsidRPr="00037A46">
              <w:rPr>
                <w:bCs/>
              </w:rPr>
              <w:t>20.250</w:t>
            </w:r>
          </w:p>
        </w:tc>
        <w:tc>
          <w:tcPr>
            <w:tcW w:w="1311" w:type="dxa"/>
            <w:noWrap/>
            <w:vAlign w:val="bottom"/>
          </w:tcPr>
          <w:p w14:paraId="51D1CE02" w14:textId="77777777" w:rsidR="003A11FB" w:rsidRPr="00037A46" w:rsidRDefault="003A11FB" w:rsidP="003A11FB">
            <w:pPr>
              <w:spacing w:before="0" w:after="0"/>
              <w:ind w:left="0"/>
              <w:jc w:val="right"/>
              <w:rPr>
                <w:bCs/>
              </w:rPr>
            </w:pPr>
            <w:r w:rsidRPr="00037A46">
              <w:rPr>
                <w:bCs/>
              </w:rPr>
              <w:t>22.250</w:t>
            </w:r>
          </w:p>
        </w:tc>
      </w:tr>
      <w:tr w:rsidR="003A11FB" w:rsidRPr="00037A46" w14:paraId="2593CDFA" w14:textId="77777777">
        <w:trPr>
          <w:trHeight w:val="315"/>
          <w:jc w:val="center"/>
        </w:trPr>
        <w:tc>
          <w:tcPr>
            <w:tcW w:w="1149" w:type="dxa"/>
            <w:shd w:val="clear" w:color="auto" w:fill="C0C0C0"/>
            <w:noWrap/>
            <w:vAlign w:val="bottom"/>
          </w:tcPr>
          <w:p w14:paraId="36D13EAF" w14:textId="77777777" w:rsidR="003A11FB" w:rsidRPr="00037A46" w:rsidRDefault="003A11FB" w:rsidP="003A11FB">
            <w:pPr>
              <w:spacing w:before="0" w:after="0"/>
              <w:jc w:val="right"/>
              <w:rPr>
                <w:b/>
                <w:bCs/>
              </w:rPr>
            </w:pPr>
            <w:r w:rsidRPr="00037A46">
              <w:rPr>
                <w:b/>
                <w:bCs/>
              </w:rPr>
              <w:t>7</w:t>
            </w:r>
          </w:p>
        </w:tc>
        <w:tc>
          <w:tcPr>
            <w:tcW w:w="1236" w:type="dxa"/>
            <w:noWrap/>
            <w:vAlign w:val="bottom"/>
          </w:tcPr>
          <w:p w14:paraId="145EA328" w14:textId="77777777" w:rsidR="003A11FB" w:rsidRPr="00037A46" w:rsidRDefault="003A11FB" w:rsidP="003A11FB">
            <w:pPr>
              <w:spacing w:before="0" w:after="0"/>
              <w:ind w:left="0"/>
              <w:jc w:val="right"/>
              <w:rPr>
                <w:bCs/>
              </w:rPr>
            </w:pPr>
            <w:r w:rsidRPr="00037A46">
              <w:rPr>
                <w:bCs/>
              </w:rPr>
              <w:t>15.900</w:t>
            </w:r>
          </w:p>
        </w:tc>
        <w:tc>
          <w:tcPr>
            <w:tcW w:w="1276" w:type="dxa"/>
            <w:noWrap/>
            <w:vAlign w:val="bottom"/>
          </w:tcPr>
          <w:p w14:paraId="0DA5F85F" w14:textId="77777777" w:rsidR="003A11FB" w:rsidRPr="00037A46" w:rsidRDefault="003A11FB" w:rsidP="003A11FB">
            <w:pPr>
              <w:spacing w:before="0" w:after="0"/>
              <w:ind w:left="0"/>
              <w:jc w:val="right"/>
              <w:rPr>
                <w:bCs/>
              </w:rPr>
            </w:pPr>
            <w:r w:rsidRPr="00037A46">
              <w:rPr>
                <w:bCs/>
              </w:rPr>
              <w:t>16.600</w:t>
            </w:r>
          </w:p>
        </w:tc>
        <w:tc>
          <w:tcPr>
            <w:tcW w:w="1276" w:type="dxa"/>
            <w:noWrap/>
            <w:vAlign w:val="bottom"/>
          </w:tcPr>
          <w:p w14:paraId="333608E3" w14:textId="77777777" w:rsidR="003A11FB" w:rsidRPr="00037A46" w:rsidRDefault="003A11FB" w:rsidP="003A11FB">
            <w:pPr>
              <w:spacing w:before="0" w:after="0"/>
              <w:ind w:left="0"/>
              <w:jc w:val="right"/>
              <w:rPr>
                <w:bCs/>
              </w:rPr>
            </w:pPr>
            <w:r w:rsidRPr="00037A46">
              <w:rPr>
                <w:bCs/>
              </w:rPr>
              <w:t>18.400</w:t>
            </w:r>
          </w:p>
        </w:tc>
        <w:tc>
          <w:tcPr>
            <w:tcW w:w="1276" w:type="dxa"/>
            <w:noWrap/>
            <w:vAlign w:val="bottom"/>
          </w:tcPr>
          <w:p w14:paraId="3AFFC508" w14:textId="77777777" w:rsidR="003A11FB" w:rsidRPr="00037A46" w:rsidRDefault="003A11FB" w:rsidP="003A11FB">
            <w:pPr>
              <w:spacing w:before="0" w:after="0"/>
              <w:ind w:left="0"/>
              <w:jc w:val="right"/>
              <w:rPr>
                <w:bCs/>
              </w:rPr>
            </w:pPr>
            <w:r w:rsidRPr="00037A46">
              <w:rPr>
                <w:bCs/>
              </w:rPr>
              <w:t>20.800</w:t>
            </w:r>
          </w:p>
        </w:tc>
        <w:tc>
          <w:tcPr>
            <w:tcW w:w="1311" w:type="dxa"/>
            <w:noWrap/>
            <w:vAlign w:val="bottom"/>
          </w:tcPr>
          <w:p w14:paraId="01369236" w14:textId="77777777" w:rsidR="003A11FB" w:rsidRPr="00037A46" w:rsidRDefault="003A11FB" w:rsidP="003A11FB">
            <w:pPr>
              <w:spacing w:before="0" w:after="0"/>
              <w:ind w:left="0"/>
              <w:jc w:val="right"/>
              <w:rPr>
                <w:bCs/>
              </w:rPr>
            </w:pPr>
            <w:r w:rsidRPr="00037A46">
              <w:rPr>
                <w:bCs/>
              </w:rPr>
              <w:t>22.850</w:t>
            </w:r>
          </w:p>
        </w:tc>
      </w:tr>
      <w:tr w:rsidR="003A11FB" w:rsidRPr="00037A46" w14:paraId="005472C3" w14:textId="77777777">
        <w:trPr>
          <w:trHeight w:val="284"/>
          <w:jc w:val="center"/>
        </w:trPr>
        <w:tc>
          <w:tcPr>
            <w:tcW w:w="1149" w:type="dxa"/>
            <w:shd w:val="clear" w:color="auto" w:fill="C0C0C0"/>
            <w:noWrap/>
            <w:vAlign w:val="bottom"/>
          </w:tcPr>
          <w:p w14:paraId="3251B7AE" w14:textId="77777777" w:rsidR="003A11FB" w:rsidRPr="00037A46" w:rsidRDefault="003A11FB" w:rsidP="003A11FB">
            <w:pPr>
              <w:spacing w:before="0" w:after="0"/>
              <w:jc w:val="right"/>
              <w:rPr>
                <w:b/>
                <w:bCs/>
              </w:rPr>
            </w:pPr>
            <w:r w:rsidRPr="00037A46">
              <w:rPr>
                <w:b/>
                <w:bCs/>
              </w:rPr>
              <w:t>8</w:t>
            </w:r>
          </w:p>
        </w:tc>
        <w:tc>
          <w:tcPr>
            <w:tcW w:w="1236" w:type="dxa"/>
            <w:noWrap/>
            <w:vAlign w:val="bottom"/>
          </w:tcPr>
          <w:p w14:paraId="0400549C" w14:textId="77777777" w:rsidR="003A11FB" w:rsidRPr="00037A46" w:rsidRDefault="003A11FB" w:rsidP="003A11FB">
            <w:pPr>
              <w:spacing w:before="0" w:after="0"/>
              <w:ind w:left="0"/>
              <w:jc w:val="right"/>
              <w:rPr>
                <w:bCs/>
              </w:rPr>
            </w:pPr>
            <w:r w:rsidRPr="00037A46">
              <w:rPr>
                <w:bCs/>
              </w:rPr>
              <w:t>15.900</w:t>
            </w:r>
          </w:p>
        </w:tc>
        <w:tc>
          <w:tcPr>
            <w:tcW w:w="1276" w:type="dxa"/>
            <w:noWrap/>
            <w:vAlign w:val="bottom"/>
          </w:tcPr>
          <w:p w14:paraId="1BBA9DF5" w14:textId="77777777" w:rsidR="003A11FB" w:rsidRPr="00037A46" w:rsidRDefault="003A11FB" w:rsidP="003A11FB">
            <w:pPr>
              <w:spacing w:before="0" w:after="0"/>
              <w:ind w:left="0"/>
              <w:jc w:val="right"/>
              <w:rPr>
                <w:bCs/>
              </w:rPr>
            </w:pPr>
            <w:r w:rsidRPr="00037A46">
              <w:rPr>
                <w:bCs/>
              </w:rPr>
              <w:t>16.600</w:t>
            </w:r>
          </w:p>
        </w:tc>
        <w:tc>
          <w:tcPr>
            <w:tcW w:w="1276" w:type="dxa"/>
            <w:noWrap/>
            <w:vAlign w:val="bottom"/>
          </w:tcPr>
          <w:p w14:paraId="614A8174" w14:textId="77777777" w:rsidR="003A11FB" w:rsidRPr="00037A46" w:rsidRDefault="003A11FB" w:rsidP="003A11FB">
            <w:pPr>
              <w:spacing w:before="0" w:after="0"/>
              <w:ind w:left="0"/>
              <w:jc w:val="right"/>
              <w:rPr>
                <w:bCs/>
              </w:rPr>
            </w:pPr>
            <w:r w:rsidRPr="00037A46">
              <w:rPr>
                <w:bCs/>
              </w:rPr>
              <w:t>18.400</w:t>
            </w:r>
          </w:p>
        </w:tc>
        <w:tc>
          <w:tcPr>
            <w:tcW w:w="1276" w:type="dxa"/>
            <w:noWrap/>
            <w:vAlign w:val="bottom"/>
          </w:tcPr>
          <w:p w14:paraId="02551F3E" w14:textId="77777777" w:rsidR="003A11FB" w:rsidRPr="00037A46" w:rsidRDefault="003A11FB" w:rsidP="003A11FB">
            <w:pPr>
              <w:spacing w:before="0" w:after="0"/>
              <w:ind w:left="0"/>
              <w:jc w:val="right"/>
              <w:rPr>
                <w:bCs/>
              </w:rPr>
            </w:pPr>
            <w:r w:rsidRPr="00037A46">
              <w:rPr>
                <w:bCs/>
              </w:rPr>
              <w:t>20.800</w:t>
            </w:r>
          </w:p>
        </w:tc>
        <w:tc>
          <w:tcPr>
            <w:tcW w:w="1311" w:type="dxa"/>
            <w:noWrap/>
            <w:vAlign w:val="bottom"/>
          </w:tcPr>
          <w:p w14:paraId="169C2C19" w14:textId="77777777" w:rsidR="003A11FB" w:rsidRPr="00037A46" w:rsidRDefault="003A11FB" w:rsidP="003A11FB">
            <w:pPr>
              <w:spacing w:before="0" w:after="0"/>
              <w:ind w:left="0"/>
              <w:jc w:val="right"/>
              <w:rPr>
                <w:bCs/>
              </w:rPr>
            </w:pPr>
            <w:r w:rsidRPr="00037A46">
              <w:rPr>
                <w:bCs/>
              </w:rPr>
              <w:t>22.850</w:t>
            </w:r>
          </w:p>
        </w:tc>
      </w:tr>
      <w:tr w:rsidR="003A11FB" w:rsidRPr="00037A46" w14:paraId="1B6D2A19" w14:textId="77777777">
        <w:trPr>
          <w:trHeight w:val="315"/>
          <w:jc w:val="center"/>
        </w:trPr>
        <w:tc>
          <w:tcPr>
            <w:tcW w:w="1149" w:type="dxa"/>
            <w:shd w:val="clear" w:color="auto" w:fill="C0C0C0"/>
            <w:noWrap/>
            <w:vAlign w:val="bottom"/>
          </w:tcPr>
          <w:p w14:paraId="42C34562" w14:textId="77777777" w:rsidR="003A11FB" w:rsidRPr="00037A46" w:rsidRDefault="003A11FB" w:rsidP="003A11FB">
            <w:pPr>
              <w:spacing w:before="0" w:after="0"/>
              <w:jc w:val="right"/>
              <w:rPr>
                <w:b/>
                <w:bCs/>
              </w:rPr>
            </w:pPr>
            <w:r w:rsidRPr="00037A46">
              <w:rPr>
                <w:b/>
                <w:bCs/>
              </w:rPr>
              <w:t>9</w:t>
            </w:r>
          </w:p>
        </w:tc>
        <w:tc>
          <w:tcPr>
            <w:tcW w:w="1236" w:type="dxa"/>
            <w:noWrap/>
            <w:vAlign w:val="bottom"/>
          </w:tcPr>
          <w:p w14:paraId="58499053" w14:textId="77777777" w:rsidR="003A11FB" w:rsidRPr="00037A46" w:rsidRDefault="003A11FB" w:rsidP="003A11FB">
            <w:pPr>
              <w:spacing w:before="0" w:after="0"/>
              <w:ind w:left="0"/>
              <w:jc w:val="right"/>
              <w:rPr>
                <w:bCs/>
              </w:rPr>
            </w:pPr>
            <w:r w:rsidRPr="00037A46">
              <w:rPr>
                <w:bCs/>
              </w:rPr>
              <w:t>16.500</w:t>
            </w:r>
          </w:p>
        </w:tc>
        <w:tc>
          <w:tcPr>
            <w:tcW w:w="1276" w:type="dxa"/>
            <w:noWrap/>
            <w:vAlign w:val="bottom"/>
          </w:tcPr>
          <w:p w14:paraId="1932B292" w14:textId="77777777" w:rsidR="003A11FB" w:rsidRPr="00037A46" w:rsidRDefault="003A11FB" w:rsidP="003A11FB">
            <w:pPr>
              <w:spacing w:before="0" w:after="0"/>
              <w:ind w:left="0"/>
              <w:jc w:val="right"/>
              <w:rPr>
                <w:bCs/>
              </w:rPr>
            </w:pPr>
            <w:r w:rsidRPr="00037A46">
              <w:rPr>
                <w:bCs/>
              </w:rPr>
              <w:t>17.200</w:t>
            </w:r>
          </w:p>
        </w:tc>
        <w:tc>
          <w:tcPr>
            <w:tcW w:w="1276" w:type="dxa"/>
            <w:noWrap/>
            <w:vAlign w:val="bottom"/>
          </w:tcPr>
          <w:p w14:paraId="48F94C87" w14:textId="77777777" w:rsidR="003A11FB" w:rsidRPr="00037A46" w:rsidRDefault="003A11FB" w:rsidP="003A11FB">
            <w:pPr>
              <w:spacing w:before="0" w:after="0"/>
              <w:ind w:left="0"/>
              <w:jc w:val="right"/>
              <w:rPr>
                <w:bCs/>
              </w:rPr>
            </w:pPr>
            <w:r w:rsidRPr="00037A46">
              <w:rPr>
                <w:bCs/>
              </w:rPr>
              <w:t>19.000</w:t>
            </w:r>
          </w:p>
        </w:tc>
        <w:tc>
          <w:tcPr>
            <w:tcW w:w="1276" w:type="dxa"/>
            <w:noWrap/>
            <w:vAlign w:val="bottom"/>
          </w:tcPr>
          <w:p w14:paraId="1EF9A772" w14:textId="77777777" w:rsidR="003A11FB" w:rsidRPr="00037A46" w:rsidRDefault="003A11FB" w:rsidP="003A11FB">
            <w:pPr>
              <w:spacing w:before="0" w:after="0"/>
              <w:ind w:left="0"/>
              <w:jc w:val="right"/>
              <w:rPr>
                <w:bCs/>
              </w:rPr>
            </w:pPr>
            <w:r w:rsidRPr="00037A46">
              <w:rPr>
                <w:bCs/>
              </w:rPr>
              <w:t>21.400</w:t>
            </w:r>
          </w:p>
        </w:tc>
        <w:tc>
          <w:tcPr>
            <w:tcW w:w="1311" w:type="dxa"/>
            <w:noWrap/>
            <w:vAlign w:val="bottom"/>
          </w:tcPr>
          <w:p w14:paraId="6A997011" w14:textId="77777777" w:rsidR="003A11FB" w:rsidRPr="00037A46" w:rsidRDefault="003A11FB" w:rsidP="003A11FB">
            <w:pPr>
              <w:spacing w:before="0" w:after="0"/>
              <w:ind w:left="0"/>
              <w:jc w:val="right"/>
              <w:rPr>
                <w:bCs/>
              </w:rPr>
            </w:pPr>
            <w:r w:rsidRPr="00037A46">
              <w:rPr>
                <w:bCs/>
              </w:rPr>
              <w:t>23.500</w:t>
            </w:r>
          </w:p>
        </w:tc>
      </w:tr>
      <w:tr w:rsidR="003A11FB" w:rsidRPr="00037A46" w14:paraId="7E1CFEDD" w14:textId="77777777">
        <w:trPr>
          <w:trHeight w:val="284"/>
          <w:jc w:val="center"/>
        </w:trPr>
        <w:tc>
          <w:tcPr>
            <w:tcW w:w="1149" w:type="dxa"/>
            <w:shd w:val="clear" w:color="auto" w:fill="C0C0C0"/>
            <w:noWrap/>
            <w:vAlign w:val="bottom"/>
          </w:tcPr>
          <w:p w14:paraId="45F4C677" w14:textId="77777777" w:rsidR="003A11FB" w:rsidRPr="00037A46" w:rsidRDefault="003A11FB" w:rsidP="003A11FB">
            <w:pPr>
              <w:spacing w:before="0" w:after="0"/>
              <w:ind w:left="0"/>
              <w:jc w:val="right"/>
              <w:rPr>
                <w:b/>
                <w:bCs/>
              </w:rPr>
            </w:pPr>
            <w:r w:rsidRPr="00037A46">
              <w:rPr>
                <w:b/>
                <w:bCs/>
              </w:rPr>
              <w:t>10</w:t>
            </w:r>
          </w:p>
        </w:tc>
        <w:tc>
          <w:tcPr>
            <w:tcW w:w="1236" w:type="dxa"/>
            <w:noWrap/>
            <w:vAlign w:val="bottom"/>
          </w:tcPr>
          <w:p w14:paraId="5A6EA4B6" w14:textId="77777777" w:rsidR="003A11FB" w:rsidRPr="00037A46" w:rsidRDefault="003A11FB" w:rsidP="003A11FB">
            <w:pPr>
              <w:spacing w:before="0" w:after="0"/>
              <w:ind w:left="0"/>
              <w:jc w:val="right"/>
              <w:rPr>
                <w:bCs/>
              </w:rPr>
            </w:pPr>
            <w:r w:rsidRPr="00037A46">
              <w:rPr>
                <w:bCs/>
              </w:rPr>
              <w:t>16.500</w:t>
            </w:r>
          </w:p>
        </w:tc>
        <w:tc>
          <w:tcPr>
            <w:tcW w:w="1276" w:type="dxa"/>
            <w:noWrap/>
            <w:vAlign w:val="bottom"/>
          </w:tcPr>
          <w:p w14:paraId="61B1C005" w14:textId="77777777" w:rsidR="003A11FB" w:rsidRPr="00037A46" w:rsidRDefault="003A11FB" w:rsidP="003A11FB">
            <w:pPr>
              <w:spacing w:before="0" w:after="0"/>
              <w:ind w:left="0"/>
              <w:jc w:val="right"/>
              <w:rPr>
                <w:bCs/>
              </w:rPr>
            </w:pPr>
            <w:r w:rsidRPr="00037A46">
              <w:rPr>
                <w:bCs/>
              </w:rPr>
              <w:t>17.200</w:t>
            </w:r>
          </w:p>
        </w:tc>
        <w:tc>
          <w:tcPr>
            <w:tcW w:w="1276" w:type="dxa"/>
            <w:noWrap/>
            <w:vAlign w:val="bottom"/>
          </w:tcPr>
          <w:p w14:paraId="7B205ADA" w14:textId="77777777" w:rsidR="003A11FB" w:rsidRPr="00037A46" w:rsidRDefault="003A11FB" w:rsidP="003A11FB">
            <w:pPr>
              <w:spacing w:before="0" w:after="0"/>
              <w:ind w:left="0"/>
              <w:jc w:val="right"/>
              <w:rPr>
                <w:bCs/>
              </w:rPr>
            </w:pPr>
            <w:r w:rsidRPr="00037A46">
              <w:rPr>
                <w:bCs/>
              </w:rPr>
              <w:t>19.000</w:t>
            </w:r>
          </w:p>
        </w:tc>
        <w:tc>
          <w:tcPr>
            <w:tcW w:w="1276" w:type="dxa"/>
            <w:noWrap/>
            <w:vAlign w:val="bottom"/>
          </w:tcPr>
          <w:p w14:paraId="234A51A3" w14:textId="77777777" w:rsidR="003A11FB" w:rsidRPr="00037A46" w:rsidRDefault="003A11FB" w:rsidP="003A11FB">
            <w:pPr>
              <w:spacing w:before="0" w:after="0"/>
              <w:ind w:left="0"/>
              <w:jc w:val="right"/>
              <w:rPr>
                <w:bCs/>
              </w:rPr>
            </w:pPr>
            <w:r w:rsidRPr="00037A46">
              <w:rPr>
                <w:bCs/>
              </w:rPr>
              <w:t>21.400</w:t>
            </w:r>
          </w:p>
        </w:tc>
        <w:tc>
          <w:tcPr>
            <w:tcW w:w="1311" w:type="dxa"/>
            <w:noWrap/>
            <w:vAlign w:val="bottom"/>
          </w:tcPr>
          <w:p w14:paraId="752A982D" w14:textId="77777777" w:rsidR="003A11FB" w:rsidRPr="00037A46" w:rsidRDefault="003A11FB" w:rsidP="003A11FB">
            <w:pPr>
              <w:spacing w:before="0" w:after="0"/>
              <w:ind w:left="0"/>
              <w:jc w:val="right"/>
              <w:rPr>
                <w:bCs/>
              </w:rPr>
            </w:pPr>
            <w:r w:rsidRPr="00037A46">
              <w:rPr>
                <w:bCs/>
              </w:rPr>
              <w:t>23.500</w:t>
            </w:r>
          </w:p>
        </w:tc>
      </w:tr>
      <w:tr w:rsidR="003A11FB" w:rsidRPr="00037A46" w14:paraId="4841A7A7" w14:textId="77777777">
        <w:trPr>
          <w:trHeight w:val="284"/>
          <w:jc w:val="center"/>
        </w:trPr>
        <w:tc>
          <w:tcPr>
            <w:tcW w:w="1149" w:type="dxa"/>
            <w:shd w:val="clear" w:color="auto" w:fill="C0C0C0"/>
            <w:noWrap/>
            <w:vAlign w:val="bottom"/>
          </w:tcPr>
          <w:p w14:paraId="396A62B1" w14:textId="77777777" w:rsidR="003A11FB" w:rsidRPr="00037A46" w:rsidRDefault="003A11FB" w:rsidP="003A11FB">
            <w:pPr>
              <w:spacing w:before="0" w:after="0"/>
              <w:ind w:left="0"/>
              <w:jc w:val="right"/>
              <w:rPr>
                <w:b/>
                <w:bCs/>
              </w:rPr>
            </w:pPr>
            <w:r w:rsidRPr="00037A46">
              <w:rPr>
                <w:b/>
                <w:bCs/>
              </w:rPr>
              <w:t>11</w:t>
            </w:r>
          </w:p>
        </w:tc>
        <w:tc>
          <w:tcPr>
            <w:tcW w:w="1236" w:type="dxa"/>
            <w:noWrap/>
            <w:vAlign w:val="bottom"/>
          </w:tcPr>
          <w:p w14:paraId="4158E443" w14:textId="77777777" w:rsidR="003A11FB" w:rsidRPr="00037A46" w:rsidRDefault="003A11FB" w:rsidP="003A11FB">
            <w:pPr>
              <w:spacing w:before="0" w:after="0"/>
              <w:ind w:left="0"/>
              <w:jc w:val="right"/>
              <w:rPr>
                <w:bCs/>
              </w:rPr>
            </w:pPr>
            <w:r w:rsidRPr="00037A46">
              <w:rPr>
                <w:bCs/>
              </w:rPr>
              <w:t>17.100</w:t>
            </w:r>
          </w:p>
        </w:tc>
        <w:tc>
          <w:tcPr>
            <w:tcW w:w="1276" w:type="dxa"/>
            <w:noWrap/>
            <w:vAlign w:val="bottom"/>
          </w:tcPr>
          <w:p w14:paraId="0A39AE84" w14:textId="77777777" w:rsidR="003A11FB" w:rsidRPr="00037A46" w:rsidRDefault="003A11FB" w:rsidP="003A11FB">
            <w:pPr>
              <w:spacing w:before="0" w:after="0"/>
              <w:ind w:left="0"/>
              <w:jc w:val="right"/>
              <w:rPr>
                <w:bCs/>
              </w:rPr>
            </w:pPr>
            <w:r w:rsidRPr="00037A46">
              <w:rPr>
                <w:bCs/>
              </w:rPr>
              <w:t>17.800</w:t>
            </w:r>
          </w:p>
        </w:tc>
        <w:tc>
          <w:tcPr>
            <w:tcW w:w="1276" w:type="dxa"/>
            <w:noWrap/>
            <w:vAlign w:val="bottom"/>
          </w:tcPr>
          <w:p w14:paraId="61E8BF10" w14:textId="77777777" w:rsidR="003A11FB" w:rsidRPr="00037A46" w:rsidRDefault="003A11FB" w:rsidP="003A11FB">
            <w:pPr>
              <w:spacing w:before="0" w:after="0"/>
              <w:ind w:left="0"/>
              <w:jc w:val="right"/>
              <w:rPr>
                <w:bCs/>
              </w:rPr>
            </w:pPr>
            <w:r w:rsidRPr="00037A46">
              <w:rPr>
                <w:bCs/>
              </w:rPr>
              <w:t>19.650</w:t>
            </w:r>
          </w:p>
        </w:tc>
        <w:tc>
          <w:tcPr>
            <w:tcW w:w="1276" w:type="dxa"/>
            <w:noWrap/>
            <w:vAlign w:val="bottom"/>
          </w:tcPr>
          <w:p w14:paraId="38F6C319" w14:textId="77777777" w:rsidR="003A11FB" w:rsidRPr="00037A46" w:rsidRDefault="003A11FB" w:rsidP="003A11FB">
            <w:pPr>
              <w:spacing w:before="0" w:after="0"/>
              <w:ind w:left="0"/>
              <w:jc w:val="right"/>
              <w:rPr>
                <w:bCs/>
              </w:rPr>
            </w:pPr>
            <w:r w:rsidRPr="00037A46">
              <w:rPr>
                <w:bCs/>
              </w:rPr>
              <w:t>21.950</w:t>
            </w:r>
          </w:p>
        </w:tc>
        <w:tc>
          <w:tcPr>
            <w:tcW w:w="1311" w:type="dxa"/>
            <w:noWrap/>
            <w:vAlign w:val="bottom"/>
          </w:tcPr>
          <w:p w14:paraId="6DA75A57" w14:textId="77777777" w:rsidR="003A11FB" w:rsidRPr="00037A46" w:rsidRDefault="003A11FB" w:rsidP="003A11FB">
            <w:pPr>
              <w:spacing w:before="0" w:after="0"/>
              <w:ind w:left="0"/>
              <w:jc w:val="right"/>
              <w:rPr>
                <w:bCs/>
              </w:rPr>
            </w:pPr>
            <w:r w:rsidRPr="00037A46">
              <w:rPr>
                <w:bCs/>
              </w:rPr>
              <w:t>24.100</w:t>
            </w:r>
          </w:p>
        </w:tc>
      </w:tr>
      <w:tr w:rsidR="003A11FB" w:rsidRPr="00037A46" w14:paraId="357A4262" w14:textId="77777777">
        <w:trPr>
          <w:trHeight w:val="284"/>
          <w:jc w:val="center"/>
        </w:trPr>
        <w:tc>
          <w:tcPr>
            <w:tcW w:w="1149" w:type="dxa"/>
            <w:shd w:val="clear" w:color="auto" w:fill="C0C0C0"/>
            <w:noWrap/>
            <w:vAlign w:val="bottom"/>
          </w:tcPr>
          <w:p w14:paraId="19C988D0" w14:textId="77777777" w:rsidR="003A11FB" w:rsidRPr="00037A46" w:rsidRDefault="003A11FB" w:rsidP="003A11FB">
            <w:pPr>
              <w:spacing w:before="0" w:after="0"/>
              <w:ind w:left="0"/>
              <w:jc w:val="right"/>
              <w:rPr>
                <w:b/>
                <w:bCs/>
              </w:rPr>
            </w:pPr>
            <w:r w:rsidRPr="00037A46">
              <w:rPr>
                <w:b/>
                <w:bCs/>
              </w:rPr>
              <w:t>12</w:t>
            </w:r>
          </w:p>
        </w:tc>
        <w:tc>
          <w:tcPr>
            <w:tcW w:w="1236" w:type="dxa"/>
            <w:noWrap/>
            <w:vAlign w:val="bottom"/>
          </w:tcPr>
          <w:p w14:paraId="6392508D" w14:textId="77777777" w:rsidR="003A11FB" w:rsidRPr="00037A46" w:rsidRDefault="003A11FB" w:rsidP="003A11FB">
            <w:pPr>
              <w:spacing w:before="0" w:after="0"/>
              <w:ind w:left="0"/>
              <w:jc w:val="right"/>
              <w:rPr>
                <w:bCs/>
              </w:rPr>
            </w:pPr>
            <w:r w:rsidRPr="00037A46">
              <w:rPr>
                <w:bCs/>
              </w:rPr>
              <w:t>17.100</w:t>
            </w:r>
          </w:p>
        </w:tc>
        <w:tc>
          <w:tcPr>
            <w:tcW w:w="1276" w:type="dxa"/>
            <w:noWrap/>
            <w:vAlign w:val="bottom"/>
          </w:tcPr>
          <w:p w14:paraId="7F292BE0" w14:textId="77777777" w:rsidR="003A11FB" w:rsidRPr="00037A46" w:rsidRDefault="003A11FB" w:rsidP="003A11FB">
            <w:pPr>
              <w:spacing w:before="0" w:after="0"/>
              <w:ind w:left="0"/>
              <w:jc w:val="right"/>
              <w:rPr>
                <w:bCs/>
              </w:rPr>
            </w:pPr>
            <w:r w:rsidRPr="00037A46">
              <w:rPr>
                <w:bCs/>
              </w:rPr>
              <w:t>17.800</w:t>
            </w:r>
          </w:p>
        </w:tc>
        <w:tc>
          <w:tcPr>
            <w:tcW w:w="1276" w:type="dxa"/>
            <w:noWrap/>
            <w:vAlign w:val="bottom"/>
          </w:tcPr>
          <w:p w14:paraId="69853DD6" w14:textId="77777777" w:rsidR="003A11FB" w:rsidRPr="00037A46" w:rsidRDefault="003A11FB" w:rsidP="003A11FB">
            <w:pPr>
              <w:spacing w:before="0" w:after="0"/>
              <w:ind w:left="0"/>
              <w:jc w:val="right"/>
              <w:rPr>
                <w:bCs/>
              </w:rPr>
            </w:pPr>
            <w:r w:rsidRPr="00037A46">
              <w:rPr>
                <w:bCs/>
              </w:rPr>
              <w:t>19.650</w:t>
            </w:r>
          </w:p>
        </w:tc>
        <w:tc>
          <w:tcPr>
            <w:tcW w:w="1276" w:type="dxa"/>
            <w:noWrap/>
            <w:vAlign w:val="bottom"/>
          </w:tcPr>
          <w:p w14:paraId="37A2388C" w14:textId="77777777" w:rsidR="003A11FB" w:rsidRPr="00037A46" w:rsidRDefault="003A11FB" w:rsidP="003A11FB">
            <w:pPr>
              <w:spacing w:before="0" w:after="0"/>
              <w:ind w:left="0"/>
              <w:jc w:val="right"/>
              <w:rPr>
                <w:bCs/>
              </w:rPr>
            </w:pPr>
            <w:r w:rsidRPr="00037A46">
              <w:rPr>
                <w:bCs/>
              </w:rPr>
              <w:t>21.950</w:t>
            </w:r>
          </w:p>
        </w:tc>
        <w:tc>
          <w:tcPr>
            <w:tcW w:w="1311" w:type="dxa"/>
            <w:noWrap/>
            <w:vAlign w:val="bottom"/>
          </w:tcPr>
          <w:p w14:paraId="65602BB9" w14:textId="77777777" w:rsidR="003A11FB" w:rsidRPr="00037A46" w:rsidRDefault="003A11FB" w:rsidP="003A11FB">
            <w:pPr>
              <w:spacing w:before="0" w:after="0"/>
              <w:ind w:left="0"/>
              <w:jc w:val="right"/>
              <w:rPr>
                <w:bCs/>
              </w:rPr>
            </w:pPr>
            <w:r w:rsidRPr="00037A46">
              <w:rPr>
                <w:bCs/>
              </w:rPr>
              <w:t>24.100</w:t>
            </w:r>
          </w:p>
        </w:tc>
      </w:tr>
      <w:tr w:rsidR="003A11FB" w:rsidRPr="00037A46" w14:paraId="3E0A8763" w14:textId="77777777">
        <w:trPr>
          <w:trHeight w:val="284"/>
          <w:jc w:val="center"/>
        </w:trPr>
        <w:tc>
          <w:tcPr>
            <w:tcW w:w="1149" w:type="dxa"/>
            <w:shd w:val="clear" w:color="auto" w:fill="C0C0C0"/>
            <w:noWrap/>
            <w:vAlign w:val="bottom"/>
          </w:tcPr>
          <w:p w14:paraId="2E516BD7" w14:textId="77777777" w:rsidR="003A11FB" w:rsidRPr="00037A46" w:rsidRDefault="003A11FB" w:rsidP="003A11FB">
            <w:pPr>
              <w:spacing w:before="0" w:after="0"/>
              <w:ind w:left="0"/>
              <w:jc w:val="right"/>
              <w:rPr>
                <w:b/>
                <w:bCs/>
              </w:rPr>
            </w:pPr>
            <w:r w:rsidRPr="00037A46">
              <w:rPr>
                <w:b/>
                <w:bCs/>
              </w:rPr>
              <w:t>13</w:t>
            </w:r>
          </w:p>
        </w:tc>
        <w:tc>
          <w:tcPr>
            <w:tcW w:w="1236" w:type="dxa"/>
            <w:noWrap/>
            <w:vAlign w:val="bottom"/>
          </w:tcPr>
          <w:p w14:paraId="04A2E077" w14:textId="77777777" w:rsidR="003A11FB" w:rsidRPr="00037A46" w:rsidRDefault="003A11FB" w:rsidP="003A11FB">
            <w:pPr>
              <w:spacing w:before="0" w:after="0"/>
              <w:ind w:left="0"/>
              <w:jc w:val="right"/>
              <w:rPr>
                <w:bCs/>
              </w:rPr>
            </w:pPr>
            <w:r w:rsidRPr="00037A46">
              <w:rPr>
                <w:bCs/>
              </w:rPr>
              <w:t>17.700</w:t>
            </w:r>
          </w:p>
        </w:tc>
        <w:tc>
          <w:tcPr>
            <w:tcW w:w="1276" w:type="dxa"/>
            <w:noWrap/>
            <w:vAlign w:val="bottom"/>
          </w:tcPr>
          <w:p w14:paraId="7789E209" w14:textId="77777777" w:rsidR="003A11FB" w:rsidRPr="00037A46" w:rsidRDefault="003A11FB" w:rsidP="003A11FB">
            <w:pPr>
              <w:spacing w:before="0" w:after="0"/>
              <w:ind w:left="0"/>
              <w:jc w:val="right"/>
              <w:rPr>
                <w:bCs/>
              </w:rPr>
            </w:pPr>
            <w:r w:rsidRPr="00037A46">
              <w:rPr>
                <w:bCs/>
              </w:rPr>
              <w:t>18.400</w:t>
            </w:r>
          </w:p>
        </w:tc>
        <w:tc>
          <w:tcPr>
            <w:tcW w:w="1276" w:type="dxa"/>
            <w:noWrap/>
            <w:vAlign w:val="bottom"/>
          </w:tcPr>
          <w:p w14:paraId="7FB164EF" w14:textId="77777777" w:rsidR="003A11FB" w:rsidRPr="00037A46" w:rsidRDefault="003A11FB" w:rsidP="003A11FB">
            <w:pPr>
              <w:spacing w:before="0" w:after="0"/>
              <w:ind w:left="0"/>
              <w:jc w:val="right"/>
              <w:rPr>
                <w:bCs/>
              </w:rPr>
            </w:pPr>
            <w:r w:rsidRPr="00037A46">
              <w:rPr>
                <w:bCs/>
              </w:rPr>
              <w:t>20.250</w:t>
            </w:r>
          </w:p>
        </w:tc>
        <w:tc>
          <w:tcPr>
            <w:tcW w:w="1276" w:type="dxa"/>
            <w:noWrap/>
            <w:vAlign w:val="bottom"/>
          </w:tcPr>
          <w:p w14:paraId="537A13CB" w14:textId="77777777" w:rsidR="003A11FB" w:rsidRPr="00037A46" w:rsidRDefault="003A11FB" w:rsidP="003A11FB">
            <w:pPr>
              <w:spacing w:before="0" w:after="0"/>
              <w:ind w:left="0"/>
              <w:jc w:val="right"/>
              <w:rPr>
                <w:bCs/>
              </w:rPr>
            </w:pPr>
            <w:r w:rsidRPr="00037A46">
              <w:rPr>
                <w:bCs/>
              </w:rPr>
              <w:t>22.550</w:t>
            </w:r>
          </w:p>
        </w:tc>
        <w:tc>
          <w:tcPr>
            <w:tcW w:w="1311" w:type="dxa"/>
            <w:noWrap/>
            <w:vAlign w:val="bottom"/>
          </w:tcPr>
          <w:p w14:paraId="0D562D0A" w14:textId="77777777" w:rsidR="003A11FB" w:rsidRPr="00037A46" w:rsidRDefault="003A11FB" w:rsidP="003A11FB">
            <w:pPr>
              <w:spacing w:before="0" w:after="0"/>
              <w:ind w:left="0"/>
              <w:jc w:val="right"/>
              <w:rPr>
                <w:bCs/>
              </w:rPr>
            </w:pPr>
            <w:r w:rsidRPr="00037A46">
              <w:rPr>
                <w:bCs/>
              </w:rPr>
              <w:t>24.700</w:t>
            </w:r>
          </w:p>
        </w:tc>
      </w:tr>
      <w:tr w:rsidR="003A11FB" w:rsidRPr="00037A46" w14:paraId="432EC18C" w14:textId="77777777">
        <w:trPr>
          <w:trHeight w:val="284"/>
          <w:jc w:val="center"/>
        </w:trPr>
        <w:tc>
          <w:tcPr>
            <w:tcW w:w="1149" w:type="dxa"/>
            <w:shd w:val="clear" w:color="auto" w:fill="C0C0C0"/>
            <w:noWrap/>
            <w:vAlign w:val="bottom"/>
          </w:tcPr>
          <w:p w14:paraId="34F8C7FE" w14:textId="77777777" w:rsidR="003A11FB" w:rsidRPr="00037A46" w:rsidRDefault="003A11FB" w:rsidP="003A11FB">
            <w:pPr>
              <w:spacing w:before="0" w:after="0"/>
              <w:ind w:left="0"/>
              <w:jc w:val="right"/>
              <w:rPr>
                <w:b/>
                <w:bCs/>
              </w:rPr>
            </w:pPr>
            <w:r w:rsidRPr="00037A46">
              <w:rPr>
                <w:b/>
                <w:bCs/>
              </w:rPr>
              <w:t>14</w:t>
            </w:r>
          </w:p>
        </w:tc>
        <w:tc>
          <w:tcPr>
            <w:tcW w:w="1236" w:type="dxa"/>
            <w:noWrap/>
            <w:vAlign w:val="bottom"/>
          </w:tcPr>
          <w:p w14:paraId="471D2BBF" w14:textId="77777777" w:rsidR="003A11FB" w:rsidRPr="00037A46" w:rsidRDefault="003A11FB" w:rsidP="003A11FB">
            <w:pPr>
              <w:spacing w:before="0" w:after="0"/>
              <w:ind w:left="0"/>
              <w:jc w:val="right"/>
              <w:rPr>
                <w:bCs/>
              </w:rPr>
            </w:pPr>
            <w:r w:rsidRPr="00037A46">
              <w:rPr>
                <w:bCs/>
              </w:rPr>
              <w:t>17.700</w:t>
            </w:r>
          </w:p>
        </w:tc>
        <w:tc>
          <w:tcPr>
            <w:tcW w:w="1276" w:type="dxa"/>
            <w:noWrap/>
            <w:vAlign w:val="bottom"/>
          </w:tcPr>
          <w:p w14:paraId="45241B5F" w14:textId="77777777" w:rsidR="003A11FB" w:rsidRPr="00037A46" w:rsidRDefault="003A11FB" w:rsidP="003A11FB">
            <w:pPr>
              <w:spacing w:before="0" w:after="0"/>
              <w:ind w:left="0"/>
              <w:jc w:val="right"/>
              <w:rPr>
                <w:bCs/>
              </w:rPr>
            </w:pPr>
            <w:r w:rsidRPr="00037A46">
              <w:rPr>
                <w:bCs/>
              </w:rPr>
              <w:t>18.400</w:t>
            </w:r>
          </w:p>
        </w:tc>
        <w:tc>
          <w:tcPr>
            <w:tcW w:w="1276" w:type="dxa"/>
            <w:noWrap/>
            <w:vAlign w:val="bottom"/>
          </w:tcPr>
          <w:p w14:paraId="153AF550" w14:textId="77777777" w:rsidR="003A11FB" w:rsidRPr="00037A46" w:rsidRDefault="003A11FB" w:rsidP="003A11FB">
            <w:pPr>
              <w:spacing w:before="0" w:after="0"/>
              <w:ind w:left="0"/>
              <w:jc w:val="right"/>
              <w:rPr>
                <w:bCs/>
              </w:rPr>
            </w:pPr>
            <w:r w:rsidRPr="00037A46">
              <w:rPr>
                <w:bCs/>
              </w:rPr>
              <w:t>20.250</w:t>
            </w:r>
          </w:p>
        </w:tc>
        <w:tc>
          <w:tcPr>
            <w:tcW w:w="1276" w:type="dxa"/>
            <w:noWrap/>
            <w:vAlign w:val="bottom"/>
          </w:tcPr>
          <w:p w14:paraId="11E1C3D3" w14:textId="77777777" w:rsidR="003A11FB" w:rsidRPr="00037A46" w:rsidRDefault="003A11FB" w:rsidP="003A11FB">
            <w:pPr>
              <w:spacing w:before="0" w:after="0"/>
              <w:ind w:left="0"/>
              <w:jc w:val="right"/>
              <w:rPr>
                <w:bCs/>
              </w:rPr>
            </w:pPr>
            <w:r w:rsidRPr="00037A46">
              <w:rPr>
                <w:bCs/>
              </w:rPr>
              <w:t>22.550</w:t>
            </w:r>
          </w:p>
        </w:tc>
        <w:tc>
          <w:tcPr>
            <w:tcW w:w="1311" w:type="dxa"/>
            <w:noWrap/>
            <w:vAlign w:val="bottom"/>
          </w:tcPr>
          <w:p w14:paraId="1D222D40" w14:textId="77777777" w:rsidR="003A11FB" w:rsidRPr="00037A46" w:rsidRDefault="003A11FB" w:rsidP="003A11FB">
            <w:pPr>
              <w:spacing w:before="0" w:after="0"/>
              <w:ind w:left="0"/>
              <w:jc w:val="right"/>
              <w:rPr>
                <w:bCs/>
              </w:rPr>
            </w:pPr>
            <w:r w:rsidRPr="00037A46">
              <w:rPr>
                <w:bCs/>
              </w:rPr>
              <w:t>24.700</w:t>
            </w:r>
          </w:p>
        </w:tc>
      </w:tr>
      <w:tr w:rsidR="003A11FB" w:rsidRPr="00037A46" w14:paraId="2149B06E" w14:textId="77777777">
        <w:trPr>
          <w:trHeight w:val="315"/>
          <w:jc w:val="center"/>
        </w:trPr>
        <w:tc>
          <w:tcPr>
            <w:tcW w:w="1149" w:type="dxa"/>
            <w:shd w:val="clear" w:color="auto" w:fill="C0C0C0"/>
            <w:noWrap/>
            <w:vAlign w:val="bottom"/>
          </w:tcPr>
          <w:p w14:paraId="73C3F4C5" w14:textId="77777777" w:rsidR="003A11FB" w:rsidRPr="00037A46" w:rsidRDefault="003A11FB" w:rsidP="003A11FB">
            <w:pPr>
              <w:spacing w:before="0" w:after="0"/>
              <w:ind w:left="0"/>
              <w:jc w:val="right"/>
              <w:rPr>
                <w:b/>
                <w:bCs/>
              </w:rPr>
            </w:pPr>
            <w:r w:rsidRPr="00037A46">
              <w:rPr>
                <w:b/>
                <w:bCs/>
              </w:rPr>
              <w:t>15</w:t>
            </w:r>
          </w:p>
        </w:tc>
        <w:tc>
          <w:tcPr>
            <w:tcW w:w="1236" w:type="dxa"/>
            <w:noWrap/>
            <w:vAlign w:val="bottom"/>
          </w:tcPr>
          <w:p w14:paraId="3F920C66" w14:textId="77777777" w:rsidR="003A11FB" w:rsidRPr="00037A46" w:rsidRDefault="003A11FB" w:rsidP="003A11FB">
            <w:pPr>
              <w:spacing w:before="0" w:after="0"/>
              <w:ind w:left="0"/>
              <w:jc w:val="right"/>
              <w:rPr>
                <w:bCs/>
              </w:rPr>
            </w:pPr>
            <w:r w:rsidRPr="00037A46">
              <w:rPr>
                <w:bCs/>
              </w:rPr>
              <w:t>18.300</w:t>
            </w:r>
          </w:p>
        </w:tc>
        <w:tc>
          <w:tcPr>
            <w:tcW w:w="1276" w:type="dxa"/>
            <w:noWrap/>
            <w:vAlign w:val="bottom"/>
          </w:tcPr>
          <w:p w14:paraId="60F26F02" w14:textId="77777777" w:rsidR="003A11FB" w:rsidRPr="00037A46" w:rsidRDefault="003A11FB" w:rsidP="003A11FB">
            <w:pPr>
              <w:spacing w:before="0" w:after="0"/>
              <w:ind w:left="0"/>
              <w:jc w:val="right"/>
              <w:rPr>
                <w:bCs/>
              </w:rPr>
            </w:pPr>
            <w:r w:rsidRPr="00037A46">
              <w:rPr>
                <w:bCs/>
              </w:rPr>
              <w:t>19.000</w:t>
            </w:r>
          </w:p>
        </w:tc>
        <w:tc>
          <w:tcPr>
            <w:tcW w:w="1276" w:type="dxa"/>
            <w:noWrap/>
            <w:vAlign w:val="bottom"/>
          </w:tcPr>
          <w:p w14:paraId="4F998448" w14:textId="77777777" w:rsidR="003A11FB" w:rsidRPr="00037A46" w:rsidRDefault="003A11FB" w:rsidP="003A11FB">
            <w:pPr>
              <w:spacing w:before="0" w:after="0"/>
              <w:ind w:left="0"/>
              <w:jc w:val="right"/>
              <w:rPr>
                <w:bCs/>
              </w:rPr>
            </w:pPr>
            <w:r w:rsidRPr="00037A46">
              <w:rPr>
                <w:bCs/>
              </w:rPr>
              <w:t>20.850</w:t>
            </w:r>
          </w:p>
        </w:tc>
        <w:tc>
          <w:tcPr>
            <w:tcW w:w="1276" w:type="dxa"/>
            <w:noWrap/>
            <w:vAlign w:val="bottom"/>
          </w:tcPr>
          <w:p w14:paraId="4F748EDA" w14:textId="77777777" w:rsidR="003A11FB" w:rsidRPr="00037A46" w:rsidRDefault="003A11FB" w:rsidP="003A11FB">
            <w:pPr>
              <w:spacing w:before="0" w:after="0"/>
              <w:ind w:left="0"/>
              <w:jc w:val="right"/>
              <w:rPr>
                <w:bCs/>
              </w:rPr>
            </w:pPr>
            <w:r w:rsidRPr="00037A46">
              <w:rPr>
                <w:bCs/>
              </w:rPr>
              <w:t>23.100</w:t>
            </w:r>
          </w:p>
        </w:tc>
        <w:tc>
          <w:tcPr>
            <w:tcW w:w="1311" w:type="dxa"/>
            <w:noWrap/>
            <w:vAlign w:val="bottom"/>
          </w:tcPr>
          <w:p w14:paraId="45993316" w14:textId="77777777" w:rsidR="003A11FB" w:rsidRPr="00037A46" w:rsidRDefault="003A11FB" w:rsidP="003A11FB">
            <w:pPr>
              <w:spacing w:before="0" w:after="0"/>
              <w:ind w:left="0"/>
              <w:jc w:val="right"/>
              <w:rPr>
                <w:bCs/>
              </w:rPr>
            </w:pPr>
            <w:r w:rsidRPr="00037A46">
              <w:rPr>
                <w:bCs/>
              </w:rPr>
              <w:t>25.350</w:t>
            </w:r>
          </w:p>
        </w:tc>
      </w:tr>
      <w:tr w:rsidR="003A11FB" w:rsidRPr="00037A46" w14:paraId="6BC1822F" w14:textId="77777777">
        <w:trPr>
          <w:trHeight w:val="284"/>
          <w:jc w:val="center"/>
        </w:trPr>
        <w:tc>
          <w:tcPr>
            <w:tcW w:w="1149" w:type="dxa"/>
            <w:shd w:val="clear" w:color="auto" w:fill="C0C0C0"/>
            <w:noWrap/>
            <w:vAlign w:val="bottom"/>
          </w:tcPr>
          <w:p w14:paraId="230232D8" w14:textId="77777777" w:rsidR="003A11FB" w:rsidRPr="00037A46" w:rsidRDefault="003A11FB" w:rsidP="003A11FB">
            <w:pPr>
              <w:spacing w:before="0" w:after="0"/>
              <w:ind w:left="0"/>
              <w:jc w:val="right"/>
              <w:rPr>
                <w:b/>
                <w:bCs/>
              </w:rPr>
            </w:pPr>
            <w:r w:rsidRPr="00037A46">
              <w:rPr>
                <w:b/>
                <w:bCs/>
              </w:rPr>
              <w:t>16</w:t>
            </w:r>
          </w:p>
        </w:tc>
        <w:tc>
          <w:tcPr>
            <w:tcW w:w="1236" w:type="dxa"/>
            <w:noWrap/>
            <w:vAlign w:val="bottom"/>
          </w:tcPr>
          <w:p w14:paraId="26655BDE" w14:textId="77777777" w:rsidR="003A11FB" w:rsidRPr="00037A46" w:rsidRDefault="003A11FB" w:rsidP="003A11FB">
            <w:pPr>
              <w:spacing w:before="0" w:after="0"/>
              <w:ind w:left="0"/>
              <w:jc w:val="right"/>
              <w:rPr>
                <w:bCs/>
              </w:rPr>
            </w:pPr>
            <w:r w:rsidRPr="00037A46">
              <w:rPr>
                <w:bCs/>
              </w:rPr>
              <w:t>18.300</w:t>
            </w:r>
          </w:p>
        </w:tc>
        <w:tc>
          <w:tcPr>
            <w:tcW w:w="1276" w:type="dxa"/>
            <w:noWrap/>
            <w:vAlign w:val="bottom"/>
          </w:tcPr>
          <w:p w14:paraId="19820D7F" w14:textId="77777777" w:rsidR="003A11FB" w:rsidRPr="00037A46" w:rsidRDefault="003A11FB" w:rsidP="003A11FB">
            <w:pPr>
              <w:spacing w:before="0" w:after="0"/>
              <w:ind w:left="0"/>
              <w:jc w:val="right"/>
              <w:rPr>
                <w:bCs/>
              </w:rPr>
            </w:pPr>
            <w:r w:rsidRPr="00037A46">
              <w:rPr>
                <w:bCs/>
              </w:rPr>
              <w:t>19.000</w:t>
            </w:r>
          </w:p>
        </w:tc>
        <w:tc>
          <w:tcPr>
            <w:tcW w:w="1276" w:type="dxa"/>
            <w:noWrap/>
            <w:vAlign w:val="bottom"/>
          </w:tcPr>
          <w:p w14:paraId="2D4C7D4E" w14:textId="77777777" w:rsidR="003A11FB" w:rsidRPr="00037A46" w:rsidRDefault="003A11FB" w:rsidP="003A11FB">
            <w:pPr>
              <w:spacing w:before="0" w:after="0"/>
              <w:ind w:left="0"/>
              <w:jc w:val="right"/>
              <w:rPr>
                <w:bCs/>
              </w:rPr>
            </w:pPr>
            <w:r w:rsidRPr="00037A46">
              <w:rPr>
                <w:bCs/>
              </w:rPr>
              <w:t>20.850</w:t>
            </w:r>
          </w:p>
        </w:tc>
        <w:tc>
          <w:tcPr>
            <w:tcW w:w="1276" w:type="dxa"/>
            <w:noWrap/>
            <w:vAlign w:val="bottom"/>
          </w:tcPr>
          <w:p w14:paraId="6A6FEDB4" w14:textId="77777777" w:rsidR="003A11FB" w:rsidRPr="00037A46" w:rsidRDefault="003A11FB" w:rsidP="003A11FB">
            <w:pPr>
              <w:spacing w:before="0" w:after="0"/>
              <w:ind w:left="0"/>
              <w:jc w:val="right"/>
              <w:rPr>
                <w:bCs/>
              </w:rPr>
            </w:pPr>
            <w:r w:rsidRPr="00037A46">
              <w:rPr>
                <w:bCs/>
              </w:rPr>
              <w:t>23.100</w:t>
            </w:r>
          </w:p>
        </w:tc>
        <w:tc>
          <w:tcPr>
            <w:tcW w:w="1311" w:type="dxa"/>
            <w:noWrap/>
            <w:vAlign w:val="bottom"/>
          </w:tcPr>
          <w:p w14:paraId="62FF0075" w14:textId="77777777" w:rsidR="003A11FB" w:rsidRPr="00037A46" w:rsidRDefault="003A11FB" w:rsidP="003A11FB">
            <w:pPr>
              <w:spacing w:before="0" w:after="0"/>
              <w:ind w:left="0"/>
              <w:jc w:val="right"/>
              <w:rPr>
                <w:bCs/>
              </w:rPr>
            </w:pPr>
            <w:r w:rsidRPr="00037A46">
              <w:rPr>
                <w:bCs/>
              </w:rPr>
              <w:t>25.350</w:t>
            </w:r>
          </w:p>
        </w:tc>
      </w:tr>
      <w:tr w:rsidR="003A11FB" w:rsidRPr="00037A46" w14:paraId="0E339539" w14:textId="77777777">
        <w:trPr>
          <w:trHeight w:val="315"/>
          <w:jc w:val="center"/>
        </w:trPr>
        <w:tc>
          <w:tcPr>
            <w:tcW w:w="1149" w:type="dxa"/>
            <w:shd w:val="clear" w:color="auto" w:fill="C0C0C0"/>
            <w:noWrap/>
            <w:vAlign w:val="bottom"/>
          </w:tcPr>
          <w:p w14:paraId="79AC44AD" w14:textId="77777777" w:rsidR="003A11FB" w:rsidRPr="00037A46" w:rsidRDefault="003A11FB" w:rsidP="003A11FB">
            <w:pPr>
              <w:spacing w:before="0" w:after="0"/>
              <w:ind w:left="0"/>
              <w:jc w:val="right"/>
              <w:rPr>
                <w:b/>
                <w:bCs/>
              </w:rPr>
            </w:pPr>
            <w:r w:rsidRPr="00037A46">
              <w:rPr>
                <w:b/>
                <w:bCs/>
              </w:rPr>
              <w:t>17</w:t>
            </w:r>
          </w:p>
        </w:tc>
        <w:tc>
          <w:tcPr>
            <w:tcW w:w="1236" w:type="dxa"/>
            <w:noWrap/>
            <w:vAlign w:val="bottom"/>
          </w:tcPr>
          <w:p w14:paraId="60D38793" w14:textId="77777777" w:rsidR="003A11FB" w:rsidRPr="00037A46" w:rsidRDefault="003A11FB" w:rsidP="003A11FB">
            <w:pPr>
              <w:spacing w:before="0" w:after="0"/>
              <w:ind w:left="0"/>
              <w:jc w:val="right"/>
              <w:rPr>
                <w:bCs/>
              </w:rPr>
            </w:pPr>
            <w:r w:rsidRPr="00037A46">
              <w:rPr>
                <w:bCs/>
              </w:rPr>
              <w:t>18.900</w:t>
            </w:r>
          </w:p>
        </w:tc>
        <w:tc>
          <w:tcPr>
            <w:tcW w:w="1276" w:type="dxa"/>
            <w:noWrap/>
            <w:vAlign w:val="bottom"/>
          </w:tcPr>
          <w:p w14:paraId="2E04ED71" w14:textId="77777777" w:rsidR="003A11FB" w:rsidRPr="00037A46" w:rsidRDefault="003A11FB" w:rsidP="003A11FB">
            <w:pPr>
              <w:spacing w:before="0" w:after="0"/>
              <w:ind w:left="0"/>
              <w:jc w:val="right"/>
              <w:rPr>
                <w:bCs/>
              </w:rPr>
            </w:pPr>
            <w:r w:rsidRPr="00037A46">
              <w:rPr>
                <w:bCs/>
              </w:rPr>
              <w:t>19.600</w:t>
            </w:r>
          </w:p>
        </w:tc>
        <w:tc>
          <w:tcPr>
            <w:tcW w:w="1276" w:type="dxa"/>
            <w:noWrap/>
            <w:vAlign w:val="bottom"/>
          </w:tcPr>
          <w:p w14:paraId="0E15D621" w14:textId="77777777" w:rsidR="003A11FB" w:rsidRPr="00037A46" w:rsidRDefault="003A11FB" w:rsidP="003A11FB">
            <w:pPr>
              <w:spacing w:before="0" w:after="0"/>
              <w:ind w:left="0"/>
              <w:jc w:val="right"/>
              <w:rPr>
                <w:bCs/>
              </w:rPr>
            </w:pPr>
            <w:r w:rsidRPr="00037A46">
              <w:rPr>
                <w:bCs/>
              </w:rPr>
              <w:t>21.500</w:t>
            </w:r>
          </w:p>
        </w:tc>
        <w:tc>
          <w:tcPr>
            <w:tcW w:w="1276" w:type="dxa"/>
            <w:noWrap/>
            <w:vAlign w:val="bottom"/>
          </w:tcPr>
          <w:p w14:paraId="76C46DCD" w14:textId="77777777" w:rsidR="003A11FB" w:rsidRPr="00037A46" w:rsidRDefault="003A11FB" w:rsidP="003A11FB">
            <w:pPr>
              <w:spacing w:before="0" w:after="0"/>
              <w:ind w:left="0"/>
              <w:jc w:val="right"/>
              <w:rPr>
                <w:bCs/>
              </w:rPr>
            </w:pPr>
            <w:r w:rsidRPr="00037A46">
              <w:rPr>
                <w:bCs/>
              </w:rPr>
              <w:t>23.650</w:t>
            </w:r>
          </w:p>
        </w:tc>
        <w:tc>
          <w:tcPr>
            <w:tcW w:w="1311" w:type="dxa"/>
            <w:noWrap/>
            <w:vAlign w:val="bottom"/>
          </w:tcPr>
          <w:p w14:paraId="68B54C0E" w14:textId="77777777" w:rsidR="003A11FB" w:rsidRPr="00037A46" w:rsidRDefault="003A11FB" w:rsidP="003A11FB">
            <w:pPr>
              <w:spacing w:before="0" w:after="0"/>
              <w:ind w:left="0"/>
              <w:jc w:val="right"/>
              <w:rPr>
                <w:bCs/>
              </w:rPr>
            </w:pPr>
            <w:r w:rsidRPr="00037A46">
              <w:rPr>
                <w:bCs/>
              </w:rPr>
              <w:t>25.950</w:t>
            </w:r>
          </w:p>
        </w:tc>
      </w:tr>
      <w:tr w:rsidR="003A11FB" w:rsidRPr="00037A46" w14:paraId="03D7EEF7" w14:textId="77777777">
        <w:trPr>
          <w:trHeight w:val="284"/>
          <w:jc w:val="center"/>
        </w:trPr>
        <w:tc>
          <w:tcPr>
            <w:tcW w:w="1149" w:type="dxa"/>
            <w:shd w:val="clear" w:color="auto" w:fill="C0C0C0"/>
            <w:noWrap/>
            <w:vAlign w:val="bottom"/>
          </w:tcPr>
          <w:p w14:paraId="6BF060E7" w14:textId="77777777" w:rsidR="003A11FB" w:rsidRPr="00037A46" w:rsidRDefault="003A11FB" w:rsidP="003A11FB">
            <w:pPr>
              <w:spacing w:before="0" w:after="0"/>
              <w:ind w:left="0"/>
              <w:jc w:val="right"/>
              <w:rPr>
                <w:b/>
                <w:bCs/>
              </w:rPr>
            </w:pPr>
            <w:r w:rsidRPr="00037A46">
              <w:rPr>
                <w:b/>
                <w:bCs/>
              </w:rPr>
              <w:t>18</w:t>
            </w:r>
          </w:p>
        </w:tc>
        <w:tc>
          <w:tcPr>
            <w:tcW w:w="1236" w:type="dxa"/>
            <w:noWrap/>
            <w:vAlign w:val="bottom"/>
          </w:tcPr>
          <w:p w14:paraId="7FC27CC5" w14:textId="77777777" w:rsidR="003A11FB" w:rsidRPr="00037A46" w:rsidRDefault="003A11FB" w:rsidP="003A11FB">
            <w:pPr>
              <w:spacing w:before="0" w:after="0"/>
              <w:ind w:left="0"/>
              <w:jc w:val="right"/>
              <w:rPr>
                <w:bCs/>
              </w:rPr>
            </w:pPr>
            <w:r w:rsidRPr="00037A46">
              <w:rPr>
                <w:bCs/>
              </w:rPr>
              <w:t>18.900</w:t>
            </w:r>
          </w:p>
        </w:tc>
        <w:tc>
          <w:tcPr>
            <w:tcW w:w="1276" w:type="dxa"/>
            <w:noWrap/>
            <w:vAlign w:val="bottom"/>
          </w:tcPr>
          <w:p w14:paraId="63397F56" w14:textId="77777777" w:rsidR="003A11FB" w:rsidRPr="00037A46" w:rsidRDefault="003A11FB" w:rsidP="003A11FB">
            <w:pPr>
              <w:spacing w:before="0" w:after="0"/>
              <w:ind w:left="0"/>
              <w:jc w:val="right"/>
              <w:rPr>
                <w:bCs/>
              </w:rPr>
            </w:pPr>
            <w:r w:rsidRPr="00037A46">
              <w:rPr>
                <w:bCs/>
              </w:rPr>
              <w:t>19.600</w:t>
            </w:r>
          </w:p>
        </w:tc>
        <w:tc>
          <w:tcPr>
            <w:tcW w:w="1276" w:type="dxa"/>
            <w:noWrap/>
            <w:vAlign w:val="bottom"/>
          </w:tcPr>
          <w:p w14:paraId="2FD6E421" w14:textId="77777777" w:rsidR="003A11FB" w:rsidRPr="00037A46" w:rsidRDefault="003A11FB" w:rsidP="003A11FB">
            <w:pPr>
              <w:spacing w:before="0" w:after="0"/>
              <w:ind w:left="0"/>
              <w:jc w:val="right"/>
              <w:rPr>
                <w:bCs/>
              </w:rPr>
            </w:pPr>
            <w:r w:rsidRPr="00037A46">
              <w:rPr>
                <w:bCs/>
              </w:rPr>
              <w:t>21.500</w:t>
            </w:r>
          </w:p>
        </w:tc>
        <w:tc>
          <w:tcPr>
            <w:tcW w:w="1276" w:type="dxa"/>
            <w:noWrap/>
            <w:vAlign w:val="bottom"/>
          </w:tcPr>
          <w:p w14:paraId="61FA9051" w14:textId="77777777" w:rsidR="003A11FB" w:rsidRPr="00037A46" w:rsidRDefault="003A11FB" w:rsidP="003A11FB">
            <w:pPr>
              <w:spacing w:before="0" w:after="0"/>
              <w:ind w:left="0"/>
              <w:jc w:val="right"/>
              <w:rPr>
                <w:bCs/>
              </w:rPr>
            </w:pPr>
            <w:r w:rsidRPr="00037A46">
              <w:rPr>
                <w:bCs/>
              </w:rPr>
              <w:t>23.650</w:t>
            </w:r>
          </w:p>
        </w:tc>
        <w:tc>
          <w:tcPr>
            <w:tcW w:w="1311" w:type="dxa"/>
            <w:noWrap/>
            <w:vAlign w:val="bottom"/>
          </w:tcPr>
          <w:p w14:paraId="647F5475" w14:textId="77777777" w:rsidR="003A11FB" w:rsidRPr="00037A46" w:rsidRDefault="003A11FB" w:rsidP="003A11FB">
            <w:pPr>
              <w:spacing w:before="0" w:after="0"/>
              <w:ind w:left="0"/>
              <w:jc w:val="right"/>
              <w:rPr>
                <w:bCs/>
              </w:rPr>
            </w:pPr>
            <w:r w:rsidRPr="00037A46">
              <w:rPr>
                <w:bCs/>
              </w:rPr>
              <w:t>25.950</w:t>
            </w:r>
          </w:p>
        </w:tc>
      </w:tr>
      <w:tr w:rsidR="003A11FB" w:rsidRPr="00037A46" w14:paraId="46C5E8C8" w14:textId="77777777">
        <w:trPr>
          <w:trHeight w:val="284"/>
          <w:jc w:val="center"/>
        </w:trPr>
        <w:tc>
          <w:tcPr>
            <w:tcW w:w="1149" w:type="dxa"/>
            <w:shd w:val="clear" w:color="auto" w:fill="C0C0C0"/>
            <w:noWrap/>
            <w:vAlign w:val="bottom"/>
          </w:tcPr>
          <w:p w14:paraId="0DF720C6" w14:textId="77777777" w:rsidR="003A11FB" w:rsidRPr="00037A46" w:rsidRDefault="003A11FB" w:rsidP="003A11FB">
            <w:pPr>
              <w:spacing w:before="0" w:after="0"/>
              <w:ind w:left="0"/>
              <w:jc w:val="right"/>
              <w:rPr>
                <w:b/>
                <w:bCs/>
              </w:rPr>
            </w:pPr>
            <w:r w:rsidRPr="00037A46">
              <w:rPr>
                <w:b/>
                <w:bCs/>
              </w:rPr>
              <w:t>19</w:t>
            </w:r>
          </w:p>
        </w:tc>
        <w:tc>
          <w:tcPr>
            <w:tcW w:w="1236" w:type="dxa"/>
            <w:noWrap/>
            <w:vAlign w:val="bottom"/>
          </w:tcPr>
          <w:p w14:paraId="5CB0F164" w14:textId="77777777" w:rsidR="003A11FB" w:rsidRPr="00037A46" w:rsidRDefault="003A11FB" w:rsidP="003A11FB">
            <w:pPr>
              <w:spacing w:before="0" w:after="0"/>
              <w:ind w:left="0"/>
              <w:jc w:val="right"/>
              <w:rPr>
                <w:bCs/>
              </w:rPr>
            </w:pPr>
            <w:r w:rsidRPr="00037A46">
              <w:rPr>
                <w:bCs/>
              </w:rPr>
              <w:t>19.500</w:t>
            </w:r>
          </w:p>
        </w:tc>
        <w:tc>
          <w:tcPr>
            <w:tcW w:w="1276" w:type="dxa"/>
            <w:noWrap/>
            <w:vAlign w:val="bottom"/>
          </w:tcPr>
          <w:p w14:paraId="0B2982A4" w14:textId="77777777" w:rsidR="003A11FB" w:rsidRPr="00037A46" w:rsidRDefault="003A11FB" w:rsidP="003A11FB">
            <w:pPr>
              <w:spacing w:before="0" w:after="0"/>
              <w:ind w:left="0"/>
              <w:jc w:val="right"/>
              <w:rPr>
                <w:bCs/>
              </w:rPr>
            </w:pPr>
            <w:r w:rsidRPr="00037A46">
              <w:rPr>
                <w:bCs/>
              </w:rPr>
              <w:t>20.200</w:t>
            </w:r>
          </w:p>
        </w:tc>
        <w:tc>
          <w:tcPr>
            <w:tcW w:w="1276" w:type="dxa"/>
            <w:noWrap/>
            <w:vAlign w:val="bottom"/>
          </w:tcPr>
          <w:p w14:paraId="528583FA" w14:textId="77777777" w:rsidR="003A11FB" w:rsidRPr="00037A46" w:rsidRDefault="003A11FB" w:rsidP="003A11FB">
            <w:pPr>
              <w:spacing w:before="0" w:after="0"/>
              <w:ind w:left="0"/>
              <w:jc w:val="right"/>
              <w:rPr>
                <w:bCs/>
              </w:rPr>
            </w:pPr>
            <w:r w:rsidRPr="00037A46">
              <w:rPr>
                <w:bCs/>
              </w:rPr>
              <w:t>22.100</w:t>
            </w:r>
          </w:p>
        </w:tc>
        <w:tc>
          <w:tcPr>
            <w:tcW w:w="1276" w:type="dxa"/>
            <w:noWrap/>
            <w:vAlign w:val="bottom"/>
          </w:tcPr>
          <w:p w14:paraId="6724E2B6" w14:textId="77777777" w:rsidR="003A11FB" w:rsidRPr="00037A46" w:rsidRDefault="003A11FB" w:rsidP="003A11FB">
            <w:pPr>
              <w:spacing w:before="0" w:after="0"/>
              <w:ind w:left="0"/>
              <w:jc w:val="right"/>
              <w:rPr>
                <w:bCs/>
              </w:rPr>
            </w:pPr>
            <w:r w:rsidRPr="00037A46">
              <w:rPr>
                <w:bCs/>
              </w:rPr>
              <w:t>24.250</w:t>
            </w:r>
          </w:p>
        </w:tc>
        <w:tc>
          <w:tcPr>
            <w:tcW w:w="1311" w:type="dxa"/>
            <w:noWrap/>
            <w:vAlign w:val="bottom"/>
          </w:tcPr>
          <w:p w14:paraId="0D1A589B" w14:textId="77777777" w:rsidR="003A11FB" w:rsidRPr="00037A46" w:rsidRDefault="003A11FB" w:rsidP="003A11FB">
            <w:pPr>
              <w:spacing w:before="0" w:after="0"/>
              <w:ind w:left="0"/>
              <w:jc w:val="right"/>
              <w:rPr>
                <w:bCs/>
              </w:rPr>
            </w:pPr>
            <w:r w:rsidRPr="00037A46">
              <w:rPr>
                <w:bCs/>
              </w:rPr>
              <w:t>26.550</w:t>
            </w:r>
          </w:p>
        </w:tc>
      </w:tr>
      <w:tr w:rsidR="003A11FB" w:rsidRPr="00037A46" w14:paraId="0A0812D2" w14:textId="77777777">
        <w:trPr>
          <w:trHeight w:val="284"/>
          <w:jc w:val="center"/>
        </w:trPr>
        <w:tc>
          <w:tcPr>
            <w:tcW w:w="1149" w:type="dxa"/>
            <w:shd w:val="clear" w:color="auto" w:fill="C0C0C0"/>
            <w:noWrap/>
            <w:vAlign w:val="bottom"/>
          </w:tcPr>
          <w:p w14:paraId="31801C85" w14:textId="77777777" w:rsidR="003A11FB" w:rsidRPr="00037A46" w:rsidRDefault="003A11FB" w:rsidP="003A11FB">
            <w:pPr>
              <w:spacing w:before="0" w:after="0"/>
              <w:ind w:left="0"/>
              <w:jc w:val="right"/>
              <w:rPr>
                <w:b/>
                <w:bCs/>
              </w:rPr>
            </w:pPr>
            <w:r w:rsidRPr="00037A46">
              <w:rPr>
                <w:b/>
                <w:bCs/>
              </w:rPr>
              <w:t>20</w:t>
            </w:r>
          </w:p>
        </w:tc>
        <w:tc>
          <w:tcPr>
            <w:tcW w:w="1236" w:type="dxa"/>
            <w:noWrap/>
            <w:vAlign w:val="bottom"/>
          </w:tcPr>
          <w:p w14:paraId="1AD2E852" w14:textId="77777777" w:rsidR="003A11FB" w:rsidRPr="00037A46" w:rsidRDefault="003A11FB" w:rsidP="003A11FB">
            <w:pPr>
              <w:spacing w:before="0" w:after="0"/>
              <w:ind w:left="0"/>
              <w:jc w:val="right"/>
              <w:rPr>
                <w:bCs/>
              </w:rPr>
            </w:pPr>
            <w:r w:rsidRPr="00037A46">
              <w:rPr>
                <w:bCs/>
              </w:rPr>
              <w:t>19.500</w:t>
            </w:r>
          </w:p>
        </w:tc>
        <w:tc>
          <w:tcPr>
            <w:tcW w:w="1276" w:type="dxa"/>
            <w:noWrap/>
            <w:vAlign w:val="bottom"/>
          </w:tcPr>
          <w:p w14:paraId="282748A3" w14:textId="77777777" w:rsidR="003A11FB" w:rsidRPr="00037A46" w:rsidRDefault="003A11FB" w:rsidP="003A11FB">
            <w:pPr>
              <w:spacing w:before="0" w:after="0"/>
              <w:ind w:left="0"/>
              <w:jc w:val="right"/>
              <w:rPr>
                <w:bCs/>
              </w:rPr>
            </w:pPr>
            <w:r w:rsidRPr="00037A46">
              <w:rPr>
                <w:bCs/>
              </w:rPr>
              <w:t>20.200</w:t>
            </w:r>
          </w:p>
        </w:tc>
        <w:tc>
          <w:tcPr>
            <w:tcW w:w="1276" w:type="dxa"/>
            <w:noWrap/>
            <w:vAlign w:val="bottom"/>
          </w:tcPr>
          <w:p w14:paraId="061A6D8F" w14:textId="77777777" w:rsidR="003A11FB" w:rsidRPr="00037A46" w:rsidRDefault="003A11FB" w:rsidP="003A11FB">
            <w:pPr>
              <w:spacing w:before="0" w:after="0"/>
              <w:ind w:left="0"/>
              <w:jc w:val="right"/>
              <w:rPr>
                <w:bCs/>
              </w:rPr>
            </w:pPr>
            <w:r w:rsidRPr="00037A46">
              <w:rPr>
                <w:bCs/>
              </w:rPr>
              <w:t>22.100</w:t>
            </w:r>
          </w:p>
        </w:tc>
        <w:tc>
          <w:tcPr>
            <w:tcW w:w="1276" w:type="dxa"/>
            <w:noWrap/>
            <w:vAlign w:val="bottom"/>
          </w:tcPr>
          <w:p w14:paraId="3EE9C058" w14:textId="77777777" w:rsidR="003A11FB" w:rsidRPr="00037A46" w:rsidRDefault="003A11FB" w:rsidP="003A11FB">
            <w:pPr>
              <w:spacing w:before="0" w:after="0"/>
              <w:ind w:left="0"/>
              <w:jc w:val="right"/>
              <w:rPr>
                <w:bCs/>
              </w:rPr>
            </w:pPr>
            <w:r w:rsidRPr="00037A46">
              <w:rPr>
                <w:bCs/>
              </w:rPr>
              <w:t>24.250</w:t>
            </w:r>
          </w:p>
        </w:tc>
        <w:tc>
          <w:tcPr>
            <w:tcW w:w="1311" w:type="dxa"/>
            <w:noWrap/>
            <w:vAlign w:val="bottom"/>
          </w:tcPr>
          <w:p w14:paraId="2884CF0E" w14:textId="77777777" w:rsidR="003A11FB" w:rsidRPr="00037A46" w:rsidRDefault="003A11FB" w:rsidP="003A11FB">
            <w:pPr>
              <w:spacing w:before="0" w:after="0"/>
              <w:ind w:left="0"/>
              <w:jc w:val="right"/>
              <w:rPr>
                <w:bCs/>
              </w:rPr>
            </w:pPr>
            <w:r w:rsidRPr="00037A46">
              <w:rPr>
                <w:bCs/>
              </w:rPr>
              <w:t>26.550</w:t>
            </w:r>
          </w:p>
        </w:tc>
      </w:tr>
      <w:tr w:rsidR="003A11FB" w:rsidRPr="00037A46" w14:paraId="4100AFFA" w14:textId="77777777">
        <w:trPr>
          <w:trHeight w:val="284"/>
          <w:jc w:val="center"/>
        </w:trPr>
        <w:tc>
          <w:tcPr>
            <w:tcW w:w="1149" w:type="dxa"/>
            <w:shd w:val="clear" w:color="auto" w:fill="C0C0C0"/>
            <w:noWrap/>
            <w:vAlign w:val="bottom"/>
          </w:tcPr>
          <w:p w14:paraId="72C6C7BF" w14:textId="77777777" w:rsidR="003A11FB" w:rsidRPr="00037A46" w:rsidRDefault="003A11FB" w:rsidP="003A11FB">
            <w:pPr>
              <w:spacing w:before="0" w:after="0"/>
              <w:ind w:left="0"/>
              <w:jc w:val="right"/>
              <w:rPr>
                <w:b/>
                <w:bCs/>
              </w:rPr>
            </w:pPr>
            <w:r w:rsidRPr="00037A46">
              <w:rPr>
                <w:b/>
                <w:bCs/>
              </w:rPr>
              <w:t>21</w:t>
            </w:r>
          </w:p>
        </w:tc>
        <w:tc>
          <w:tcPr>
            <w:tcW w:w="1236" w:type="dxa"/>
            <w:noWrap/>
            <w:vAlign w:val="bottom"/>
          </w:tcPr>
          <w:p w14:paraId="4EE9D2D6" w14:textId="77777777" w:rsidR="003A11FB" w:rsidRPr="00037A46" w:rsidRDefault="003A11FB" w:rsidP="003A11FB">
            <w:pPr>
              <w:spacing w:before="0" w:after="0"/>
              <w:ind w:left="0"/>
              <w:jc w:val="right"/>
              <w:rPr>
                <w:bCs/>
              </w:rPr>
            </w:pPr>
            <w:r w:rsidRPr="00037A46">
              <w:rPr>
                <w:bCs/>
              </w:rPr>
              <w:t>20.100</w:t>
            </w:r>
          </w:p>
        </w:tc>
        <w:tc>
          <w:tcPr>
            <w:tcW w:w="1276" w:type="dxa"/>
            <w:noWrap/>
            <w:vAlign w:val="bottom"/>
          </w:tcPr>
          <w:p w14:paraId="7B4A3DAC" w14:textId="77777777" w:rsidR="003A11FB" w:rsidRPr="00037A46" w:rsidRDefault="003A11FB" w:rsidP="003A11FB">
            <w:pPr>
              <w:spacing w:before="0" w:after="0"/>
              <w:ind w:left="0"/>
              <w:jc w:val="right"/>
              <w:rPr>
                <w:bCs/>
              </w:rPr>
            </w:pPr>
            <w:r w:rsidRPr="00037A46">
              <w:rPr>
                <w:bCs/>
              </w:rPr>
              <w:t>20.750</w:t>
            </w:r>
          </w:p>
        </w:tc>
        <w:tc>
          <w:tcPr>
            <w:tcW w:w="1276" w:type="dxa"/>
            <w:noWrap/>
            <w:vAlign w:val="bottom"/>
          </w:tcPr>
          <w:p w14:paraId="6A2CD8D5" w14:textId="77777777" w:rsidR="003A11FB" w:rsidRPr="00037A46" w:rsidRDefault="003A11FB" w:rsidP="003A11FB">
            <w:pPr>
              <w:spacing w:before="0" w:after="0"/>
              <w:ind w:left="0"/>
              <w:jc w:val="right"/>
              <w:rPr>
                <w:bCs/>
              </w:rPr>
            </w:pPr>
            <w:r w:rsidRPr="00037A46">
              <w:rPr>
                <w:bCs/>
              </w:rPr>
              <w:t>22.750</w:t>
            </w:r>
          </w:p>
        </w:tc>
        <w:tc>
          <w:tcPr>
            <w:tcW w:w="1276" w:type="dxa"/>
            <w:noWrap/>
            <w:vAlign w:val="bottom"/>
          </w:tcPr>
          <w:p w14:paraId="55874C34" w14:textId="77777777" w:rsidR="003A11FB" w:rsidRPr="00037A46" w:rsidRDefault="003A11FB" w:rsidP="003A11FB">
            <w:pPr>
              <w:spacing w:before="0" w:after="0"/>
              <w:ind w:left="0"/>
              <w:jc w:val="right"/>
              <w:rPr>
                <w:bCs/>
              </w:rPr>
            </w:pPr>
            <w:r w:rsidRPr="00037A46">
              <w:rPr>
                <w:bCs/>
              </w:rPr>
              <w:t>24.800</w:t>
            </w:r>
          </w:p>
        </w:tc>
        <w:tc>
          <w:tcPr>
            <w:tcW w:w="1311" w:type="dxa"/>
            <w:noWrap/>
            <w:vAlign w:val="bottom"/>
          </w:tcPr>
          <w:p w14:paraId="42834527" w14:textId="77777777" w:rsidR="003A11FB" w:rsidRPr="00037A46" w:rsidRDefault="003A11FB" w:rsidP="003A11FB">
            <w:pPr>
              <w:spacing w:before="0" w:after="0"/>
              <w:ind w:left="0"/>
              <w:jc w:val="right"/>
              <w:rPr>
                <w:bCs/>
              </w:rPr>
            </w:pPr>
            <w:r w:rsidRPr="00037A46">
              <w:rPr>
                <w:bCs/>
              </w:rPr>
              <w:t>27.200</w:t>
            </w:r>
          </w:p>
        </w:tc>
      </w:tr>
      <w:tr w:rsidR="003A11FB" w:rsidRPr="00037A46" w14:paraId="44A0381A" w14:textId="77777777">
        <w:trPr>
          <w:trHeight w:val="284"/>
          <w:jc w:val="center"/>
        </w:trPr>
        <w:tc>
          <w:tcPr>
            <w:tcW w:w="1149" w:type="dxa"/>
            <w:shd w:val="clear" w:color="auto" w:fill="C0C0C0"/>
            <w:noWrap/>
            <w:vAlign w:val="bottom"/>
          </w:tcPr>
          <w:p w14:paraId="526BD63F" w14:textId="77777777" w:rsidR="003A11FB" w:rsidRPr="00037A46" w:rsidRDefault="003A11FB" w:rsidP="003A11FB">
            <w:pPr>
              <w:spacing w:before="0" w:after="0"/>
              <w:ind w:left="0"/>
              <w:jc w:val="right"/>
              <w:rPr>
                <w:b/>
                <w:bCs/>
              </w:rPr>
            </w:pPr>
            <w:r w:rsidRPr="00037A46">
              <w:rPr>
                <w:b/>
                <w:bCs/>
              </w:rPr>
              <w:t>22</w:t>
            </w:r>
          </w:p>
        </w:tc>
        <w:tc>
          <w:tcPr>
            <w:tcW w:w="1236" w:type="dxa"/>
            <w:noWrap/>
            <w:vAlign w:val="bottom"/>
          </w:tcPr>
          <w:p w14:paraId="0E071338" w14:textId="77777777" w:rsidR="003A11FB" w:rsidRPr="00037A46" w:rsidRDefault="003A11FB" w:rsidP="003A11FB">
            <w:pPr>
              <w:spacing w:before="0" w:after="0"/>
              <w:ind w:left="0"/>
              <w:jc w:val="right"/>
              <w:rPr>
                <w:bCs/>
              </w:rPr>
            </w:pPr>
            <w:r w:rsidRPr="00037A46">
              <w:rPr>
                <w:bCs/>
              </w:rPr>
              <w:t>20.100</w:t>
            </w:r>
          </w:p>
        </w:tc>
        <w:tc>
          <w:tcPr>
            <w:tcW w:w="1276" w:type="dxa"/>
            <w:noWrap/>
            <w:vAlign w:val="bottom"/>
          </w:tcPr>
          <w:p w14:paraId="40790723" w14:textId="77777777" w:rsidR="003A11FB" w:rsidRPr="00037A46" w:rsidRDefault="003A11FB" w:rsidP="003A11FB">
            <w:pPr>
              <w:spacing w:before="0" w:after="0"/>
              <w:ind w:left="0"/>
              <w:jc w:val="right"/>
              <w:rPr>
                <w:bCs/>
              </w:rPr>
            </w:pPr>
            <w:r w:rsidRPr="00037A46">
              <w:rPr>
                <w:bCs/>
              </w:rPr>
              <w:t>20.750</w:t>
            </w:r>
          </w:p>
        </w:tc>
        <w:tc>
          <w:tcPr>
            <w:tcW w:w="1276" w:type="dxa"/>
            <w:noWrap/>
            <w:vAlign w:val="bottom"/>
          </w:tcPr>
          <w:p w14:paraId="7E13A19A" w14:textId="77777777" w:rsidR="003A11FB" w:rsidRPr="00037A46" w:rsidRDefault="003A11FB" w:rsidP="003A11FB">
            <w:pPr>
              <w:spacing w:before="0" w:after="0"/>
              <w:ind w:left="0"/>
              <w:jc w:val="right"/>
              <w:rPr>
                <w:bCs/>
              </w:rPr>
            </w:pPr>
            <w:r w:rsidRPr="00037A46">
              <w:rPr>
                <w:bCs/>
              </w:rPr>
              <w:t>22.750</w:t>
            </w:r>
          </w:p>
        </w:tc>
        <w:tc>
          <w:tcPr>
            <w:tcW w:w="1276" w:type="dxa"/>
            <w:noWrap/>
            <w:vAlign w:val="bottom"/>
          </w:tcPr>
          <w:p w14:paraId="522B939F" w14:textId="77777777" w:rsidR="003A11FB" w:rsidRPr="00037A46" w:rsidRDefault="003A11FB" w:rsidP="003A11FB">
            <w:pPr>
              <w:spacing w:before="0" w:after="0"/>
              <w:ind w:left="0"/>
              <w:jc w:val="right"/>
              <w:rPr>
                <w:bCs/>
              </w:rPr>
            </w:pPr>
            <w:r w:rsidRPr="00037A46">
              <w:rPr>
                <w:bCs/>
              </w:rPr>
              <w:t>24.800</w:t>
            </w:r>
          </w:p>
        </w:tc>
        <w:tc>
          <w:tcPr>
            <w:tcW w:w="1311" w:type="dxa"/>
            <w:noWrap/>
            <w:vAlign w:val="bottom"/>
          </w:tcPr>
          <w:p w14:paraId="6CCB0C35" w14:textId="77777777" w:rsidR="003A11FB" w:rsidRPr="00037A46" w:rsidRDefault="003A11FB" w:rsidP="003A11FB">
            <w:pPr>
              <w:spacing w:before="0" w:after="0"/>
              <w:ind w:left="0"/>
              <w:jc w:val="right"/>
              <w:rPr>
                <w:bCs/>
              </w:rPr>
            </w:pPr>
            <w:r w:rsidRPr="00037A46">
              <w:rPr>
                <w:bCs/>
              </w:rPr>
              <w:t>27.200</w:t>
            </w:r>
          </w:p>
        </w:tc>
      </w:tr>
      <w:tr w:rsidR="003A11FB" w:rsidRPr="00037A46" w14:paraId="5033A061" w14:textId="77777777">
        <w:trPr>
          <w:trHeight w:val="284"/>
          <w:jc w:val="center"/>
        </w:trPr>
        <w:tc>
          <w:tcPr>
            <w:tcW w:w="1149" w:type="dxa"/>
            <w:shd w:val="clear" w:color="auto" w:fill="C0C0C0"/>
            <w:noWrap/>
            <w:vAlign w:val="bottom"/>
          </w:tcPr>
          <w:p w14:paraId="5195182F" w14:textId="77777777" w:rsidR="003A11FB" w:rsidRPr="00037A46" w:rsidRDefault="003A11FB" w:rsidP="003A11FB">
            <w:pPr>
              <w:spacing w:before="0" w:after="0"/>
              <w:ind w:left="0"/>
              <w:jc w:val="right"/>
              <w:rPr>
                <w:b/>
                <w:bCs/>
              </w:rPr>
            </w:pPr>
            <w:r w:rsidRPr="00037A46">
              <w:rPr>
                <w:b/>
                <w:bCs/>
              </w:rPr>
              <w:t>23</w:t>
            </w:r>
          </w:p>
        </w:tc>
        <w:tc>
          <w:tcPr>
            <w:tcW w:w="1236" w:type="dxa"/>
            <w:noWrap/>
            <w:vAlign w:val="bottom"/>
          </w:tcPr>
          <w:p w14:paraId="5FCD9BA3" w14:textId="77777777" w:rsidR="003A11FB" w:rsidRPr="00037A46" w:rsidRDefault="003A11FB" w:rsidP="003A11FB">
            <w:pPr>
              <w:spacing w:before="0" w:after="0"/>
              <w:ind w:left="0"/>
              <w:jc w:val="right"/>
              <w:rPr>
                <w:bCs/>
              </w:rPr>
            </w:pPr>
            <w:r w:rsidRPr="00037A46">
              <w:rPr>
                <w:bCs/>
              </w:rPr>
              <w:t>20.650</w:t>
            </w:r>
          </w:p>
        </w:tc>
        <w:tc>
          <w:tcPr>
            <w:tcW w:w="1276" w:type="dxa"/>
            <w:noWrap/>
            <w:vAlign w:val="bottom"/>
          </w:tcPr>
          <w:p w14:paraId="6DD8B0E0" w14:textId="77777777" w:rsidR="003A11FB" w:rsidRPr="00037A46" w:rsidRDefault="003A11FB" w:rsidP="003A11FB">
            <w:pPr>
              <w:spacing w:before="0" w:after="0"/>
              <w:ind w:left="0"/>
              <w:jc w:val="right"/>
              <w:rPr>
                <w:bCs/>
              </w:rPr>
            </w:pPr>
            <w:r w:rsidRPr="00037A46">
              <w:rPr>
                <w:bCs/>
              </w:rPr>
              <w:t>21.350</w:t>
            </w:r>
          </w:p>
        </w:tc>
        <w:tc>
          <w:tcPr>
            <w:tcW w:w="1276" w:type="dxa"/>
            <w:noWrap/>
            <w:vAlign w:val="bottom"/>
          </w:tcPr>
          <w:p w14:paraId="2D067A76" w14:textId="77777777" w:rsidR="003A11FB" w:rsidRPr="00037A46" w:rsidRDefault="003A11FB" w:rsidP="003A11FB">
            <w:pPr>
              <w:spacing w:before="0" w:after="0"/>
              <w:ind w:left="0"/>
              <w:jc w:val="right"/>
              <w:rPr>
                <w:bCs/>
              </w:rPr>
            </w:pPr>
            <w:r w:rsidRPr="00037A46">
              <w:rPr>
                <w:bCs/>
              </w:rPr>
              <w:t>23.350</w:t>
            </w:r>
          </w:p>
        </w:tc>
        <w:tc>
          <w:tcPr>
            <w:tcW w:w="1276" w:type="dxa"/>
            <w:noWrap/>
            <w:vAlign w:val="bottom"/>
          </w:tcPr>
          <w:p w14:paraId="6C94C8B9" w14:textId="77777777" w:rsidR="003A11FB" w:rsidRPr="00037A46" w:rsidRDefault="003A11FB" w:rsidP="003A11FB">
            <w:pPr>
              <w:spacing w:before="0" w:after="0"/>
              <w:ind w:left="0"/>
              <w:jc w:val="right"/>
              <w:rPr>
                <w:bCs/>
              </w:rPr>
            </w:pPr>
            <w:r w:rsidRPr="00037A46">
              <w:rPr>
                <w:bCs/>
              </w:rPr>
              <w:t>25.400</w:t>
            </w:r>
          </w:p>
        </w:tc>
        <w:tc>
          <w:tcPr>
            <w:tcW w:w="1311" w:type="dxa"/>
            <w:noWrap/>
            <w:vAlign w:val="bottom"/>
          </w:tcPr>
          <w:p w14:paraId="22E54277" w14:textId="77777777" w:rsidR="003A11FB" w:rsidRPr="00037A46" w:rsidRDefault="003A11FB" w:rsidP="003A11FB">
            <w:pPr>
              <w:spacing w:before="0" w:after="0"/>
              <w:ind w:left="0"/>
              <w:jc w:val="right"/>
              <w:rPr>
                <w:bCs/>
              </w:rPr>
            </w:pPr>
            <w:r w:rsidRPr="00037A46">
              <w:rPr>
                <w:bCs/>
              </w:rPr>
              <w:t>27.800</w:t>
            </w:r>
          </w:p>
        </w:tc>
      </w:tr>
      <w:tr w:rsidR="003A11FB" w:rsidRPr="00037A46" w14:paraId="3585A8B2" w14:textId="77777777">
        <w:trPr>
          <w:trHeight w:val="284"/>
          <w:jc w:val="center"/>
        </w:trPr>
        <w:tc>
          <w:tcPr>
            <w:tcW w:w="1149" w:type="dxa"/>
            <w:shd w:val="clear" w:color="auto" w:fill="C0C0C0"/>
            <w:noWrap/>
            <w:vAlign w:val="bottom"/>
          </w:tcPr>
          <w:p w14:paraId="679C7836" w14:textId="77777777" w:rsidR="003A11FB" w:rsidRPr="00037A46" w:rsidRDefault="003A11FB" w:rsidP="003A11FB">
            <w:pPr>
              <w:spacing w:before="0" w:after="0"/>
              <w:ind w:left="0"/>
              <w:jc w:val="right"/>
              <w:rPr>
                <w:b/>
                <w:bCs/>
              </w:rPr>
            </w:pPr>
            <w:r w:rsidRPr="00037A46">
              <w:rPr>
                <w:b/>
                <w:bCs/>
              </w:rPr>
              <w:t>24</w:t>
            </w:r>
          </w:p>
        </w:tc>
        <w:tc>
          <w:tcPr>
            <w:tcW w:w="1236" w:type="dxa"/>
            <w:noWrap/>
            <w:vAlign w:val="bottom"/>
          </w:tcPr>
          <w:p w14:paraId="78BC9AB0" w14:textId="77777777" w:rsidR="003A11FB" w:rsidRPr="00037A46" w:rsidRDefault="003A11FB" w:rsidP="003A11FB">
            <w:pPr>
              <w:spacing w:before="0" w:after="0"/>
              <w:ind w:left="0"/>
              <w:jc w:val="right"/>
              <w:rPr>
                <w:bCs/>
              </w:rPr>
            </w:pPr>
            <w:r w:rsidRPr="00037A46">
              <w:rPr>
                <w:bCs/>
              </w:rPr>
              <w:t>20.650</w:t>
            </w:r>
          </w:p>
        </w:tc>
        <w:tc>
          <w:tcPr>
            <w:tcW w:w="1276" w:type="dxa"/>
            <w:noWrap/>
            <w:vAlign w:val="bottom"/>
          </w:tcPr>
          <w:p w14:paraId="7687416E" w14:textId="77777777" w:rsidR="003A11FB" w:rsidRPr="00037A46" w:rsidRDefault="003A11FB" w:rsidP="003A11FB">
            <w:pPr>
              <w:spacing w:before="0" w:after="0"/>
              <w:ind w:left="0"/>
              <w:jc w:val="right"/>
              <w:rPr>
                <w:bCs/>
              </w:rPr>
            </w:pPr>
            <w:r w:rsidRPr="00037A46">
              <w:rPr>
                <w:bCs/>
              </w:rPr>
              <w:t>21.350</w:t>
            </w:r>
          </w:p>
        </w:tc>
        <w:tc>
          <w:tcPr>
            <w:tcW w:w="1276" w:type="dxa"/>
            <w:noWrap/>
            <w:vAlign w:val="bottom"/>
          </w:tcPr>
          <w:p w14:paraId="3DE5FD97" w14:textId="77777777" w:rsidR="003A11FB" w:rsidRPr="00037A46" w:rsidRDefault="003A11FB" w:rsidP="003A11FB">
            <w:pPr>
              <w:spacing w:before="0" w:after="0"/>
              <w:ind w:left="0"/>
              <w:jc w:val="right"/>
              <w:rPr>
                <w:bCs/>
              </w:rPr>
            </w:pPr>
            <w:r w:rsidRPr="00037A46">
              <w:rPr>
                <w:bCs/>
              </w:rPr>
              <w:t>23.350</w:t>
            </w:r>
          </w:p>
        </w:tc>
        <w:tc>
          <w:tcPr>
            <w:tcW w:w="1276" w:type="dxa"/>
            <w:noWrap/>
            <w:vAlign w:val="bottom"/>
          </w:tcPr>
          <w:p w14:paraId="3B3E6199" w14:textId="77777777" w:rsidR="003A11FB" w:rsidRPr="00037A46" w:rsidRDefault="003A11FB" w:rsidP="003A11FB">
            <w:pPr>
              <w:spacing w:before="0" w:after="0"/>
              <w:ind w:left="0"/>
              <w:jc w:val="right"/>
              <w:rPr>
                <w:bCs/>
              </w:rPr>
            </w:pPr>
            <w:r w:rsidRPr="00037A46">
              <w:rPr>
                <w:bCs/>
              </w:rPr>
              <w:t>25.400</w:t>
            </w:r>
          </w:p>
        </w:tc>
        <w:tc>
          <w:tcPr>
            <w:tcW w:w="1311" w:type="dxa"/>
            <w:noWrap/>
            <w:vAlign w:val="bottom"/>
          </w:tcPr>
          <w:p w14:paraId="6332F8F5" w14:textId="77777777" w:rsidR="003A11FB" w:rsidRPr="00037A46" w:rsidRDefault="003A11FB" w:rsidP="003A11FB">
            <w:pPr>
              <w:spacing w:before="0" w:after="0"/>
              <w:ind w:left="0"/>
              <w:jc w:val="right"/>
              <w:rPr>
                <w:bCs/>
              </w:rPr>
            </w:pPr>
            <w:r w:rsidRPr="00037A46">
              <w:rPr>
                <w:bCs/>
              </w:rPr>
              <w:t>27.800</w:t>
            </w:r>
          </w:p>
        </w:tc>
      </w:tr>
      <w:tr w:rsidR="003A11FB" w:rsidRPr="00037A46" w14:paraId="6AE25547" w14:textId="77777777">
        <w:trPr>
          <w:trHeight w:val="284"/>
          <w:jc w:val="center"/>
        </w:trPr>
        <w:tc>
          <w:tcPr>
            <w:tcW w:w="1149" w:type="dxa"/>
            <w:shd w:val="clear" w:color="auto" w:fill="C0C0C0"/>
            <w:noWrap/>
            <w:vAlign w:val="bottom"/>
          </w:tcPr>
          <w:p w14:paraId="63A57866" w14:textId="77777777" w:rsidR="003A11FB" w:rsidRPr="00037A46" w:rsidRDefault="003A11FB" w:rsidP="003A11FB">
            <w:pPr>
              <w:spacing w:before="0" w:after="0"/>
              <w:ind w:left="0"/>
              <w:jc w:val="right"/>
              <w:rPr>
                <w:b/>
                <w:bCs/>
              </w:rPr>
            </w:pPr>
            <w:r w:rsidRPr="00037A46">
              <w:rPr>
                <w:b/>
                <w:bCs/>
              </w:rPr>
              <w:t>25</w:t>
            </w:r>
          </w:p>
        </w:tc>
        <w:tc>
          <w:tcPr>
            <w:tcW w:w="1236" w:type="dxa"/>
            <w:noWrap/>
            <w:vAlign w:val="bottom"/>
          </w:tcPr>
          <w:p w14:paraId="5E08C2AF" w14:textId="77777777" w:rsidR="003A11FB" w:rsidRPr="00037A46" w:rsidRDefault="003A11FB" w:rsidP="003A11FB">
            <w:pPr>
              <w:spacing w:before="0" w:after="0"/>
              <w:ind w:left="0"/>
              <w:jc w:val="right"/>
              <w:rPr>
                <w:bCs/>
              </w:rPr>
            </w:pPr>
            <w:r w:rsidRPr="00037A46">
              <w:rPr>
                <w:bCs/>
              </w:rPr>
              <w:t>21.250</w:t>
            </w:r>
          </w:p>
        </w:tc>
        <w:tc>
          <w:tcPr>
            <w:tcW w:w="1276" w:type="dxa"/>
            <w:noWrap/>
            <w:vAlign w:val="bottom"/>
          </w:tcPr>
          <w:p w14:paraId="1121A76B" w14:textId="77777777" w:rsidR="003A11FB" w:rsidRPr="00037A46" w:rsidRDefault="003A11FB" w:rsidP="003A11FB">
            <w:pPr>
              <w:spacing w:before="0" w:after="0"/>
              <w:ind w:left="0"/>
              <w:jc w:val="right"/>
              <w:rPr>
                <w:bCs/>
              </w:rPr>
            </w:pPr>
            <w:r w:rsidRPr="00037A46">
              <w:rPr>
                <w:bCs/>
              </w:rPr>
              <w:t>21.950</w:t>
            </w:r>
          </w:p>
        </w:tc>
        <w:tc>
          <w:tcPr>
            <w:tcW w:w="1276" w:type="dxa"/>
            <w:noWrap/>
            <w:vAlign w:val="bottom"/>
          </w:tcPr>
          <w:p w14:paraId="5320604D" w14:textId="77777777" w:rsidR="003A11FB" w:rsidRPr="00037A46" w:rsidRDefault="003A11FB" w:rsidP="003A11FB">
            <w:pPr>
              <w:spacing w:before="0" w:after="0"/>
              <w:ind w:left="0"/>
              <w:jc w:val="right"/>
              <w:rPr>
                <w:bCs/>
              </w:rPr>
            </w:pPr>
            <w:r w:rsidRPr="00037A46">
              <w:rPr>
                <w:bCs/>
              </w:rPr>
              <w:t>23.950</w:t>
            </w:r>
          </w:p>
        </w:tc>
        <w:tc>
          <w:tcPr>
            <w:tcW w:w="1276" w:type="dxa"/>
            <w:noWrap/>
            <w:vAlign w:val="bottom"/>
          </w:tcPr>
          <w:p w14:paraId="1C1B5F2A" w14:textId="77777777" w:rsidR="003A11FB" w:rsidRPr="00037A46" w:rsidRDefault="003A11FB" w:rsidP="003A11FB">
            <w:pPr>
              <w:spacing w:before="0" w:after="0"/>
              <w:ind w:left="0"/>
              <w:jc w:val="right"/>
              <w:rPr>
                <w:bCs/>
              </w:rPr>
            </w:pPr>
            <w:r w:rsidRPr="00037A46">
              <w:rPr>
                <w:bCs/>
              </w:rPr>
              <w:t>25.950</w:t>
            </w:r>
          </w:p>
        </w:tc>
        <w:tc>
          <w:tcPr>
            <w:tcW w:w="1311" w:type="dxa"/>
            <w:noWrap/>
            <w:vAlign w:val="bottom"/>
          </w:tcPr>
          <w:p w14:paraId="611E8507" w14:textId="77777777" w:rsidR="003A11FB" w:rsidRPr="00037A46" w:rsidRDefault="003A11FB" w:rsidP="003A11FB">
            <w:pPr>
              <w:spacing w:before="0" w:after="0"/>
              <w:ind w:left="0"/>
              <w:jc w:val="right"/>
              <w:rPr>
                <w:bCs/>
              </w:rPr>
            </w:pPr>
            <w:r w:rsidRPr="00037A46">
              <w:rPr>
                <w:bCs/>
              </w:rPr>
              <w:t>28.450</w:t>
            </w:r>
          </w:p>
        </w:tc>
      </w:tr>
      <w:tr w:rsidR="003A11FB" w:rsidRPr="00037A46" w14:paraId="16707D6A" w14:textId="77777777">
        <w:trPr>
          <w:trHeight w:val="284"/>
          <w:jc w:val="center"/>
        </w:trPr>
        <w:tc>
          <w:tcPr>
            <w:tcW w:w="1149" w:type="dxa"/>
            <w:shd w:val="clear" w:color="auto" w:fill="C0C0C0"/>
            <w:noWrap/>
            <w:vAlign w:val="bottom"/>
          </w:tcPr>
          <w:p w14:paraId="07EE68AD" w14:textId="77777777" w:rsidR="003A11FB" w:rsidRPr="00037A46" w:rsidRDefault="003A11FB" w:rsidP="003A11FB">
            <w:pPr>
              <w:spacing w:before="0" w:after="0"/>
              <w:ind w:left="0"/>
              <w:jc w:val="right"/>
              <w:rPr>
                <w:b/>
                <w:bCs/>
              </w:rPr>
            </w:pPr>
            <w:r w:rsidRPr="00037A46">
              <w:rPr>
                <w:b/>
                <w:bCs/>
              </w:rPr>
              <w:t>26</w:t>
            </w:r>
          </w:p>
        </w:tc>
        <w:tc>
          <w:tcPr>
            <w:tcW w:w="1236" w:type="dxa"/>
            <w:noWrap/>
            <w:vAlign w:val="bottom"/>
          </w:tcPr>
          <w:p w14:paraId="60326D44" w14:textId="77777777" w:rsidR="003A11FB" w:rsidRPr="00037A46" w:rsidRDefault="003A11FB" w:rsidP="003A11FB">
            <w:pPr>
              <w:spacing w:before="0" w:after="0"/>
              <w:ind w:left="0"/>
              <w:jc w:val="right"/>
              <w:rPr>
                <w:bCs/>
              </w:rPr>
            </w:pPr>
            <w:r w:rsidRPr="00037A46">
              <w:rPr>
                <w:bCs/>
              </w:rPr>
              <w:t>21.250</w:t>
            </w:r>
          </w:p>
        </w:tc>
        <w:tc>
          <w:tcPr>
            <w:tcW w:w="1276" w:type="dxa"/>
            <w:noWrap/>
            <w:vAlign w:val="bottom"/>
          </w:tcPr>
          <w:p w14:paraId="0996C14B" w14:textId="77777777" w:rsidR="003A11FB" w:rsidRPr="00037A46" w:rsidRDefault="003A11FB" w:rsidP="003A11FB">
            <w:pPr>
              <w:spacing w:before="0" w:after="0"/>
              <w:ind w:left="0"/>
              <w:jc w:val="right"/>
              <w:rPr>
                <w:bCs/>
              </w:rPr>
            </w:pPr>
            <w:r w:rsidRPr="00037A46">
              <w:rPr>
                <w:bCs/>
              </w:rPr>
              <w:t>21.950</w:t>
            </w:r>
          </w:p>
        </w:tc>
        <w:tc>
          <w:tcPr>
            <w:tcW w:w="1276" w:type="dxa"/>
            <w:noWrap/>
            <w:vAlign w:val="bottom"/>
          </w:tcPr>
          <w:p w14:paraId="778209D3" w14:textId="77777777" w:rsidR="003A11FB" w:rsidRPr="00037A46" w:rsidRDefault="003A11FB" w:rsidP="003A11FB">
            <w:pPr>
              <w:spacing w:before="0" w:after="0"/>
              <w:ind w:left="0"/>
              <w:jc w:val="right"/>
              <w:rPr>
                <w:bCs/>
              </w:rPr>
            </w:pPr>
            <w:r w:rsidRPr="00037A46">
              <w:rPr>
                <w:bCs/>
              </w:rPr>
              <w:t>23.950</w:t>
            </w:r>
          </w:p>
        </w:tc>
        <w:tc>
          <w:tcPr>
            <w:tcW w:w="1276" w:type="dxa"/>
            <w:noWrap/>
            <w:vAlign w:val="bottom"/>
          </w:tcPr>
          <w:p w14:paraId="52BFCA9A" w14:textId="77777777" w:rsidR="003A11FB" w:rsidRPr="00037A46" w:rsidRDefault="003A11FB" w:rsidP="003A11FB">
            <w:pPr>
              <w:spacing w:before="0" w:after="0"/>
              <w:ind w:left="0"/>
              <w:jc w:val="right"/>
              <w:rPr>
                <w:bCs/>
              </w:rPr>
            </w:pPr>
            <w:r w:rsidRPr="00037A46">
              <w:rPr>
                <w:bCs/>
              </w:rPr>
              <w:t>25.950</w:t>
            </w:r>
          </w:p>
        </w:tc>
        <w:tc>
          <w:tcPr>
            <w:tcW w:w="1311" w:type="dxa"/>
            <w:noWrap/>
            <w:vAlign w:val="bottom"/>
          </w:tcPr>
          <w:p w14:paraId="22CC65F7" w14:textId="77777777" w:rsidR="003A11FB" w:rsidRPr="00037A46" w:rsidRDefault="003A11FB" w:rsidP="003A11FB">
            <w:pPr>
              <w:spacing w:before="0" w:after="0"/>
              <w:ind w:left="0"/>
              <w:jc w:val="right"/>
              <w:rPr>
                <w:bCs/>
              </w:rPr>
            </w:pPr>
            <w:r w:rsidRPr="00037A46">
              <w:rPr>
                <w:bCs/>
              </w:rPr>
              <w:t>28.450</w:t>
            </w:r>
          </w:p>
        </w:tc>
      </w:tr>
      <w:tr w:rsidR="003A11FB" w:rsidRPr="00037A46" w14:paraId="73253DFE" w14:textId="77777777">
        <w:trPr>
          <w:trHeight w:val="284"/>
          <w:jc w:val="center"/>
        </w:trPr>
        <w:tc>
          <w:tcPr>
            <w:tcW w:w="1149" w:type="dxa"/>
            <w:shd w:val="clear" w:color="auto" w:fill="C0C0C0"/>
            <w:noWrap/>
            <w:vAlign w:val="bottom"/>
          </w:tcPr>
          <w:p w14:paraId="74880653" w14:textId="77777777" w:rsidR="003A11FB" w:rsidRPr="00037A46" w:rsidRDefault="003A11FB" w:rsidP="003A11FB">
            <w:pPr>
              <w:spacing w:before="0" w:after="0"/>
              <w:ind w:left="0"/>
              <w:jc w:val="right"/>
              <w:rPr>
                <w:b/>
                <w:bCs/>
              </w:rPr>
            </w:pPr>
            <w:r w:rsidRPr="00037A46">
              <w:rPr>
                <w:b/>
                <w:bCs/>
              </w:rPr>
              <w:t>27</w:t>
            </w:r>
          </w:p>
        </w:tc>
        <w:tc>
          <w:tcPr>
            <w:tcW w:w="1236" w:type="dxa"/>
            <w:noWrap/>
            <w:vAlign w:val="bottom"/>
          </w:tcPr>
          <w:p w14:paraId="21678E8C" w14:textId="77777777" w:rsidR="003A11FB" w:rsidRPr="00037A46" w:rsidRDefault="003A11FB" w:rsidP="003A11FB">
            <w:pPr>
              <w:spacing w:before="0" w:after="0"/>
              <w:ind w:left="0"/>
              <w:jc w:val="right"/>
              <w:rPr>
                <w:bCs/>
              </w:rPr>
            </w:pPr>
            <w:r w:rsidRPr="00037A46">
              <w:rPr>
                <w:bCs/>
              </w:rPr>
              <w:t>21.950</w:t>
            </w:r>
          </w:p>
        </w:tc>
        <w:tc>
          <w:tcPr>
            <w:tcW w:w="1276" w:type="dxa"/>
            <w:noWrap/>
            <w:vAlign w:val="bottom"/>
          </w:tcPr>
          <w:p w14:paraId="1CD45605" w14:textId="77777777" w:rsidR="003A11FB" w:rsidRPr="00037A46" w:rsidRDefault="003A11FB" w:rsidP="003A11FB">
            <w:pPr>
              <w:spacing w:before="0" w:after="0"/>
              <w:ind w:left="0"/>
              <w:jc w:val="right"/>
              <w:rPr>
                <w:bCs/>
              </w:rPr>
            </w:pPr>
            <w:r w:rsidRPr="00037A46">
              <w:rPr>
                <w:bCs/>
              </w:rPr>
              <w:t>22.800</w:t>
            </w:r>
          </w:p>
        </w:tc>
        <w:tc>
          <w:tcPr>
            <w:tcW w:w="1276" w:type="dxa"/>
            <w:noWrap/>
            <w:vAlign w:val="bottom"/>
          </w:tcPr>
          <w:p w14:paraId="18F4CA65" w14:textId="77777777" w:rsidR="003A11FB" w:rsidRPr="00037A46" w:rsidRDefault="003A11FB" w:rsidP="003A11FB">
            <w:pPr>
              <w:spacing w:before="0" w:after="0"/>
              <w:ind w:left="0"/>
              <w:jc w:val="right"/>
              <w:rPr>
                <w:bCs/>
              </w:rPr>
            </w:pPr>
            <w:r w:rsidRPr="00037A46">
              <w:rPr>
                <w:bCs/>
              </w:rPr>
              <w:t>24.800</w:t>
            </w:r>
          </w:p>
        </w:tc>
        <w:tc>
          <w:tcPr>
            <w:tcW w:w="1276" w:type="dxa"/>
            <w:noWrap/>
            <w:vAlign w:val="bottom"/>
          </w:tcPr>
          <w:p w14:paraId="02055099" w14:textId="77777777" w:rsidR="003A11FB" w:rsidRPr="00037A46" w:rsidRDefault="003A11FB" w:rsidP="003A11FB">
            <w:pPr>
              <w:spacing w:before="0" w:after="0"/>
              <w:ind w:left="0"/>
              <w:jc w:val="right"/>
              <w:rPr>
                <w:bCs/>
              </w:rPr>
            </w:pPr>
            <w:r w:rsidRPr="00037A46">
              <w:rPr>
                <w:bCs/>
              </w:rPr>
              <w:t>26.550</w:t>
            </w:r>
          </w:p>
        </w:tc>
        <w:tc>
          <w:tcPr>
            <w:tcW w:w="1311" w:type="dxa"/>
            <w:noWrap/>
            <w:vAlign w:val="bottom"/>
          </w:tcPr>
          <w:p w14:paraId="20F1B123" w14:textId="77777777" w:rsidR="003A11FB" w:rsidRPr="00037A46" w:rsidRDefault="003A11FB" w:rsidP="003A11FB">
            <w:pPr>
              <w:spacing w:before="0" w:after="0"/>
              <w:ind w:left="0"/>
              <w:jc w:val="right"/>
              <w:rPr>
                <w:bCs/>
              </w:rPr>
            </w:pPr>
            <w:r w:rsidRPr="00037A46">
              <w:rPr>
                <w:bCs/>
              </w:rPr>
              <w:t>29.300</w:t>
            </w:r>
          </w:p>
        </w:tc>
      </w:tr>
    </w:tbl>
    <w:p w14:paraId="76C8258B" w14:textId="77777777" w:rsidR="003A11FB" w:rsidRPr="00037A46" w:rsidRDefault="003A11FB" w:rsidP="003A11FB">
      <w:pPr>
        <w:spacing w:before="0" w:after="0"/>
        <w:rPr>
          <w:b/>
          <w:bCs/>
        </w:rPr>
      </w:pPr>
    </w:p>
    <w:tbl>
      <w:tblPr>
        <w:tblW w:w="8693" w:type="dxa"/>
        <w:jc w:val="center"/>
        <w:tblBorders>
          <w:top w:val="single" w:sz="8" w:space="0" w:color="auto"/>
          <w:left w:val="single" w:sz="8" w:space="0" w:color="auto"/>
          <w:bottom w:val="single" w:sz="8" w:space="0" w:color="auto"/>
          <w:right w:val="single" w:sz="8" w:space="0" w:color="auto"/>
        </w:tblBorders>
        <w:tblCellMar>
          <w:left w:w="70" w:type="dxa"/>
          <w:right w:w="70" w:type="dxa"/>
        </w:tblCellMar>
        <w:tblLook w:val="0000" w:firstRow="0" w:lastRow="0" w:firstColumn="0" w:lastColumn="0" w:noHBand="0" w:noVBand="0"/>
      </w:tblPr>
      <w:tblGrid>
        <w:gridCol w:w="1273"/>
        <w:gridCol w:w="1260"/>
        <w:gridCol w:w="1670"/>
        <w:gridCol w:w="1670"/>
        <w:gridCol w:w="1725"/>
        <w:gridCol w:w="1409"/>
      </w:tblGrid>
      <w:tr w:rsidR="003A11FB" w:rsidRPr="00037A46" w14:paraId="11E3C3FE" w14:textId="77777777">
        <w:trPr>
          <w:trHeight w:val="624"/>
          <w:jc w:val="center"/>
        </w:trPr>
        <w:tc>
          <w:tcPr>
            <w:tcW w:w="1291" w:type="dxa"/>
            <w:tcBorders>
              <w:top w:val="single" w:sz="8" w:space="0" w:color="auto"/>
              <w:bottom w:val="single" w:sz="8" w:space="0" w:color="auto"/>
              <w:right w:val="single" w:sz="8" w:space="0" w:color="auto"/>
            </w:tcBorders>
            <w:shd w:val="clear" w:color="auto" w:fill="E3E3E3"/>
            <w:vAlign w:val="center"/>
          </w:tcPr>
          <w:p w14:paraId="77553177" w14:textId="7C173B63" w:rsidR="003A11FB" w:rsidRPr="00037A46" w:rsidRDefault="003A11FB" w:rsidP="00124C52">
            <w:pPr>
              <w:spacing w:before="0" w:after="0"/>
              <w:ind w:left="0"/>
              <w:jc w:val="center"/>
              <w:rPr>
                <w:b/>
                <w:bCs/>
              </w:rPr>
            </w:pPr>
            <w:r w:rsidRPr="00037A46">
              <w:rPr>
                <w:b/>
                <w:bCs/>
              </w:rPr>
              <w:br w:type="page"/>
            </w:r>
            <w:proofErr w:type="spellStart"/>
            <w:r w:rsidR="00124C52">
              <w:rPr>
                <w:b/>
                <w:bCs/>
              </w:rPr>
              <w:t>S</w:t>
            </w:r>
            <w:r w:rsidRPr="00037A46">
              <w:rPr>
                <w:b/>
                <w:bCs/>
              </w:rPr>
              <w:t>alaris-schalen</w:t>
            </w:r>
            <w:proofErr w:type="spellEnd"/>
          </w:p>
        </w:tc>
        <w:tc>
          <w:tcPr>
            <w:tcW w:w="1276" w:type="dxa"/>
            <w:tcBorders>
              <w:top w:val="single" w:sz="8" w:space="0" w:color="auto"/>
              <w:left w:val="single" w:sz="8" w:space="0" w:color="auto"/>
              <w:bottom w:val="single" w:sz="8" w:space="0" w:color="auto"/>
              <w:right w:val="single" w:sz="8" w:space="0" w:color="auto"/>
            </w:tcBorders>
            <w:shd w:val="clear" w:color="auto" w:fill="C0C0C0"/>
            <w:vAlign w:val="center"/>
          </w:tcPr>
          <w:p w14:paraId="1A5798B2" w14:textId="77777777" w:rsidR="003A11FB" w:rsidRPr="00037A46" w:rsidRDefault="003A11FB" w:rsidP="003A11FB">
            <w:pPr>
              <w:spacing w:before="0" w:after="0"/>
              <w:jc w:val="right"/>
              <w:rPr>
                <w:b/>
                <w:bCs/>
              </w:rPr>
            </w:pPr>
            <w:r w:rsidRPr="00037A46">
              <w:rPr>
                <w:b/>
                <w:bCs/>
              </w:rPr>
              <w:t>D1</w:t>
            </w:r>
          </w:p>
        </w:tc>
        <w:tc>
          <w:tcPr>
            <w:tcW w:w="1692" w:type="dxa"/>
            <w:tcBorders>
              <w:top w:val="single" w:sz="8" w:space="0" w:color="auto"/>
              <w:left w:val="single" w:sz="8" w:space="0" w:color="auto"/>
              <w:bottom w:val="single" w:sz="8" w:space="0" w:color="auto"/>
              <w:right w:val="single" w:sz="8" w:space="0" w:color="auto"/>
            </w:tcBorders>
            <w:shd w:val="clear" w:color="auto" w:fill="C0C0C0"/>
            <w:vAlign w:val="center"/>
          </w:tcPr>
          <w:p w14:paraId="2D899EE3" w14:textId="77777777" w:rsidR="003A11FB" w:rsidRPr="00037A46" w:rsidRDefault="003A11FB" w:rsidP="003A11FB">
            <w:pPr>
              <w:spacing w:before="0" w:after="0"/>
              <w:jc w:val="right"/>
              <w:rPr>
                <w:b/>
                <w:bCs/>
              </w:rPr>
            </w:pPr>
            <w:r w:rsidRPr="00037A46">
              <w:rPr>
                <w:b/>
                <w:bCs/>
              </w:rPr>
              <w:t>D2</w:t>
            </w:r>
          </w:p>
        </w:tc>
        <w:tc>
          <w:tcPr>
            <w:tcW w:w="1692" w:type="dxa"/>
            <w:tcBorders>
              <w:top w:val="single" w:sz="8" w:space="0" w:color="auto"/>
              <w:left w:val="single" w:sz="8" w:space="0" w:color="auto"/>
              <w:bottom w:val="single" w:sz="8" w:space="0" w:color="auto"/>
              <w:right w:val="single" w:sz="8" w:space="0" w:color="auto"/>
            </w:tcBorders>
            <w:shd w:val="clear" w:color="auto" w:fill="C0C0C0"/>
            <w:vAlign w:val="center"/>
          </w:tcPr>
          <w:p w14:paraId="13A1231D" w14:textId="77777777" w:rsidR="003A11FB" w:rsidRPr="00037A46" w:rsidRDefault="003A11FB" w:rsidP="003A11FB">
            <w:pPr>
              <w:spacing w:before="0" w:after="0"/>
              <w:jc w:val="right"/>
              <w:rPr>
                <w:b/>
                <w:bCs/>
              </w:rPr>
            </w:pPr>
            <w:r w:rsidRPr="00037A46">
              <w:rPr>
                <w:b/>
                <w:bCs/>
              </w:rPr>
              <w:t>D3</w:t>
            </w:r>
          </w:p>
        </w:tc>
        <w:tc>
          <w:tcPr>
            <w:tcW w:w="1692" w:type="dxa"/>
            <w:tcBorders>
              <w:top w:val="single" w:sz="8" w:space="0" w:color="auto"/>
              <w:left w:val="single" w:sz="8" w:space="0" w:color="auto"/>
              <w:bottom w:val="single" w:sz="8" w:space="0" w:color="auto"/>
              <w:right w:val="single" w:sz="8" w:space="0" w:color="auto"/>
            </w:tcBorders>
            <w:shd w:val="clear" w:color="auto" w:fill="C0C0C0"/>
            <w:vAlign w:val="center"/>
          </w:tcPr>
          <w:p w14:paraId="27CCCF4D" w14:textId="77777777" w:rsidR="003A11FB" w:rsidRPr="00037A46" w:rsidRDefault="003A11FB" w:rsidP="003A11FB">
            <w:pPr>
              <w:spacing w:before="0" w:after="0"/>
              <w:jc w:val="right"/>
              <w:rPr>
                <w:b/>
                <w:bCs/>
              </w:rPr>
            </w:pPr>
            <w:r w:rsidRPr="00037A46">
              <w:rPr>
                <w:b/>
                <w:bCs/>
              </w:rPr>
              <w:t>D4</w:t>
            </w:r>
          </w:p>
        </w:tc>
        <w:tc>
          <w:tcPr>
            <w:tcW w:w="1050" w:type="dxa"/>
            <w:tcBorders>
              <w:top w:val="single" w:sz="8" w:space="0" w:color="auto"/>
              <w:left w:val="single" w:sz="8" w:space="0" w:color="auto"/>
              <w:bottom w:val="single" w:sz="8" w:space="0" w:color="auto"/>
            </w:tcBorders>
            <w:shd w:val="clear" w:color="auto" w:fill="C0C0C0"/>
          </w:tcPr>
          <w:p w14:paraId="7739868D" w14:textId="77777777" w:rsidR="003A11FB" w:rsidRPr="00037A46" w:rsidRDefault="003A11FB" w:rsidP="003A11FB">
            <w:pPr>
              <w:spacing w:before="0" w:after="0"/>
              <w:jc w:val="right"/>
              <w:rPr>
                <w:b/>
                <w:bCs/>
              </w:rPr>
            </w:pPr>
          </w:p>
          <w:p w14:paraId="74EBB74C" w14:textId="77777777" w:rsidR="003A11FB" w:rsidRPr="00037A46" w:rsidRDefault="003A11FB" w:rsidP="003A11FB">
            <w:pPr>
              <w:spacing w:before="0" w:after="0"/>
              <w:jc w:val="right"/>
              <w:rPr>
                <w:b/>
                <w:bCs/>
              </w:rPr>
            </w:pPr>
            <w:r w:rsidRPr="00037A46">
              <w:rPr>
                <w:b/>
                <w:bCs/>
              </w:rPr>
              <w:t>D5</w:t>
            </w:r>
          </w:p>
        </w:tc>
      </w:tr>
      <w:tr w:rsidR="003A11FB" w:rsidRPr="00037A46" w14:paraId="3B1965EF" w14:textId="77777777">
        <w:trPr>
          <w:trHeight w:val="284"/>
          <w:jc w:val="center"/>
        </w:trPr>
        <w:tc>
          <w:tcPr>
            <w:tcW w:w="1291" w:type="dxa"/>
            <w:tcBorders>
              <w:top w:val="single" w:sz="8" w:space="0" w:color="auto"/>
              <w:bottom w:val="nil"/>
              <w:right w:val="single" w:sz="8" w:space="0" w:color="auto"/>
            </w:tcBorders>
            <w:shd w:val="clear" w:color="auto" w:fill="C0C0C0"/>
            <w:noWrap/>
            <w:vAlign w:val="bottom"/>
          </w:tcPr>
          <w:p w14:paraId="69E2919B" w14:textId="77777777" w:rsidR="003A11FB" w:rsidRPr="00037A46" w:rsidRDefault="003A11FB" w:rsidP="00124C52">
            <w:pPr>
              <w:spacing w:before="0" w:after="0"/>
              <w:ind w:left="0"/>
              <w:jc w:val="center"/>
              <w:rPr>
                <w:b/>
                <w:bCs/>
              </w:rPr>
            </w:pPr>
            <w:r w:rsidRPr="00037A46">
              <w:rPr>
                <w:b/>
                <w:bCs/>
              </w:rPr>
              <w:t>Minimum</w:t>
            </w:r>
          </w:p>
        </w:tc>
        <w:tc>
          <w:tcPr>
            <w:tcW w:w="1276" w:type="dxa"/>
            <w:tcBorders>
              <w:top w:val="single" w:sz="8" w:space="0" w:color="auto"/>
              <w:left w:val="single" w:sz="8" w:space="0" w:color="auto"/>
              <w:bottom w:val="nil"/>
              <w:right w:val="single" w:sz="8" w:space="0" w:color="auto"/>
            </w:tcBorders>
            <w:noWrap/>
            <w:vAlign w:val="bottom"/>
          </w:tcPr>
          <w:p w14:paraId="33F8D933" w14:textId="77777777" w:rsidR="003A11FB" w:rsidRPr="00037A46" w:rsidRDefault="003A11FB" w:rsidP="003A11FB">
            <w:pPr>
              <w:spacing w:before="0" w:after="0"/>
              <w:ind w:left="0"/>
              <w:jc w:val="right"/>
              <w:rPr>
                <w:bCs/>
              </w:rPr>
            </w:pPr>
            <w:r w:rsidRPr="00037A46">
              <w:rPr>
                <w:bCs/>
              </w:rPr>
              <w:t>13.300</w:t>
            </w:r>
          </w:p>
        </w:tc>
        <w:tc>
          <w:tcPr>
            <w:tcW w:w="1692" w:type="dxa"/>
            <w:tcBorders>
              <w:top w:val="single" w:sz="8" w:space="0" w:color="auto"/>
              <w:left w:val="single" w:sz="8" w:space="0" w:color="auto"/>
              <w:bottom w:val="nil"/>
              <w:right w:val="single" w:sz="8" w:space="0" w:color="auto"/>
            </w:tcBorders>
            <w:noWrap/>
            <w:vAlign w:val="bottom"/>
          </w:tcPr>
          <w:p w14:paraId="6CB156F6" w14:textId="77777777" w:rsidR="003A11FB" w:rsidRPr="00037A46" w:rsidRDefault="003A11FB" w:rsidP="003A11FB">
            <w:pPr>
              <w:spacing w:before="0" w:after="0"/>
              <w:jc w:val="right"/>
              <w:rPr>
                <w:bCs/>
              </w:rPr>
            </w:pPr>
            <w:r w:rsidRPr="00037A46">
              <w:rPr>
                <w:bCs/>
              </w:rPr>
              <w:t>14.300</w:t>
            </w:r>
          </w:p>
        </w:tc>
        <w:tc>
          <w:tcPr>
            <w:tcW w:w="1692" w:type="dxa"/>
            <w:tcBorders>
              <w:top w:val="single" w:sz="8" w:space="0" w:color="auto"/>
              <w:left w:val="single" w:sz="8" w:space="0" w:color="auto"/>
              <w:bottom w:val="nil"/>
              <w:right w:val="single" w:sz="8" w:space="0" w:color="auto"/>
            </w:tcBorders>
            <w:noWrap/>
            <w:vAlign w:val="bottom"/>
          </w:tcPr>
          <w:p w14:paraId="6A62089C" w14:textId="77777777" w:rsidR="003A11FB" w:rsidRPr="00037A46" w:rsidRDefault="003A11FB" w:rsidP="003A11FB">
            <w:pPr>
              <w:spacing w:before="0" w:after="0"/>
              <w:jc w:val="right"/>
              <w:rPr>
                <w:bCs/>
              </w:rPr>
            </w:pPr>
            <w:r w:rsidRPr="00037A46">
              <w:rPr>
                <w:bCs/>
              </w:rPr>
              <w:t>15.500</w:t>
            </w:r>
          </w:p>
        </w:tc>
        <w:tc>
          <w:tcPr>
            <w:tcW w:w="1692" w:type="dxa"/>
            <w:tcBorders>
              <w:top w:val="single" w:sz="8" w:space="0" w:color="auto"/>
              <w:left w:val="single" w:sz="8" w:space="0" w:color="auto"/>
              <w:bottom w:val="nil"/>
              <w:right w:val="single" w:sz="8" w:space="0" w:color="auto"/>
            </w:tcBorders>
            <w:noWrap/>
            <w:vAlign w:val="bottom"/>
          </w:tcPr>
          <w:p w14:paraId="4DF14294" w14:textId="77777777" w:rsidR="003A11FB" w:rsidRPr="00037A46" w:rsidRDefault="003A11FB" w:rsidP="003A11FB">
            <w:pPr>
              <w:spacing w:before="0" w:after="0"/>
              <w:jc w:val="right"/>
              <w:rPr>
                <w:bCs/>
              </w:rPr>
            </w:pPr>
            <w:r w:rsidRPr="00037A46">
              <w:rPr>
                <w:bCs/>
              </w:rPr>
              <w:t>16.900</w:t>
            </w:r>
          </w:p>
        </w:tc>
        <w:tc>
          <w:tcPr>
            <w:tcW w:w="1050" w:type="dxa"/>
            <w:tcBorders>
              <w:top w:val="single" w:sz="8" w:space="0" w:color="auto"/>
              <w:left w:val="single" w:sz="8" w:space="0" w:color="auto"/>
              <w:bottom w:val="nil"/>
            </w:tcBorders>
            <w:vAlign w:val="bottom"/>
          </w:tcPr>
          <w:p w14:paraId="3B9415E9" w14:textId="77777777" w:rsidR="003A11FB" w:rsidRPr="00037A46" w:rsidRDefault="003A11FB" w:rsidP="0024627B">
            <w:pPr>
              <w:spacing w:before="0" w:after="0"/>
              <w:ind w:left="530"/>
              <w:jc w:val="right"/>
              <w:rPr>
                <w:bCs/>
              </w:rPr>
            </w:pPr>
            <w:r w:rsidRPr="00037A46">
              <w:rPr>
                <w:bCs/>
              </w:rPr>
              <w:t>17.000</w:t>
            </w:r>
          </w:p>
        </w:tc>
      </w:tr>
      <w:tr w:rsidR="003A11FB" w:rsidRPr="00037A46" w14:paraId="65B4D21D" w14:textId="77777777">
        <w:trPr>
          <w:trHeight w:val="284"/>
          <w:jc w:val="center"/>
        </w:trPr>
        <w:tc>
          <w:tcPr>
            <w:tcW w:w="1291" w:type="dxa"/>
            <w:tcBorders>
              <w:top w:val="nil"/>
              <w:bottom w:val="single" w:sz="8" w:space="0" w:color="auto"/>
              <w:right w:val="single" w:sz="8" w:space="0" w:color="auto"/>
            </w:tcBorders>
            <w:shd w:val="clear" w:color="auto" w:fill="C0C0C0"/>
            <w:noWrap/>
            <w:vAlign w:val="bottom"/>
          </w:tcPr>
          <w:p w14:paraId="586856F1" w14:textId="77777777" w:rsidR="003A11FB" w:rsidRPr="00037A46" w:rsidRDefault="003A11FB" w:rsidP="00124C52">
            <w:pPr>
              <w:spacing w:before="0" w:after="0"/>
              <w:ind w:left="0"/>
              <w:jc w:val="center"/>
              <w:rPr>
                <w:b/>
                <w:bCs/>
              </w:rPr>
            </w:pPr>
            <w:r w:rsidRPr="00037A46">
              <w:rPr>
                <w:b/>
                <w:bCs/>
              </w:rPr>
              <w:t>Maximum</w:t>
            </w:r>
          </w:p>
        </w:tc>
        <w:tc>
          <w:tcPr>
            <w:tcW w:w="1276" w:type="dxa"/>
            <w:tcBorders>
              <w:top w:val="nil"/>
              <w:left w:val="single" w:sz="8" w:space="0" w:color="auto"/>
              <w:bottom w:val="single" w:sz="8" w:space="0" w:color="auto"/>
              <w:right w:val="single" w:sz="8" w:space="0" w:color="auto"/>
            </w:tcBorders>
            <w:noWrap/>
            <w:vAlign w:val="bottom"/>
          </w:tcPr>
          <w:p w14:paraId="35DC4294" w14:textId="77777777" w:rsidR="003A11FB" w:rsidRPr="00037A46" w:rsidRDefault="003A11FB" w:rsidP="003A11FB">
            <w:pPr>
              <w:spacing w:before="0" w:after="0"/>
              <w:ind w:left="0"/>
              <w:jc w:val="right"/>
              <w:rPr>
                <w:bCs/>
              </w:rPr>
            </w:pPr>
            <w:r w:rsidRPr="00037A46">
              <w:rPr>
                <w:bCs/>
              </w:rPr>
              <w:t>18.300</w:t>
            </w:r>
          </w:p>
        </w:tc>
        <w:tc>
          <w:tcPr>
            <w:tcW w:w="1692" w:type="dxa"/>
            <w:tcBorders>
              <w:top w:val="nil"/>
              <w:left w:val="single" w:sz="8" w:space="0" w:color="auto"/>
              <w:bottom w:val="single" w:sz="8" w:space="0" w:color="auto"/>
              <w:right w:val="single" w:sz="8" w:space="0" w:color="auto"/>
            </w:tcBorders>
            <w:noWrap/>
            <w:vAlign w:val="bottom"/>
          </w:tcPr>
          <w:p w14:paraId="5DF2F83D" w14:textId="77777777" w:rsidR="003A11FB" w:rsidRPr="00037A46" w:rsidRDefault="003A11FB" w:rsidP="003A11FB">
            <w:pPr>
              <w:spacing w:before="0" w:after="0"/>
              <w:jc w:val="right"/>
              <w:rPr>
                <w:bCs/>
              </w:rPr>
            </w:pPr>
            <w:r w:rsidRPr="00037A46">
              <w:rPr>
                <w:bCs/>
              </w:rPr>
              <w:t>19.600</w:t>
            </w:r>
          </w:p>
        </w:tc>
        <w:tc>
          <w:tcPr>
            <w:tcW w:w="1692" w:type="dxa"/>
            <w:tcBorders>
              <w:top w:val="nil"/>
              <w:left w:val="single" w:sz="8" w:space="0" w:color="auto"/>
              <w:bottom w:val="single" w:sz="8" w:space="0" w:color="auto"/>
              <w:right w:val="single" w:sz="8" w:space="0" w:color="auto"/>
            </w:tcBorders>
            <w:noWrap/>
            <w:vAlign w:val="bottom"/>
          </w:tcPr>
          <w:p w14:paraId="4D2A1925" w14:textId="77777777" w:rsidR="003A11FB" w:rsidRPr="00037A46" w:rsidRDefault="003A11FB" w:rsidP="003A11FB">
            <w:pPr>
              <w:spacing w:before="0" w:after="0"/>
              <w:jc w:val="right"/>
              <w:rPr>
                <w:bCs/>
              </w:rPr>
            </w:pPr>
            <w:r w:rsidRPr="00037A46">
              <w:rPr>
                <w:bCs/>
              </w:rPr>
              <w:t>20.700</w:t>
            </w:r>
          </w:p>
        </w:tc>
        <w:tc>
          <w:tcPr>
            <w:tcW w:w="1692" w:type="dxa"/>
            <w:tcBorders>
              <w:top w:val="nil"/>
              <w:left w:val="single" w:sz="8" w:space="0" w:color="auto"/>
              <w:bottom w:val="single" w:sz="8" w:space="0" w:color="auto"/>
              <w:right w:val="single" w:sz="8" w:space="0" w:color="auto"/>
            </w:tcBorders>
            <w:noWrap/>
            <w:vAlign w:val="bottom"/>
          </w:tcPr>
          <w:p w14:paraId="63138A3D" w14:textId="77777777" w:rsidR="003A11FB" w:rsidRPr="00037A46" w:rsidRDefault="003A11FB" w:rsidP="003A11FB">
            <w:pPr>
              <w:spacing w:before="0" w:after="0"/>
              <w:jc w:val="right"/>
              <w:rPr>
                <w:bCs/>
              </w:rPr>
            </w:pPr>
            <w:r w:rsidRPr="00037A46">
              <w:rPr>
                <w:bCs/>
              </w:rPr>
              <w:t>21.950</w:t>
            </w:r>
          </w:p>
        </w:tc>
        <w:tc>
          <w:tcPr>
            <w:tcW w:w="1050" w:type="dxa"/>
            <w:tcBorders>
              <w:top w:val="nil"/>
              <w:left w:val="single" w:sz="8" w:space="0" w:color="auto"/>
              <w:bottom w:val="single" w:sz="8" w:space="0" w:color="auto"/>
            </w:tcBorders>
            <w:vAlign w:val="bottom"/>
          </w:tcPr>
          <w:p w14:paraId="7FAB3247" w14:textId="77777777" w:rsidR="003A11FB" w:rsidRPr="00037A46" w:rsidRDefault="003A11FB" w:rsidP="0024627B">
            <w:pPr>
              <w:spacing w:before="0" w:after="0"/>
              <w:ind w:left="530"/>
              <w:jc w:val="right"/>
              <w:rPr>
                <w:bCs/>
              </w:rPr>
            </w:pPr>
            <w:r w:rsidRPr="00037A46">
              <w:rPr>
                <w:bCs/>
              </w:rPr>
              <w:t>23.800</w:t>
            </w:r>
          </w:p>
        </w:tc>
      </w:tr>
      <w:tr w:rsidR="003A11FB" w:rsidRPr="00037A46" w14:paraId="6A5E8267" w14:textId="77777777">
        <w:trPr>
          <w:trHeight w:val="284"/>
          <w:jc w:val="center"/>
        </w:trPr>
        <w:tc>
          <w:tcPr>
            <w:tcW w:w="1291" w:type="dxa"/>
            <w:tcBorders>
              <w:top w:val="single" w:sz="8" w:space="0" w:color="auto"/>
              <w:bottom w:val="nil"/>
              <w:right w:val="single" w:sz="8" w:space="0" w:color="auto"/>
            </w:tcBorders>
            <w:shd w:val="clear" w:color="auto" w:fill="C0C0C0"/>
            <w:noWrap/>
            <w:vAlign w:val="bottom"/>
          </w:tcPr>
          <w:p w14:paraId="64ED9A58" w14:textId="77777777" w:rsidR="003A11FB" w:rsidRPr="00037A46" w:rsidRDefault="003A11FB" w:rsidP="00124C52">
            <w:pPr>
              <w:spacing w:before="0" w:after="0"/>
              <w:ind w:left="0"/>
              <w:jc w:val="center"/>
              <w:rPr>
                <w:b/>
                <w:bCs/>
              </w:rPr>
            </w:pPr>
            <w:r w:rsidRPr="00037A46">
              <w:rPr>
                <w:b/>
                <w:bCs/>
              </w:rPr>
              <w:t>Verhoging</w:t>
            </w:r>
          </w:p>
        </w:tc>
        <w:tc>
          <w:tcPr>
            <w:tcW w:w="1276" w:type="dxa"/>
            <w:tcBorders>
              <w:top w:val="single" w:sz="8" w:space="0" w:color="auto"/>
              <w:left w:val="single" w:sz="8" w:space="0" w:color="auto"/>
              <w:bottom w:val="nil"/>
              <w:right w:val="single" w:sz="8" w:space="0" w:color="auto"/>
            </w:tcBorders>
            <w:noWrap/>
            <w:vAlign w:val="bottom"/>
          </w:tcPr>
          <w:p w14:paraId="0A470CD2" w14:textId="77777777" w:rsidR="003A11FB" w:rsidRPr="00037A46" w:rsidRDefault="003A11FB" w:rsidP="003A11FB">
            <w:pPr>
              <w:spacing w:before="0" w:after="0"/>
              <w:ind w:left="0"/>
              <w:jc w:val="right"/>
              <w:rPr>
                <w:bCs/>
              </w:rPr>
            </w:pPr>
            <w:r w:rsidRPr="00037A46">
              <w:rPr>
                <w:bCs/>
              </w:rPr>
              <w:t>1x1x350</w:t>
            </w:r>
          </w:p>
        </w:tc>
        <w:tc>
          <w:tcPr>
            <w:tcW w:w="1692" w:type="dxa"/>
            <w:tcBorders>
              <w:top w:val="single" w:sz="8" w:space="0" w:color="auto"/>
              <w:left w:val="single" w:sz="8" w:space="0" w:color="auto"/>
              <w:bottom w:val="nil"/>
              <w:right w:val="single" w:sz="8" w:space="0" w:color="auto"/>
            </w:tcBorders>
            <w:noWrap/>
            <w:vAlign w:val="bottom"/>
          </w:tcPr>
          <w:p w14:paraId="62C38883" w14:textId="77777777" w:rsidR="003A11FB" w:rsidRPr="00037A46" w:rsidRDefault="003A11FB" w:rsidP="003A11FB">
            <w:pPr>
              <w:spacing w:before="0" w:after="0"/>
              <w:ind w:left="0"/>
              <w:jc w:val="right"/>
              <w:rPr>
                <w:bCs/>
              </w:rPr>
            </w:pPr>
            <w:r w:rsidRPr="00037A46">
              <w:rPr>
                <w:bCs/>
              </w:rPr>
              <w:t>1x1x350</w:t>
            </w:r>
          </w:p>
        </w:tc>
        <w:tc>
          <w:tcPr>
            <w:tcW w:w="1692" w:type="dxa"/>
            <w:tcBorders>
              <w:top w:val="single" w:sz="8" w:space="0" w:color="auto"/>
              <w:left w:val="single" w:sz="8" w:space="0" w:color="auto"/>
              <w:bottom w:val="nil"/>
              <w:right w:val="single" w:sz="8" w:space="0" w:color="auto"/>
            </w:tcBorders>
            <w:noWrap/>
            <w:vAlign w:val="bottom"/>
          </w:tcPr>
          <w:p w14:paraId="0258FA96" w14:textId="77777777" w:rsidR="003A11FB" w:rsidRPr="00037A46" w:rsidRDefault="003A11FB" w:rsidP="003A11FB">
            <w:pPr>
              <w:spacing w:before="0" w:after="0"/>
              <w:ind w:left="0"/>
              <w:jc w:val="right"/>
              <w:rPr>
                <w:bCs/>
              </w:rPr>
            </w:pPr>
            <w:r w:rsidRPr="00037A46">
              <w:rPr>
                <w:bCs/>
              </w:rPr>
              <w:t>1x1x350</w:t>
            </w:r>
          </w:p>
        </w:tc>
        <w:tc>
          <w:tcPr>
            <w:tcW w:w="1692" w:type="dxa"/>
            <w:tcBorders>
              <w:top w:val="single" w:sz="8" w:space="0" w:color="auto"/>
              <w:left w:val="single" w:sz="8" w:space="0" w:color="auto"/>
              <w:bottom w:val="nil"/>
              <w:right w:val="single" w:sz="8" w:space="0" w:color="auto"/>
            </w:tcBorders>
            <w:noWrap/>
            <w:vAlign w:val="bottom"/>
          </w:tcPr>
          <w:p w14:paraId="2A91FCAC" w14:textId="77777777" w:rsidR="003A11FB" w:rsidRPr="00037A46" w:rsidRDefault="003A11FB" w:rsidP="003A11FB">
            <w:pPr>
              <w:spacing w:before="0" w:after="0"/>
              <w:jc w:val="right"/>
              <w:rPr>
                <w:bCs/>
              </w:rPr>
            </w:pPr>
            <w:r w:rsidRPr="00037A46">
              <w:rPr>
                <w:bCs/>
              </w:rPr>
              <w:t>1x1x350</w:t>
            </w:r>
          </w:p>
        </w:tc>
        <w:tc>
          <w:tcPr>
            <w:tcW w:w="1050" w:type="dxa"/>
            <w:tcBorders>
              <w:top w:val="single" w:sz="8" w:space="0" w:color="auto"/>
              <w:left w:val="single" w:sz="8" w:space="0" w:color="auto"/>
              <w:bottom w:val="nil"/>
            </w:tcBorders>
            <w:vAlign w:val="bottom"/>
          </w:tcPr>
          <w:p w14:paraId="3D972475" w14:textId="77777777" w:rsidR="003A11FB" w:rsidRPr="00037A46" w:rsidRDefault="003A11FB" w:rsidP="0024627B">
            <w:pPr>
              <w:spacing w:before="0" w:after="0"/>
              <w:ind w:left="530"/>
              <w:jc w:val="right"/>
              <w:rPr>
                <w:bCs/>
              </w:rPr>
            </w:pPr>
            <w:r w:rsidRPr="00037A46">
              <w:rPr>
                <w:bCs/>
              </w:rPr>
              <w:t>1x1x300</w:t>
            </w:r>
          </w:p>
        </w:tc>
      </w:tr>
      <w:tr w:rsidR="003A11FB" w:rsidRPr="00037A46" w14:paraId="24A38557" w14:textId="77777777">
        <w:trPr>
          <w:trHeight w:val="284"/>
          <w:jc w:val="center"/>
        </w:trPr>
        <w:tc>
          <w:tcPr>
            <w:tcW w:w="1291" w:type="dxa"/>
            <w:tcBorders>
              <w:top w:val="nil"/>
              <w:bottom w:val="nil"/>
              <w:right w:val="single" w:sz="8" w:space="0" w:color="auto"/>
            </w:tcBorders>
            <w:shd w:val="clear" w:color="auto" w:fill="C0C0C0"/>
            <w:noWrap/>
            <w:vAlign w:val="bottom"/>
          </w:tcPr>
          <w:p w14:paraId="46BDAAD2" w14:textId="77777777" w:rsidR="003A11FB" w:rsidRPr="00037A46" w:rsidRDefault="003A11FB" w:rsidP="003A11FB">
            <w:pPr>
              <w:spacing w:before="0" w:after="0"/>
              <w:rPr>
                <w:b/>
                <w:bCs/>
              </w:rPr>
            </w:pPr>
            <w:r w:rsidRPr="00037A46">
              <w:rPr>
                <w:b/>
                <w:bCs/>
              </w:rPr>
              <w:t> </w:t>
            </w:r>
          </w:p>
        </w:tc>
        <w:tc>
          <w:tcPr>
            <w:tcW w:w="1276" w:type="dxa"/>
            <w:tcBorders>
              <w:top w:val="nil"/>
              <w:left w:val="single" w:sz="8" w:space="0" w:color="auto"/>
              <w:bottom w:val="nil"/>
              <w:right w:val="single" w:sz="8" w:space="0" w:color="auto"/>
            </w:tcBorders>
            <w:noWrap/>
            <w:vAlign w:val="bottom"/>
          </w:tcPr>
          <w:p w14:paraId="754F085D" w14:textId="77777777" w:rsidR="003A11FB" w:rsidRPr="00037A46" w:rsidRDefault="003A11FB" w:rsidP="003A11FB">
            <w:pPr>
              <w:spacing w:before="0" w:after="0"/>
              <w:ind w:left="0"/>
              <w:jc w:val="right"/>
              <w:rPr>
                <w:bCs/>
              </w:rPr>
            </w:pPr>
            <w:r w:rsidRPr="00037A46">
              <w:rPr>
                <w:bCs/>
              </w:rPr>
              <w:t>3x2x350</w:t>
            </w:r>
          </w:p>
        </w:tc>
        <w:tc>
          <w:tcPr>
            <w:tcW w:w="1692" w:type="dxa"/>
            <w:tcBorders>
              <w:top w:val="nil"/>
              <w:left w:val="single" w:sz="8" w:space="0" w:color="auto"/>
              <w:bottom w:val="nil"/>
              <w:right w:val="single" w:sz="8" w:space="0" w:color="auto"/>
            </w:tcBorders>
            <w:noWrap/>
            <w:vAlign w:val="bottom"/>
          </w:tcPr>
          <w:p w14:paraId="7400BBF6" w14:textId="77777777" w:rsidR="003A11FB" w:rsidRPr="00037A46" w:rsidRDefault="003A11FB" w:rsidP="003A11FB">
            <w:pPr>
              <w:spacing w:before="0" w:after="0"/>
              <w:ind w:left="0"/>
              <w:jc w:val="right"/>
              <w:rPr>
                <w:bCs/>
              </w:rPr>
            </w:pPr>
            <w:r w:rsidRPr="00037A46">
              <w:rPr>
                <w:bCs/>
              </w:rPr>
              <w:t>1x2x350</w:t>
            </w:r>
          </w:p>
        </w:tc>
        <w:tc>
          <w:tcPr>
            <w:tcW w:w="1692" w:type="dxa"/>
            <w:tcBorders>
              <w:top w:val="nil"/>
              <w:left w:val="single" w:sz="8" w:space="0" w:color="auto"/>
              <w:bottom w:val="nil"/>
              <w:right w:val="single" w:sz="8" w:space="0" w:color="auto"/>
            </w:tcBorders>
            <w:noWrap/>
            <w:vAlign w:val="bottom"/>
          </w:tcPr>
          <w:p w14:paraId="5B37C706" w14:textId="77777777" w:rsidR="003A11FB" w:rsidRPr="00037A46" w:rsidRDefault="003A11FB" w:rsidP="003A11FB">
            <w:pPr>
              <w:spacing w:before="0" w:after="0"/>
              <w:ind w:left="0"/>
              <w:jc w:val="right"/>
              <w:rPr>
                <w:bCs/>
              </w:rPr>
            </w:pPr>
            <w:r w:rsidRPr="00037A46">
              <w:rPr>
                <w:bCs/>
              </w:rPr>
              <w:t>1x2x400</w:t>
            </w:r>
          </w:p>
        </w:tc>
        <w:tc>
          <w:tcPr>
            <w:tcW w:w="1692" w:type="dxa"/>
            <w:tcBorders>
              <w:top w:val="nil"/>
              <w:left w:val="single" w:sz="8" w:space="0" w:color="auto"/>
              <w:bottom w:val="nil"/>
              <w:right w:val="single" w:sz="8" w:space="0" w:color="auto"/>
            </w:tcBorders>
            <w:noWrap/>
            <w:vAlign w:val="bottom"/>
          </w:tcPr>
          <w:p w14:paraId="05DB185C" w14:textId="77777777" w:rsidR="003A11FB" w:rsidRPr="00037A46" w:rsidRDefault="003A11FB" w:rsidP="003A11FB">
            <w:pPr>
              <w:spacing w:before="0" w:after="0"/>
              <w:jc w:val="right"/>
              <w:rPr>
                <w:bCs/>
              </w:rPr>
            </w:pPr>
            <w:r w:rsidRPr="00037A46">
              <w:rPr>
                <w:bCs/>
              </w:rPr>
              <w:t>1x2x350</w:t>
            </w:r>
          </w:p>
        </w:tc>
        <w:tc>
          <w:tcPr>
            <w:tcW w:w="1050" w:type="dxa"/>
            <w:tcBorders>
              <w:top w:val="nil"/>
              <w:left w:val="single" w:sz="8" w:space="0" w:color="auto"/>
              <w:bottom w:val="nil"/>
            </w:tcBorders>
            <w:vAlign w:val="bottom"/>
          </w:tcPr>
          <w:p w14:paraId="41423978" w14:textId="77777777" w:rsidR="003A11FB" w:rsidRPr="00037A46" w:rsidRDefault="003A11FB" w:rsidP="0024627B">
            <w:pPr>
              <w:spacing w:before="0" w:after="0"/>
              <w:ind w:left="530"/>
              <w:jc w:val="right"/>
              <w:rPr>
                <w:bCs/>
              </w:rPr>
            </w:pPr>
            <w:r w:rsidRPr="00037A46">
              <w:rPr>
                <w:bCs/>
              </w:rPr>
              <w:t>2x2x500</w:t>
            </w:r>
          </w:p>
        </w:tc>
      </w:tr>
      <w:tr w:rsidR="003A11FB" w:rsidRPr="00037A46" w14:paraId="497E2F8D" w14:textId="77777777">
        <w:trPr>
          <w:trHeight w:val="284"/>
          <w:jc w:val="center"/>
        </w:trPr>
        <w:tc>
          <w:tcPr>
            <w:tcW w:w="1291" w:type="dxa"/>
            <w:tcBorders>
              <w:top w:val="nil"/>
              <w:bottom w:val="nil"/>
              <w:right w:val="single" w:sz="8" w:space="0" w:color="auto"/>
            </w:tcBorders>
            <w:shd w:val="clear" w:color="auto" w:fill="C0C0C0"/>
            <w:noWrap/>
            <w:vAlign w:val="bottom"/>
          </w:tcPr>
          <w:p w14:paraId="303F1ECB" w14:textId="77777777" w:rsidR="003A11FB" w:rsidRPr="00037A46" w:rsidRDefault="003A11FB" w:rsidP="003A11FB">
            <w:pPr>
              <w:spacing w:before="0" w:after="0"/>
              <w:rPr>
                <w:b/>
                <w:bCs/>
              </w:rPr>
            </w:pPr>
            <w:r w:rsidRPr="00037A46">
              <w:rPr>
                <w:b/>
                <w:bCs/>
              </w:rPr>
              <w:t> </w:t>
            </w:r>
          </w:p>
        </w:tc>
        <w:tc>
          <w:tcPr>
            <w:tcW w:w="1276" w:type="dxa"/>
            <w:tcBorders>
              <w:top w:val="nil"/>
              <w:left w:val="single" w:sz="8" w:space="0" w:color="auto"/>
              <w:bottom w:val="nil"/>
              <w:right w:val="single" w:sz="8" w:space="0" w:color="auto"/>
            </w:tcBorders>
            <w:noWrap/>
            <w:vAlign w:val="bottom"/>
          </w:tcPr>
          <w:p w14:paraId="008D1077" w14:textId="77777777" w:rsidR="003A11FB" w:rsidRPr="00037A46" w:rsidRDefault="003A11FB" w:rsidP="003A11FB">
            <w:pPr>
              <w:spacing w:before="0" w:after="0"/>
              <w:ind w:left="0"/>
              <w:jc w:val="right"/>
              <w:rPr>
                <w:bCs/>
              </w:rPr>
            </w:pPr>
            <w:r w:rsidRPr="00037A46">
              <w:rPr>
                <w:bCs/>
              </w:rPr>
              <w:t>1x2x300</w:t>
            </w:r>
          </w:p>
        </w:tc>
        <w:tc>
          <w:tcPr>
            <w:tcW w:w="1692" w:type="dxa"/>
            <w:tcBorders>
              <w:top w:val="nil"/>
              <w:left w:val="single" w:sz="8" w:space="0" w:color="auto"/>
              <w:bottom w:val="nil"/>
              <w:right w:val="single" w:sz="8" w:space="0" w:color="auto"/>
            </w:tcBorders>
            <w:noWrap/>
            <w:vAlign w:val="bottom"/>
          </w:tcPr>
          <w:p w14:paraId="3EBD59FB" w14:textId="77777777" w:rsidR="003A11FB" w:rsidRPr="00037A46" w:rsidRDefault="003A11FB" w:rsidP="003A11FB">
            <w:pPr>
              <w:spacing w:before="0" w:after="0"/>
              <w:ind w:left="0"/>
              <w:jc w:val="right"/>
              <w:rPr>
                <w:bCs/>
              </w:rPr>
            </w:pPr>
            <w:r w:rsidRPr="00037A46">
              <w:rPr>
                <w:bCs/>
              </w:rPr>
              <w:t>1x2x400</w:t>
            </w:r>
          </w:p>
        </w:tc>
        <w:tc>
          <w:tcPr>
            <w:tcW w:w="1692" w:type="dxa"/>
            <w:tcBorders>
              <w:top w:val="nil"/>
              <w:left w:val="single" w:sz="8" w:space="0" w:color="auto"/>
              <w:bottom w:val="nil"/>
              <w:right w:val="single" w:sz="8" w:space="0" w:color="auto"/>
            </w:tcBorders>
            <w:noWrap/>
            <w:vAlign w:val="bottom"/>
          </w:tcPr>
          <w:p w14:paraId="0131C73C" w14:textId="77777777" w:rsidR="003A11FB" w:rsidRPr="00037A46" w:rsidRDefault="003A11FB" w:rsidP="003A11FB">
            <w:pPr>
              <w:spacing w:before="0" w:after="0"/>
              <w:ind w:left="0"/>
              <w:jc w:val="right"/>
              <w:rPr>
                <w:bCs/>
              </w:rPr>
            </w:pPr>
            <w:r w:rsidRPr="00037A46">
              <w:rPr>
                <w:bCs/>
              </w:rPr>
              <w:t>1x2x350</w:t>
            </w:r>
          </w:p>
        </w:tc>
        <w:tc>
          <w:tcPr>
            <w:tcW w:w="1692" w:type="dxa"/>
            <w:tcBorders>
              <w:top w:val="nil"/>
              <w:left w:val="single" w:sz="8" w:space="0" w:color="auto"/>
              <w:bottom w:val="nil"/>
              <w:right w:val="single" w:sz="8" w:space="0" w:color="auto"/>
            </w:tcBorders>
            <w:noWrap/>
            <w:vAlign w:val="bottom"/>
          </w:tcPr>
          <w:p w14:paraId="6DB4E797" w14:textId="77777777" w:rsidR="003A11FB" w:rsidRPr="00037A46" w:rsidRDefault="003A11FB" w:rsidP="003A11FB">
            <w:pPr>
              <w:spacing w:before="0" w:after="0"/>
              <w:jc w:val="right"/>
              <w:rPr>
                <w:bCs/>
              </w:rPr>
            </w:pPr>
            <w:r w:rsidRPr="00037A46">
              <w:rPr>
                <w:bCs/>
              </w:rPr>
              <w:t>1x2x300</w:t>
            </w:r>
          </w:p>
        </w:tc>
        <w:tc>
          <w:tcPr>
            <w:tcW w:w="1050" w:type="dxa"/>
            <w:tcBorders>
              <w:top w:val="nil"/>
              <w:left w:val="single" w:sz="8" w:space="0" w:color="auto"/>
              <w:bottom w:val="nil"/>
            </w:tcBorders>
            <w:vAlign w:val="bottom"/>
          </w:tcPr>
          <w:p w14:paraId="50257ECC" w14:textId="77777777" w:rsidR="003A11FB" w:rsidRPr="00037A46" w:rsidRDefault="003A11FB" w:rsidP="0024627B">
            <w:pPr>
              <w:spacing w:before="0" w:after="0"/>
              <w:ind w:left="530"/>
              <w:jc w:val="right"/>
              <w:rPr>
                <w:bCs/>
              </w:rPr>
            </w:pPr>
            <w:r w:rsidRPr="00037A46">
              <w:rPr>
                <w:bCs/>
              </w:rPr>
              <w:t>1x2x300</w:t>
            </w:r>
          </w:p>
        </w:tc>
      </w:tr>
      <w:tr w:rsidR="003A11FB" w:rsidRPr="00037A46" w14:paraId="58B11E19" w14:textId="77777777">
        <w:trPr>
          <w:trHeight w:val="284"/>
          <w:jc w:val="center"/>
        </w:trPr>
        <w:tc>
          <w:tcPr>
            <w:tcW w:w="1291" w:type="dxa"/>
            <w:tcBorders>
              <w:top w:val="nil"/>
              <w:bottom w:val="nil"/>
              <w:right w:val="single" w:sz="8" w:space="0" w:color="auto"/>
            </w:tcBorders>
            <w:shd w:val="clear" w:color="auto" w:fill="C0C0C0"/>
            <w:noWrap/>
            <w:vAlign w:val="bottom"/>
          </w:tcPr>
          <w:p w14:paraId="08F30D17" w14:textId="77777777" w:rsidR="003A11FB" w:rsidRPr="00037A46" w:rsidRDefault="003A11FB" w:rsidP="003A11FB">
            <w:pPr>
              <w:spacing w:before="0" w:after="0"/>
              <w:rPr>
                <w:b/>
                <w:bCs/>
              </w:rPr>
            </w:pPr>
            <w:r w:rsidRPr="00037A46">
              <w:rPr>
                <w:b/>
                <w:bCs/>
              </w:rPr>
              <w:t> </w:t>
            </w:r>
          </w:p>
        </w:tc>
        <w:tc>
          <w:tcPr>
            <w:tcW w:w="1276" w:type="dxa"/>
            <w:tcBorders>
              <w:top w:val="nil"/>
              <w:left w:val="single" w:sz="8" w:space="0" w:color="auto"/>
              <w:bottom w:val="nil"/>
              <w:right w:val="single" w:sz="8" w:space="0" w:color="auto"/>
            </w:tcBorders>
            <w:noWrap/>
            <w:vAlign w:val="bottom"/>
          </w:tcPr>
          <w:p w14:paraId="6F49EF2A" w14:textId="77777777" w:rsidR="003A11FB" w:rsidRPr="00037A46" w:rsidRDefault="003A11FB" w:rsidP="003A11FB">
            <w:pPr>
              <w:spacing w:before="0" w:after="0"/>
              <w:ind w:left="0"/>
              <w:jc w:val="right"/>
              <w:rPr>
                <w:bCs/>
              </w:rPr>
            </w:pPr>
            <w:r w:rsidRPr="00037A46">
              <w:rPr>
                <w:bCs/>
              </w:rPr>
              <w:t>8x2x350</w:t>
            </w:r>
          </w:p>
        </w:tc>
        <w:tc>
          <w:tcPr>
            <w:tcW w:w="1692" w:type="dxa"/>
            <w:tcBorders>
              <w:top w:val="nil"/>
              <w:left w:val="single" w:sz="8" w:space="0" w:color="auto"/>
              <w:bottom w:val="nil"/>
              <w:right w:val="single" w:sz="8" w:space="0" w:color="auto"/>
            </w:tcBorders>
            <w:noWrap/>
            <w:vAlign w:val="bottom"/>
          </w:tcPr>
          <w:p w14:paraId="026906DD" w14:textId="77777777" w:rsidR="003A11FB" w:rsidRPr="00037A46" w:rsidRDefault="003A11FB" w:rsidP="003A11FB">
            <w:pPr>
              <w:spacing w:before="0" w:after="0"/>
              <w:ind w:left="0"/>
              <w:jc w:val="right"/>
              <w:rPr>
                <w:bCs/>
              </w:rPr>
            </w:pPr>
            <w:r w:rsidRPr="00037A46">
              <w:rPr>
                <w:bCs/>
              </w:rPr>
              <w:t>1x2x350</w:t>
            </w:r>
          </w:p>
        </w:tc>
        <w:tc>
          <w:tcPr>
            <w:tcW w:w="1692" w:type="dxa"/>
            <w:tcBorders>
              <w:top w:val="nil"/>
              <w:left w:val="single" w:sz="8" w:space="0" w:color="auto"/>
              <w:bottom w:val="nil"/>
              <w:right w:val="single" w:sz="8" w:space="0" w:color="auto"/>
            </w:tcBorders>
            <w:noWrap/>
            <w:vAlign w:val="bottom"/>
          </w:tcPr>
          <w:p w14:paraId="1238EF48" w14:textId="77777777" w:rsidR="003A11FB" w:rsidRPr="00037A46" w:rsidRDefault="003A11FB" w:rsidP="003A11FB">
            <w:pPr>
              <w:spacing w:before="0" w:after="0"/>
              <w:ind w:left="0"/>
              <w:jc w:val="right"/>
              <w:rPr>
                <w:bCs/>
              </w:rPr>
            </w:pPr>
            <w:r w:rsidRPr="00037A46">
              <w:rPr>
                <w:bCs/>
              </w:rPr>
              <w:t>1x2x400</w:t>
            </w:r>
          </w:p>
        </w:tc>
        <w:tc>
          <w:tcPr>
            <w:tcW w:w="1692" w:type="dxa"/>
            <w:tcBorders>
              <w:top w:val="nil"/>
              <w:left w:val="single" w:sz="8" w:space="0" w:color="auto"/>
              <w:bottom w:val="nil"/>
              <w:right w:val="single" w:sz="8" w:space="0" w:color="auto"/>
            </w:tcBorders>
            <w:noWrap/>
            <w:vAlign w:val="bottom"/>
          </w:tcPr>
          <w:p w14:paraId="2D4049F8" w14:textId="77777777" w:rsidR="003A11FB" w:rsidRPr="00037A46" w:rsidRDefault="003A11FB" w:rsidP="003A11FB">
            <w:pPr>
              <w:spacing w:before="0" w:after="0"/>
              <w:ind w:left="0"/>
              <w:jc w:val="right"/>
              <w:rPr>
                <w:bCs/>
              </w:rPr>
            </w:pPr>
            <w:r w:rsidRPr="00037A46">
              <w:rPr>
                <w:bCs/>
              </w:rPr>
              <w:t>10x2x350</w:t>
            </w:r>
          </w:p>
        </w:tc>
        <w:tc>
          <w:tcPr>
            <w:tcW w:w="1050" w:type="dxa"/>
            <w:tcBorders>
              <w:top w:val="nil"/>
              <w:left w:val="single" w:sz="8" w:space="0" w:color="auto"/>
              <w:bottom w:val="nil"/>
            </w:tcBorders>
            <w:vAlign w:val="bottom"/>
          </w:tcPr>
          <w:p w14:paraId="16626B0A" w14:textId="77777777" w:rsidR="003A11FB" w:rsidRPr="00037A46" w:rsidRDefault="003A11FB" w:rsidP="0024627B">
            <w:pPr>
              <w:spacing w:before="0" w:after="0"/>
              <w:ind w:left="530"/>
              <w:jc w:val="right"/>
              <w:rPr>
                <w:bCs/>
              </w:rPr>
            </w:pPr>
            <w:r w:rsidRPr="00037A46">
              <w:rPr>
                <w:bCs/>
              </w:rPr>
              <w:t>1x2x800</w:t>
            </w:r>
          </w:p>
        </w:tc>
      </w:tr>
      <w:tr w:rsidR="003A11FB" w:rsidRPr="00037A46" w14:paraId="38D96166" w14:textId="77777777">
        <w:trPr>
          <w:trHeight w:val="284"/>
          <w:jc w:val="center"/>
        </w:trPr>
        <w:tc>
          <w:tcPr>
            <w:tcW w:w="1291" w:type="dxa"/>
            <w:tcBorders>
              <w:top w:val="nil"/>
              <w:bottom w:val="nil"/>
              <w:right w:val="single" w:sz="8" w:space="0" w:color="auto"/>
            </w:tcBorders>
            <w:shd w:val="clear" w:color="auto" w:fill="C0C0C0"/>
            <w:noWrap/>
            <w:vAlign w:val="bottom"/>
          </w:tcPr>
          <w:p w14:paraId="1DDC7927" w14:textId="77777777" w:rsidR="003A11FB" w:rsidRPr="00037A46" w:rsidRDefault="003A11FB" w:rsidP="003A11FB">
            <w:pPr>
              <w:spacing w:before="0" w:after="0"/>
              <w:rPr>
                <w:b/>
                <w:bCs/>
              </w:rPr>
            </w:pPr>
            <w:r w:rsidRPr="00037A46">
              <w:rPr>
                <w:b/>
                <w:bCs/>
              </w:rPr>
              <w:t> </w:t>
            </w:r>
          </w:p>
        </w:tc>
        <w:tc>
          <w:tcPr>
            <w:tcW w:w="1276" w:type="dxa"/>
            <w:tcBorders>
              <w:top w:val="nil"/>
              <w:left w:val="single" w:sz="8" w:space="0" w:color="auto"/>
              <w:bottom w:val="nil"/>
              <w:right w:val="single" w:sz="8" w:space="0" w:color="auto"/>
            </w:tcBorders>
            <w:noWrap/>
            <w:vAlign w:val="bottom"/>
          </w:tcPr>
          <w:p w14:paraId="2E209F5E" w14:textId="77777777" w:rsidR="003A11FB" w:rsidRPr="00037A46" w:rsidRDefault="003A11FB" w:rsidP="003A11FB">
            <w:pPr>
              <w:spacing w:before="0" w:after="0"/>
              <w:ind w:left="0"/>
              <w:jc w:val="right"/>
              <w:rPr>
                <w:bCs/>
              </w:rPr>
            </w:pPr>
            <w:r w:rsidRPr="00037A46">
              <w:rPr>
                <w:bCs/>
              </w:rPr>
              <w:t>1x2x500</w:t>
            </w:r>
          </w:p>
        </w:tc>
        <w:tc>
          <w:tcPr>
            <w:tcW w:w="1692" w:type="dxa"/>
            <w:tcBorders>
              <w:top w:val="nil"/>
              <w:left w:val="single" w:sz="8" w:space="0" w:color="auto"/>
              <w:bottom w:val="nil"/>
              <w:right w:val="single" w:sz="8" w:space="0" w:color="auto"/>
            </w:tcBorders>
            <w:noWrap/>
            <w:vAlign w:val="bottom"/>
          </w:tcPr>
          <w:p w14:paraId="348E9697" w14:textId="77777777" w:rsidR="003A11FB" w:rsidRPr="00037A46" w:rsidRDefault="003A11FB" w:rsidP="003A11FB">
            <w:pPr>
              <w:spacing w:before="0" w:after="0"/>
              <w:ind w:left="0"/>
              <w:jc w:val="right"/>
              <w:rPr>
                <w:bCs/>
              </w:rPr>
            </w:pPr>
            <w:r w:rsidRPr="00037A46">
              <w:rPr>
                <w:bCs/>
              </w:rPr>
              <w:t>1x2x400</w:t>
            </w:r>
          </w:p>
        </w:tc>
        <w:tc>
          <w:tcPr>
            <w:tcW w:w="1692" w:type="dxa"/>
            <w:tcBorders>
              <w:top w:val="nil"/>
              <w:left w:val="single" w:sz="8" w:space="0" w:color="auto"/>
              <w:bottom w:val="nil"/>
              <w:right w:val="single" w:sz="8" w:space="0" w:color="auto"/>
            </w:tcBorders>
            <w:noWrap/>
            <w:vAlign w:val="bottom"/>
          </w:tcPr>
          <w:p w14:paraId="5D33F698" w14:textId="77777777" w:rsidR="003A11FB" w:rsidRPr="00037A46" w:rsidRDefault="003A11FB" w:rsidP="003A11FB">
            <w:pPr>
              <w:spacing w:before="0" w:after="0"/>
              <w:ind w:left="0"/>
              <w:jc w:val="right"/>
              <w:rPr>
                <w:bCs/>
              </w:rPr>
            </w:pPr>
            <w:r w:rsidRPr="00037A46">
              <w:rPr>
                <w:bCs/>
              </w:rPr>
              <w:t>2x2x350</w:t>
            </w:r>
          </w:p>
        </w:tc>
        <w:tc>
          <w:tcPr>
            <w:tcW w:w="1692" w:type="dxa"/>
            <w:tcBorders>
              <w:top w:val="nil"/>
              <w:left w:val="single" w:sz="8" w:space="0" w:color="auto"/>
              <w:bottom w:val="nil"/>
              <w:right w:val="single" w:sz="8" w:space="0" w:color="auto"/>
            </w:tcBorders>
            <w:noWrap/>
            <w:vAlign w:val="bottom"/>
          </w:tcPr>
          <w:p w14:paraId="2D8819F5" w14:textId="77777777" w:rsidR="003A11FB" w:rsidRPr="00037A46" w:rsidRDefault="003A11FB" w:rsidP="003A11FB">
            <w:pPr>
              <w:spacing w:before="0" w:after="0"/>
              <w:jc w:val="right"/>
              <w:rPr>
                <w:bCs/>
              </w:rPr>
            </w:pPr>
            <w:r w:rsidRPr="00037A46">
              <w:rPr>
                <w:bCs/>
              </w:rPr>
              <w:t>1x2x550</w:t>
            </w:r>
          </w:p>
        </w:tc>
        <w:tc>
          <w:tcPr>
            <w:tcW w:w="1050" w:type="dxa"/>
            <w:tcBorders>
              <w:top w:val="nil"/>
              <w:left w:val="single" w:sz="8" w:space="0" w:color="auto"/>
              <w:bottom w:val="nil"/>
            </w:tcBorders>
            <w:vAlign w:val="bottom"/>
          </w:tcPr>
          <w:p w14:paraId="5958A5B1" w14:textId="77777777" w:rsidR="003A11FB" w:rsidRPr="00037A46" w:rsidRDefault="003A11FB" w:rsidP="0024627B">
            <w:pPr>
              <w:spacing w:before="0" w:after="0"/>
              <w:ind w:left="530"/>
              <w:jc w:val="right"/>
              <w:rPr>
                <w:bCs/>
              </w:rPr>
            </w:pPr>
            <w:r w:rsidRPr="00037A46">
              <w:rPr>
                <w:bCs/>
              </w:rPr>
              <w:t>1x2x500</w:t>
            </w:r>
          </w:p>
        </w:tc>
      </w:tr>
      <w:tr w:rsidR="003A11FB" w:rsidRPr="00037A46" w14:paraId="0A1785AD" w14:textId="77777777">
        <w:trPr>
          <w:trHeight w:val="284"/>
          <w:jc w:val="center"/>
        </w:trPr>
        <w:tc>
          <w:tcPr>
            <w:tcW w:w="1291" w:type="dxa"/>
            <w:tcBorders>
              <w:top w:val="nil"/>
              <w:bottom w:val="nil"/>
              <w:right w:val="single" w:sz="8" w:space="0" w:color="auto"/>
            </w:tcBorders>
            <w:shd w:val="clear" w:color="auto" w:fill="C0C0C0"/>
            <w:noWrap/>
            <w:vAlign w:val="bottom"/>
          </w:tcPr>
          <w:p w14:paraId="067A67B1" w14:textId="77777777" w:rsidR="003A11FB" w:rsidRPr="00037A46" w:rsidRDefault="003A11FB" w:rsidP="003A11FB">
            <w:pPr>
              <w:spacing w:before="0" w:after="0"/>
              <w:rPr>
                <w:b/>
                <w:bCs/>
              </w:rPr>
            </w:pPr>
            <w:r w:rsidRPr="00037A46">
              <w:rPr>
                <w:b/>
                <w:bCs/>
              </w:rPr>
              <w:t> </w:t>
            </w:r>
          </w:p>
        </w:tc>
        <w:tc>
          <w:tcPr>
            <w:tcW w:w="1276" w:type="dxa"/>
            <w:tcBorders>
              <w:top w:val="nil"/>
              <w:left w:val="single" w:sz="8" w:space="0" w:color="auto"/>
              <w:bottom w:val="nil"/>
              <w:right w:val="single" w:sz="8" w:space="0" w:color="auto"/>
            </w:tcBorders>
            <w:noWrap/>
            <w:vAlign w:val="bottom"/>
          </w:tcPr>
          <w:p w14:paraId="20E8986A" w14:textId="77777777" w:rsidR="003A11FB" w:rsidRPr="00037A46" w:rsidRDefault="003A11FB" w:rsidP="003A11FB">
            <w:pPr>
              <w:spacing w:before="0" w:after="0"/>
              <w:jc w:val="right"/>
              <w:rPr>
                <w:bCs/>
              </w:rPr>
            </w:pPr>
          </w:p>
        </w:tc>
        <w:tc>
          <w:tcPr>
            <w:tcW w:w="1692" w:type="dxa"/>
            <w:tcBorders>
              <w:top w:val="nil"/>
              <w:left w:val="single" w:sz="8" w:space="0" w:color="auto"/>
              <w:bottom w:val="nil"/>
              <w:right w:val="single" w:sz="8" w:space="0" w:color="auto"/>
            </w:tcBorders>
            <w:noWrap/>
            <w:vAlign w:val="bottom"/>
          </w:tcPr>
          <w:p w14:paraId="162BED4E" w14:textId="77777777" w:rsidR="003A11FB" w:rsidRPr="00037A46" w:rsidRDefault="003A11FB" w:rsidP="003A11FB">
            <w:pPr>
              <w:spacing w:before="0" w:after="0"/>
              <w:ind w:left="0"/>
              <w:jc w:val="right"/>
              <w:rPr>
                <w:bCs/>
              </w:rPr>
            </w:pPr>
            <w:r w:rsidRPr="00037A46">
              <w:rPr>
                <w:bCs/>
              </w:rPr>
              <w:t>1x2x350</w:t>
            </w:r>
          </w:p>
        </w:tc>
        <w:tc>
          <w:tcPr>
            <w:tcW w:w="1692" w:type="dxa"/>
            <w:tcBorders>
              <w:top w:val="nil"/>
              <w:left w:val="single" w:sz="8" w:space="0" w:color="auto"/>
              <w:bottom w:val="nil"/>
              <w:right w:val="single" w:sz="8" w:space="0" w:color="auto"/>
            </w:tcBorders>
            <w:noWrap/>
            <w:vAlign w:val="bottom"/>
          </w:tcPr>
          <w:p w14:paraId="2E3B9829" w14:textId="77777777" w:rsidR="003A11FB" w:rsidRPr="00037A46" w:rsidRDefault="003A11FB" w:rsidP="003A11FB">
            <w:pPr>
              <w:spacing w:before="0" w:after="0"/>
              <w:ind w:left="0"/>
              <w:jc w:val="right"/>
              <w:rPr>
                <w:bCs/>
              </w:rPr>
            </w:pPr>
            <w:r w:rsidRPr="00037A46">
              <w:rPr>
                <w:bCs/>
              </w:rPr>
              <w:t>1x2x400</w:t>
            </w:r>
          </w:p>
        </w:tc>
        <w:tc>
          <w:tcPr>
            <w:tcW w:w="1692" w:type="dxa"/>
            <w:tcBorders>
              <w:top w:val="nil"/>
              <w:left w:val="single" w:sz="8" w:space="0" w:color="auto"/>
              <w:bottom w:val="nil"/>
              <w:right w:val="single" w:sz="8" w:space="0" w:color="auto"/>
            </w:tcBorders>
            <w:noWrap/>
            <w:vAlign w:val="bottom"/>
          </w:tcPr>
          <w:p w14:paraId="3F493A08" w14:textId="77777777" w:rsidR="003A11FB" w:rsidRPr="00037A46" w:rsidRDefault="003A11FB" w:rsidP="003A11FB">
            <w:pPr>
              <w:spacing w:before="0" w:after="0"/>
              <w:jc w:val="right"/>
              <w:rPr>
                <w:bCs/>
              </w:rPr>
            </w:pPr>
          </w:p>
        </w:tc>
        <w:tc>
          <w:tcPr>
            <w:tcW w:w="1050" w:type="dxa"/>
            <w:tcBorders>
              <w:top w:val="nil"/>
              <w:left w:val="single" w:sz="8" w:space="0" w:color="auto"/>
              <w:bottom w:val="nil"/>
            </w:tcBorders>
            <w:vAlign w:val="bottom"/>
          </w:tcPr>
          <w:p w14:paraId="77441646" w14:textId="77777777" w:rsidR="003A11FB" w:rsidRPr="00037A46" w:rsidRDefault="003A11FB" w:rsidP="0024627B">
            <w:pPr>
              <w:spacing w:before="0" w:after="0"/>
              <w:ind w:left="530"/>
              <w:jc w:val="right"/>
              <w:rPr>
                <w:bCs/>
              </w:rPr>
            </w:pPr>
            <w:r w:rsidRPr="00037A46">
              <w:rPr>
                <w:bCs/>
              </w:rPr>
              <w:t>4x2x400</w:t>
            </w:r>
          </w:p>
        </w:tc>
      </w:tr>
      <w:tr w:rsidR="003A11FB" w:rsidRPr="00037A46" w14:paraId="754D938B" w14:textId="77777777">
        <w:trPr>
          <w:trHeight w:val="284"/>
          <w:jc w:val="center"/>
        </w:trPr>
        <w:tc>
          <w:tcPr>
            <w:tcW w:w="1291" w:type="dxa"/>
            <w:tcBorders>
              <w:top w:val="nil"/>
              <w:bottom w:val="nil"/>
              <w:right w:val="single" w:sz="8" w:space="0" w:color="auto"/>
            </w:tcBorders>
            <w:shd w:val="clear" w:color="auto" w:fill="C0C0C0"/>
            <w:noWrap/>
            <w:vAlign w:val="bottom"/>
          </w:tcPr>
          <w:p w14:paraId="436FF645" w14:textId="77777777" w:rsidR="003A11FB" w:rsidRPr="00037A46" w:rsidRDefault="003A11FB" w:rsidP="003A11FB">
            <w:pPr>
              <w:spacing w:before="0" w:after="0"/>
              <w:rPr>
                <w:b/>
                <w:bCs/>
              </w:rPr>
            </w:pPr>
            <w:r w:rsidRPr="00037A46">
              <w:rPr>
                <w:b/>
                <w:bCs/>
              </w:rPr>
              <w:t> </w:t>
            </w:r>
          </w:p>
        </w:tc>
        <w:tc>
          <w:tcPr>
            <w:tcW w:w="1276" w:type="dxa"/>
            <w:tcBorders>
              <w:top w:val="nil"/>
              <w:left w:val="single" w:sz="8" w:space="0" w:color="auto"/>
              <w:bottom w:val="nil"/>
              <w:right w:val="single" w:sz="8" w:space="0" w:color="auto"/>
            </w:tcBorders>
            <w:noWrap/>
            <w:vAlign w:val="bottom"/>
          </w:tcPr>
          <w:p w14:paraId="3947864A" w14:textId="77777777" w:rsidR="003A11FB" w:rsidRPr="00037A46" w:rsidRDefault="003A11FB" w:rsidP="003A11FB">
            <w:pPr>
              <w:spacing w:before="0" w:after="0"/>
              <w:jc w:val="right"/>
              <w:rPr>
                <w:bCs/>
              </w:rPr>
            </w:pPr>
          </w:p>
        </w:tc>
        <w:tc>
          <w:tcPr>
            <w:tcW w:w="1692" w:type="dxa"/>
            <w:tcBorders>
              <w:top w:val="nil"/>
              <w:left w:val="single" w:sz="8" w:space="0" w:color="auto"/>
              <w:bottom w:val="nil"/>
              <w:right w:val="single" w:sz="8" w:space="0" w:color="auto"/>
            </w:tcBorders>
            <w:noWrap/>
            <w:vAlign w:val="bottom"/>
          </w:tcPr>
          <w:p w14:paraId="07F79AD4" w14:textId="77777777" w:rsidR="003A11FB" w:rsidRPr="00037A46" w:rsidRDefault="003A11FB" w:rsidP="003A11FB">
            <w:pPr>
              <w:spacing w:before="0" w:after="0"/>
              <w:ind w:left="0"/>
              <w:jc w:val="right"/>
              <w:rPr>
                <w:bCs/>
              </w:rPr>
            </w:pPr>
            <w:r w:rsidRPr="00037A46">
              <w:rPr>
                <w:bCs/>
              </w:rPr>
              <w:t>1x2x400</w:t>
            </w:r>
          </w:p>
        </w:tc>
        <w:tc>
          <w:tcPr>
            <w:tcW w:w="1692" w:type="dxa"/>
            <w:tcBorders>
              <w:top w:val="nil"/>
              <w:left w:val="single" w:sz="8" w:space="0" w:color="auto"/>
              <w:bottom w:val="nil"/>
              <w:right w:val="single" w:sz="8" w:space="0" w:color="auto"/>
            </w:tcBorders>
            <w:noWrap/>
            <w:vAlign w:val="bottom"/>
          </w:tcPr>
          <w:p w14:paraId="40FB779B" w14:textId="77777777" w:rsidR="003A11FB" w:rsidRPr="00037A46" w:rsidRDefault="003A11FB" w:rsidP="003A11FB">
            <w:pPr>
              <w:spacing w:before="0" w:after="0"/>
              <w:ind w:left="0"/>
              <w:jc w:val="right"/>
              <w:rPr>
                <w:bCs/>
              </w:rPr>
            </w:pPr>
            <w:r w:rsidRPr="00037A46">
              <w:rPr>
                <w:bCs/>
              </w:rPr>
              <w:t>1x2x350</w:t>
            </w:r>
          </w:p>
        </w:tc>
        <w:tc>
          <w:tcPr>
            <w:tcW w:w="1692" w:type="dxa"/>
            <w:tcBorders>
              <w:top w:val="nil"/>
              <w:left w:val="single" w:sz="8" w:space="0" w:color="auto"/>
              <w:bottom w:val="nil"/>
              <w:right w:val="single" w:sz="8" w:space="0" w:color="auto"/>
            </w:tcBorders>
            <w:noWrap/>
            <w:vAlign w:val="bottom"/>
          </w:tcPr>
          <w:p w14:paraId="0A283ED1" w14:textId="77777777" w:rsidR="003A11FB" w:rsidRPr="00037A46" w:rsidRDefault="003A11FB" w:rsidP="003A11FB">
            <w:pPr>
              <w:spacing w:before="0" w:after="0"/>
              <w:jc w:val="right"/>
              <w:rPr>
                <w:bCs/>
              </w:rPr>
            </w:pPr>
          </w:p>
        </w:tc>
        <w:tc>
          <w:tcPr>
            <w:tcW w:w="1050" w:type="dxa"/>
            <w:tcBorders>
              <w:top w:val="nil"/>
              <w:left w:val="single" w:sz="8" w:space="0" w:color="auto"/>
              <w:bottom w:val="nil"/>
            </w:tcBorders>
            <w:vAlign w:val="bottom"/>
          </w:tcPr>
          <w:p w14:paraId="44FE92AB" w14:textId="77777777" w:rsidR="003A11FB" w:rsidRPr="00037A46" w:rsidRDefault="003A11FB" w:rsidP="0024627B">
            <w:pPr>
              <w:spacing w:before="0" w:after="0"/>
              <w:ind w:left="530"/>
              <w:jc w:val="right"/>
              <w:rPr>
                <w:bCs/>
              </w:rPr>
            </w:pPr>
            <w:r w:rsidRPr="00037A46">
              <w:rPr>
                <w:bCs/>
              </w:rPr>
              <w:t>1x2x500</w:t>
            </w:r>
          </w:p>
        </w:tc>
      </w:tr>
      <w:tr w:rsidR="003A11FB" w:rsidRPr="00037A46" w14:paraId="538DF067" w14:textId="77777777">
        <w:trPr>
          <w:trHeight w:val="284"/>
          <w:jc w:val="center"/>
        </w:trPr>
        <w:tc>
          <w:tcPr>
            <w:tcW w:w="1291" w:type="dxa"/>
            <w:tcBorders>
              <w:top w:val="nil"/>
              <w:bottom w:val="nil"/>
              <w:right w:val="single" w:sz="8" w:space="0" w:color="auto"/>
            </w:tcBorders>
            <w:shd w:val="clear" w:color="auto" w:fill="C0C0C0"/>
            <w:noWrap/>
            <w:vAlign w:val="bottom"/>
          </w:tcPr>
          <w:p w14:paraId="3C222B24" w14:textId="77777777" w:rsidR="003A11FB" w:rsidRPr="00037A46" w:rsidRDefault="003A11FB" w:rsidP="003A11FB">
            <w:pPr>
              <w:spacing w:before="0" w:after="0"/>
              <w:rPr>
                <w:b/>
                <w:bCs/>
              </w:rPr>
            </w:pPr>
            <w:r w:rsidRPr="00037A46">
              <w:rPr>
                <w:b/>
                <w:bCs/>
              </w:rPr>
              <w:t> </w:t>
            </w:r>
          </w:p>
        </w:tc>
        <w:tc>
          <w:tcPr>
            <w:tcW w:w="1276" w:type="dxa"/>
            <w:tcBorders>
              <w:top w:val="nil"/>
              <w:left w:val="single" w:sz="8" w:space="0" w:color="auto"/>
              <w:bottom w:val="nil"/>
              <w:right w:val="single" w:sz="8" w:space="0" w:color="auto"/>
            </w:tcBorders>
            <w:noWrap/>
            <w:vAlign w:val="bottom"/>
          </w:tcPr>
          <w:p w14:paraId="05DDD06F" w14:textId="77777777" w:rsidR="003A11FB" w:rsidRPr="00037A46" w:rsidRDefault="003A11FB" w:rsidP="003A11FB">
            <w:pPr>
              <w:spacing w:before="0" w:after="0"/>
              <w:jc w:val="right"/>
              <w:rPr>
                <w:bCs/>
              </w:rPr>
            </w:pPr>
          </w:p>
        </w:tc>
        <w:tc>
          <w:tcPr>
            <w:tcW w:w="1692" w:type="dxa"/>
            <w:tcBorders>
              <w:top w:val="nil"/>
              <w:left w:val="single" w:sz="8" w:space="0" w:color="auto"/>
              <w:bottom w:val="nil"/>
              <w:right w:val="single" w:sz="8" w:space="0" w:color="auto"/>
            </w:tcBorders>
            <w:noWrap/>
            <w:vAlign w:val="bottom"/>
          </w:tcPr>
          <w:p w14:paraId="2991E953" w14:textId="77777777" w:rsidR="003A11FB" w:rsidRPr="00037A46" w:rsidRDefault="003A11FB" w:rsidP="003A11FB">
            <w:pPr>
              <w:spacing w:before="0" w:after="0"/>
              <w:ind w:left="0"/>
              <w:jc w:val="right"/>
              <w:rPr>
                <w:bCs/>
              </w:rPr>
            </w:pPr>
            <w:r w:rsidRPr="00037A46">
              <w:rPr>
                <w:bCs/>
              </w:rPr>
              <w:t>1x2x350</w:t>
            </w:r>
          </w:p>
        </w:tc>
        <w:tc>
          <w:tcPr>
            <w:tcW w:w="1692" w:type="dxa"/>
            <w:tcBorders>
              <w:top w:val="nil"/>
              <w:left w:val="single" w:sz="8" w:space="0" w:color="auto"/>
              <w:bottom w:val="nil"/>
              <w:right w:val="single" w:sz="8" w:space="0" w:color="auto"/>
            </w:tcBorders>
            <w:noWrap/>
            <w:vAlign w:val="bottom"/>
          </w:tcPr>
          <w:p w14:paraId="5DB0D511" w14:textId="77777777" w:rsidR="003A11FB" w:rsidRPr="00037A46" w:rsidRDefault="003A11FB" w:rsidP="003A11FB">
            <w:pPr>
              <w:spacing w:before="0" w:after="0"/>
              <w:ind w:left="0"/>
              <w:jc w:val="right"/>
              <w:rPr>
                <w:bCs/>
              </w:rPr>
            </w:pPr>
            <w:r w:rsidRPr="00037A46">
              <w:rPr>
                <w:bCs/>
              </w:rPr>
              <w:t>1x2x400</w:t>
            </w:r>
          </w:p>
        </w:tc>
        <w:tc>
          <w:tcPr>
            <w:tcW w:w="1692" w:type="dxa"/>
            <w:tcBorders>
              <w:top w:val="nil"/>
              <w:left w:val="single" w:sz="8" w:space="0" w:color="auto"/>
              <w:bottom w:val="nil"/>
              <w:right w:val="single" w:sz="8" w:space="0" w:color="auto"/>
            </w:tcBorders>
            <w:noWrap/>
            <w:vAlign w:val="bottom"/>
          </w:tcPr>
          <w:p w14:paraId="63EAC4B1" w14:textId="77777777" w:rsidR="003A11FB" w:rsidRPr="00037A46" w:rsidRDefault="003A11FB" w:rsidP="003A11FB">
            <w:pPr>
              <w:spacing w:before="0" w:after="0"/>
              <w:jc w:val="right"/>
              <w:rPr>
                <w:bCs/>
              </w:rPr>
            </w:pPr>
          </w:p>
        </w:tc>
        <w:tc>
          <w:tcPr>
            <w:tcW w:w="1050" w:type="dxa"/>
            <w:tcBorders>
              <w:top w:val="nil"/>
              <w:left w:val="single" w:sz="8" w:space="0" w:color="auto"/>
              <w:bottom w:val="nil"/>
            </w:tcBorders>
            <w:vAlign w:val="bottom"/>
          </w:tcPr>
          <w:p w14:paraId="40889A22" w14:textId="77777777" w:rsidR="003A11FB" w:rsidRPr="00037A46" w:rsidRDefault="003A11FB" w:rsidP="0024627B">
            <w:pPr>
              <w:spacing w:before="0" w:after="0"/>
              <w:ind w:left="530"/>
              <w:jc w:val="right"/>
              <w:rPr>
                <w:bCs/>
              </w:rPr>
            </w:pPr>
            <w:r w:rsidRPr="00037A46">
              <w:rPr>
                <w:bCs/>
              </w:rPr>
              <w:t>3x2x600</w:t>
            </w:r>
          </w:p>
        </w:tc>
      </w:tr>
      <w:tr w:rsidR="003A11FB" w:rsidRPr="00037A46" w14:paraId="3A7A1EE4" w14:textId="77777777">
        <w:trPr>
          <w:trHeight w:val="284"/>
          <w:jc w:val="center"/>
        </w:trPr>
        <w:tc>
          <w:tcPr>
            <w:tcW w:w="1291" w:type="dxa"/>
            <w:tcBorders>
              <w:top w:val="nil"/>
              <w:bottom w:val="nil"/>
              <w:right w:val="single" w:sz="8" w:space="0" w:color="auto"/>
            </w:tcBorders>
            <w:shd w:val="clear" w:color="auto" w:fill="C0C0C0"/>
            <w:noWrap/>
            <w:vAlign w:val="bottom"/>
          </w:tcPr>
          <w:p w14:paraId="074C8865" w14:textId="77777777" w:rsidR="003A11FB" w:rsidRPr="00037A46" w:rsidRDefault="003A11FB" w:rsidP="003A11FB">
            <w:pPr>
              <w:spacing w:before="0" w:after="0"/>
              <w:rPr>
                <w:b/>
                <w:bCs/>
              </w:rPr>
            </w:pPr>
            <w:r w:rsidRPr="00037A46">
              <w:rPr>
                <w:b/>
                <w:bCs/>
              </w:rPr>
              <w:t> </w:t>
            </w:r>
          </w:p>
        </w:tc>
        <w:tc>
          <w:tcPr>
            <w:tcW w:w="1276" w:type="dxa"/>
            <w:tcBorders>
              <w:top w:val="nil"/>
              <w:left w:val="single" w:sz="8" w:space="0" w:color="auto"/>
              <w:bottom w:val="nil"/>
              <w:right w:val="single" w:sz="8" w:space="0" w:color="auto"/>
            </w:tcBorders>
            <w:noWrap/>
            <w:vAlign w:val="bottom"/>
          </w:tcPr>
          <w:p w14:paraId="1E195087" w14:textId="77777777" w:rsidR="003A11FB" w:rsidRPr="00037A46" w:rsidRDefault="003A11FB" w:rsidP="003A11FB">
            <w:pPr>
              <w:spacing w:before="0" w:after="0"/>
              <w:jc w:val="right"/>
              <w:rPr>
                <w:bCs/>
              </w:rPr>
            </w:pPr>
          </w:p>
        </w:tc>
        <w:tc>
          <w:tcPr>
            <w:tcW w:w="1692" w:type="dxa"/>
            <w:tcBorders>
              <w:top w:val="nil"/>
              <w:left w:val="single" w:sz="8" w:space="0" w:color="auto"/>
              <w:bottom w:val="nil"/>
              <w:right w:val="single" w:sz="8" w:space="0" w:color="auto"/>
            </w:tcBorders>
            <w:noWrap/>
            <w:vAlign w:val="bottom"/>
          </w:tcPr>
          <w:p w14:paraId="4C33099C" w14:textId="77777777" w:rsidR="003A11FB" w:rsidRPr="00037A46" w:rsidRDefault="003A11FB" w:rsidP="003A11FB">
            <w:pPr>
              <w:spacing w:before="0" w:after="0"/>
              <w:ind w:left="0"/>
              <w:jc w:val="right"/>
              <w:rPr>
                <w:bCs/>
              </w:rPr>
            </w:pPr>
            <w:r w:rsidRPr="00037A46">
              <w:rPr>
                <w:bCs/>
              </w:rPr>
              <w:t>1x2x400</w:t>
            </w:r>
          </w:p>
        </w:tc>
        <w:tc>
          <w:tcPr>
            <w:tcW w:w="1692" w:type="dxa"/>
            <w:tcBorders>
              <w:top w:val="nil"/>
              <w:left w:val="single" w:sz="8" w:space="0" w:color="auto"/>
              <w:bottom w:val="nil"/>
              <w:right w:val="single" w:sz="8" w:space="0" w:color="auto"/>
            </w:tcBorders>
            <w:noWrap/>
            <w:vAlign w:val="bottom"/>
          </w:tcPr>
          <w:p w14:paraId="5D0472D9" w14:textId="77777777" w:rsidR="003A11FB" w:rsidRPr="00037A46" w:rsidRDefault="003A11FB" w:rsidP="003A11FB">
            <w:pPr>
              <w:spacing w:before="0" w:after="0"/>
              <w:ind w:left="0"/>
              <w:jc w:val="right"/>
              <w:rPr>
                <w:bCs/>
              </w:rPr>
            </w:pPr>
            <w:r w:rsidRPr="00037A46">
              <w:rPr>
                <w:bCs/>
              </w:rPr>
              <w:t>1x2x350</w:t>
            </w:r>
          </w:p>
        </w:tc>
        <w:tc>
          <w:tcPr>
            <w:tcW w:w="1692" w:type="dxa"/>
            <w:tcBorders>
              <w:top w:val="nil"/>
              <w:left w:val="single" w:sz="8" w:space="0" w:color="auto"/>
              <w:bottom w:val="nil"/>
              <w:right w:val="single" w:sz="8" w:space="0" w:color="auto"/>
            </w:tcBorders>
            <w:noWrap/>
            <w:vAlign w:val="bottom"/>
          </w:tcPr>
          <w:p w14:paraId="0EB6CC1F" w14:textId="77777777" w:rsidR="003A11FB" w:rsidRPr="00037A46" w:rsidRDefault="003A11FB" w:rsidP="003A11FB">
            <w:pPr>
              <w:spacing w:before="0" w:after="0"/>
              <w:jc w:val="right"/>
              <w:rPr>
                <w:bCs/>
              </w:rPr>
            </w:pPr>
          </w:p>
        </w:tc>
        <w:tc>
          <w:tcPr>
            <w:tcW w:w="1050" w:type="dxa"/>
            <w:tcBorders>
              <w:top w:val="nil"/>
              <w:left w:val="single" w:sz="8" w:space="0" w:color="auto"/>
              <w:bottom w:val="nil"/>
            </w:tcBorders>
            <w:vAlign w:val="bottom"/>
          </w:tcPr>
          <w:p w14:paraId="15C17A36" w14:textId="77777777" w:rsidR="003A11FB" w:rsidRPr="00037A46" w:rsidRDefault="003A11FB" w:rsidP="0024627B">
            <w:pPr>
              <w:spacing w:before="0" w:after="0"/>
              <w:ind w:left="530"/>
              <w:jc w:val="right"/>
              <w:rPr>
                <w:bCs/>
              </w:rPr>
            </w:pPr>
          </w:p>
        </w:tc>
      </w:tr>
      <w:tr w:rsidR="003A11FB" w:rsidRPr="00037A46" w14:paraId="490805E6" w14:textId="77777777">
        <w:trPr>
          <w:trHeight w:val="284"/>
          <w:jc w:val="center"/>
        </w:trPr>
        <w:tc>
          <w:tcPr>
            <w:tcW w:w="1291" w:type="dxa"/>
            <w:tcBorders>
              <w:top w:val="nil"/>
              <w:bottom w:val="nil"/>
              <w:right w:val="single" w:sz="8" w:space="0" w:color="auto"/>
            </w:tcBorders>
            <w:shd w:val="clear" w:color="auto" w:fill="C0C0C0"/>
            <w:noWrap/>
            <w:vAlign w:val="bottom"/>
          </w:tcPr>
          <w:p w14:paraId="79FFF049" w14:textId="77777777" w:rsidR="003A11FB" w:rsidRPr="00037A46" w:rsidRDefault="003A11FB" w:rsidP="003A11FB">
            <w:pPr>
              <w:spacing w:before="0" w:after="0"/>
              <w:rPr>
                <w:b/>
                <w:bCs/>
              </w:rPr>
            </w:pPr>
            <w:r w:rsidRPr="00037A46">
              <w:rPr>
                <w:b/>
                <w:bCs/>
              </w:rPr>
              <w:t> </w:t>
            </w:r>
          </w:p>
        </w:tc>
        <w:tc>
          <w:tcPr>
            <w:tcW w:w="1276" w:type="dxa"/>
            <w:tcBorders>
              <w:top w:val="nil"/>
              <w:left w:val="single" w:sz="8" w:space="0" w:color="auto"/>
              <w:bottom w:val="nil"/>
              <w:right w:val="single" w:sz="8" w:space="0" w:color="auto"/>
            </w:tcBorders>
            <w:noWrap/>
            <w:vAlign w:val="bottom"/>
          </w:tcPr>
          <w:p w14:paraId="6AB20A17" w14:textId="77777777" w:rsidR="003A11FB" w:rsidRPr="00037A46" w:rsidRDefault="003A11FB" w:rsidP="003A11FB">
            <w:pPr>
              <w:spacing w:before="0" w:after="0"/>
              <w:jc w:val="right"/>
              <w:rPr>
                <w:bCs/>
              </w:rPr>
            </w:pPr>
          </w:p>
        </w:tc>
        <w:tc>
          <w:tcPr>
            <w:tcW w:w="1692" w:type="dxa"/>
            <w:tcBorders>
              <w:top w:val="nil"/>
              <w:left w:val="single" w:sz="8" w:space="0" w:color="auto"/>
              <w:bottom w:val="nil"/>
              <w:right w:val="single" w:sz="8" w:space="0" w:color="auto"/>
            </w:tcBorders>
            <w:noWrap/>
            <w:vAlign w:val="bottom"/>
          </w:tcPr>
          <w:p w14:paraId="4B3A1203" w14:textId="77777777" w:rsidR="003A11FB" w:rsidRPr="00037A46" w:rsidRDefault="003A11FB" w:rsidP="003A11FB">
            <w:pPr>
              <w:spacing w:before="0" w:after="0"/>
              <w:ind w:left="0"/>
              <w:jc w:val="right"/>
              <w:rPr>
                <w:bCs/>
              </w:rPr>
            </w:pPr>
            <w:r w:rsidRPr="00037A46">
              <w:rPr>
                <w:bCs/>
              </w:rPr>
              <w:t>2x2x350</w:t>
            </w:r>
          </w:p>
        </w:tc>
        <w:tc>
          <w:tcPr>
            <w:tcW w:w="1692" w:type="dxa"/>
            <w:tcBorders>
              <w:top w:val="nil"/>
              <w:left w:val="single" w:sz="8" w:space="0" w:color="auto"/>
              <w:bottom w:val="nil"/>
              <w:right w:val="single" w:sz="8" w:space="0" w:color="auto"/>
            </w:tcBorders>
            <w:noWrap/>
            <w:vAlign w:val="bottom"/>
          </w:tcPr>
          <w:p w14:paraId="0DD1C806" w14:textId="77777777" w:rsidR="003A11FB" w:rsidRPr="00037A46" w:rsidRDefault="003A11FB" w:rsidP="003A11FB">
            <w:pPr>
              <w:spacing w:before="0" w:after="0"/>
              <w:ind w:left="0"/>
              <w:jc w:val="right"/>
              <w:rPr>
                <w:bCs/>
              </w:rPr>
            </w:pPr>
            <w:r w:rsidRPr="00037A46">
              <w:rPr>
                <w:bCs/>
              </w:rPr>
              <w:t>1x2x400</w:t>
            </w:r>
          </w:p>
        </w:tc>
        <w:tc>
          <w:tcPr>
            <w:tcW w:w="1692" w:type="dxa"/>
            <w:tcBorders>
              <w:top w:val="nil"/>
              <w:left w:val="single" w:sz="8" w:space="0" w:color="auto"/>
              <w:bottom w:val="nil"/>
              <w:right w:val="single" w:sz="8" w:space="0" w:color="auto"/>
            </w:tcBorders>
            <w:noWrap/>
            <w:vAlign w:val="bottom"/>
          </w:tcPr>
          <w:p w14:paraId="43F333DE" w14:textId="77777777" w:rsidR="003A11FB" w:rsidRPr="00037A46" w:rsidRDefault="003A11FB" w:rsidP="003A11FB">
            <w:pPr>
              <w:spacing w:before="0" w:after="0"/>
              <w:jc w:val="right"/>
              <w:rPr>
                <w:bCs/>
              </w:rPr>
            </w:pPr>
          </w:p>
        </w:tc>
        <w:tc>
          <w:tcPr>
            <w:tcW w:w="1050" w:type="dxa"/>
            <w:tcBorders>
              <w:top w:val="nil"/>
              <w:left w:val="single" w:sz="8" w:space="0" w:color="auto"/>
              <w:bottom w:val="nil"/>
            </w:tcBorders>
            <w:vAlign w:val="bottom"/>
          </w:tcPr>
          <w:p w14:paraId="6419B37F" w14:textId="77777777" w:rsidR="003A11FB" w:rsidRPr="00037A46" w:rsidRDefault="003A11FB" w:rsidP="0024627B">
            <w:pPr>
              <w:spacing w:before="0" w:after="0"/>
              <w:ind w:left="530"/>
              <w:jc w:val="right"/>
              <w:rPr>
                <w:bCs/>
              </w:rPr>
            </w:pPr>
          </w:p>
        </w:tc>
      </w:tr>
      <w:tr w:rsidR="003A11FB" w:rsidRPr="00037A46" w14:paraId="03BC8C62" w14:textId="77777777">
        <w:trPr>
          <w:trHeight w:val="284"/>
          <w:jc w:val="center"/>
        </w:trPr>
        <w:tc>
          <w:tcPr>
            <w:tcW w:w="1291" w:type="dxa"/>
            <w:tcBorders>
              <w:top w:val="nil"/>
              <w:bottom w:val="nil"/>
              <w:right w:val="single" w:sz="8" w:space="0" w:color="auto"/>
            </w:tcBorders>
            <w:shd w:val="clear" w:color="auto" w:fill="C0C0C0"/>
            <w:noWrap/>
            <w:vAlign w:val="bottom"/>
          </w:tcPr>
          <w:p w14:paraId="53D71E92" w14:textId="77777777" w:rsidR="003A11FB" w:rsidRPr="00037A46" w:rsidRDefault="003A11FB" w:rsidP="003A11FB">
            <w:pPr>
              <w:spacing w:before="0" w:after="0"/>
              <w:rPr>
                <w:b/>
                <w:bCs/>
              </w:rPr>
            </w:pPr>
            <w:r w:rsidRPr="00037A46">
              <w:rPr>
                <w:b/>
                <w:bCs/>
              </w:rPr>
              <w:t> </w:t>
            </w:r>
          </w:p>
        </w:tc>
        <w:tc>
          <w:tcPr>
            <w:tcW w:w="1276" w:type="dxa"/>
            <w:tcBorders>
              <w:top w:val="nil"/>
              <w:left w:val="single" w:sz="8" w:space="0" w:color="auto"/>
              <w:bottom w:val="nil"/>
              <w:right w:val="single" w:sz="8" w:space="0" w:color="auto"/>
            </w:tcBorders>
            <w:noWrap/>
            <w:vAlign w:val="bottom"/>
          </w:tcPr>
          <w:p w14:paraId="7EBCB4F5" w14:textId="77777777" w:rsidR="003A11FB" w:rsidRPr="00037A46" w:rsidRDefault="003A11FB" w:rsidP="003A11FB">
            <w:pPr>
              <w:spacing w:before="0" w:after="0"/>
              <w:jc w:val="right"/>
              <w:rPr>
                <w:bCs/>
              </w:rPr>
            </w:pPr>
          </w:p>
        </w:tc>
        <w:tc>
          <w:tcPr>
            <w:tcW w:w="1692" w:type="dxa"/>
            <w:tcBorders>
              <w:top w:val="nil"/>
              <w:left w:val="single" w:sz="8" w:space="0" w:color="auto"/>
              <w:bottom w:val="nil"/>
              <w:right w:val="single" w:sz="8" w:space="0" w:color="auto"/>
            </w:tcBorders>
            <w:noWrap/>
            <w:vAlign w:val="bottom"/>
          </w:tcPr>
          <w:p w14:paraId="287706C1" w14:textId="77777777" w:rsidR="003A11FB" w:rsidRPr="00037A46" w:rsidRDefault="003A11FB" w:rsidP="003A11FB">
            <w:pPr>
              <w:spacing w:before="0" w:after="0"/>
              <w:ind w:left="0"/>
              <w:jc w:val="right"/>
              <w:rPr>
                <w:bCs/>
              </w:rPr>
            </w:pPr>
            <w:r w:rsidRPr="00037A46">
              <w:rPr>
                <w:bCs/>
              </w:rPr>
              <w:t>1x2x400</w:t>
            </w:r>
          </w:p>
        </w:tc>
        <w:tc>
          <w:tcPr>
            <w:tcW w:w="1692" w:type="dxa"/>
            <w:tcBorders>
              <w:top w:val="nil"/>
              <w:left w:val="single" w:sz="8" w:space="0" w:color="auto"/>
              <w:bottom w:val="nil"/>
              <w:right w:val="single" w:sz="8" w:space="0" w:color="auto"/>
            </w:tcBorders>
            <w:noWrap/>
            <w:vAlign w:val="bottom"/>
          </w:tcPr>
          <w:p w14:paraId="794AD561" w14:textId="77777777" w:rsidR="003A11FB" w:rsidRPr="00037A46" w:rsidRDefault="003A11FB" w:rsidP="003A11FB">
            <w:pPr>
              <w:spacing w:before="0" w:after="0"/>
              <w:ind w:left="0"/>
              <w:jc w:val="right"/>
              <w:rPr>
                <w:bCs/>
              </w:rPr>
            </w:pPr>
            <w:r w:rsidRPr="00037A46">
              <w:rPr>
                <w:bCs/>
              </w:rPr>
              <w:t>1x2x350</w:t>
            </w:r>
          </w:p>
        </w:tc>
        <w:tc>
          <w:tcPr>
            <w:tcW w:w="1692" w:type="dxa"/>
            <w:tcBorders>
              <w:top w:val="nil"/>
              <w:left w:val="single" w:sz="8" w:space="0" w:color="auto"/>
              <w:bottom w:val="nil"/>
              <w:right w:val="single" w:sz="8" w:space="0" w:color="auto"/>
            </w:tcBorders>
            <w:noWrap/>
            <w:vAlign w:val="bottom"/>
          </w:tcPr>
          <w:p w14:paraId="46E8DE14" w14:textId="77777777" w:rsidR="003A11FB" w:rsidRPr="00037A46" w:rsidRDefault="003A11FB" w:rsidP="003A11FB">
            <w:pPr>
              <w:spacing w:before="0" w:after="0"/>
              <w:jc w:val="right"/>
              <w:rPr>
                <w:bCs/>
              </w:rPr>
            </w:pPr>
          </w:p>
        </w:tc>
        <w:tc>
          <w:tcPr>
            <w:tcW w:w="1050" w:type="dxa"/>
            <w:tcBorders>
              <w:top w:val="nil"/>
              <w:left w:val="single" w:sz="8" w:space="0" w:color="auto"/>
              <w:bottom w:val="nil"/>
            </w:tcBorders>
            <w:vAlign w:val="bottom"/>
          </w:tcPr>
          <w:p w14:paraId="6E9C7835" w14:textId="77777777" w:rsidR="003A11FB" w:rsidRPr="00037A46" w:rsidRDefault="003A11FB" w:rsidP="0024627B">
            <w:pPr>
              <w:spacing w:before="0" w:after="0"/>
              <w:ind w:left="530"/>
              <w:jc w:val="right"/>
              <w:rPr>
                <w:bCs/>
              </w:rPr>
            </w:pPr>
          </w:p>
        </w:tc>
      </w:tr>
      <w:tr w:rsidR="003A11FB" w:rsidRPr="00037A46" w14:paraId="4123F5EC" w14:textId="77777777">
        <w:trPr>
          <w:trHeight w:val="284"/>
          <w:jc w:val="center"/>
        </w:trPr>
        <w:tc>
          <w:tcPr>
            <w:tcW w:w="1291" w:type="dxa"/>
            <w:tcBorders>
              <w:top w:val="nil"/>
              <w:bottom w:val="nil"/>
              <w:right w:val="single" w:sz="8" w:space="0" w:color="auto"/>
            </w:tcBorders>
            <w:shd w:val="clear" w:color="auto" w:fill="C0C0C0"/>
            <w:noWrap/>
            <w:vAlign w:val="bottom"/>
          </w:tcPr>
          <w:p w14:paraId="73623A47" w14:textId="77777777" w:rsidR="003A11FB" w:rsidRPr="00037A46" w:rsidRDefault="003A11FB" w:rsidP="003A11FB">
            <w:pPr>
              <w:spacing w:before="0" w:after="0"/>
              <w:rPr>
                <w:b/>
                <w:bCs/>
              </w:rPr>
            </w:pPr>
            <w:r w:rsidRPr="00037A46">
              <w:rPr>
                <w:b/>
                <w:bCs/>
              </w:rPr>
              <w:t> </w:t>
            </w:r>
          </w:p>
        </w:tc>
        <w:tc>
          <w:tcPr>
            <w:tcW w:w="1276" w:type="dxa"/>
            <w:tcBorders>
              <w:top w:val="nil"/>
              <w:left w:val="single" w:sz="8" w:space="0" w:color="auto"/>
              <w:bottom w:val="nil"/>
              <w:right w:val="single" w:sz="8" w:space="0" w:color="auto"/>
            </w:tcBorders>
            <w:noWrap/>
            <w:vAlign w:val="bottom"/>
          </w:tcPr>
          <w:p w14:paraId="1A62BC38" w14:textId="77777777" w:rsidR="003A11FB" w:rsidRPr="00037A46" w:rsidRDefault="003A11FB" w:rsidP="003A11FB">
            <w:pPr>
              <w:spacing w:before="0" w:after="0"/>
              <w:jc w:val="right"/>
              <w:rPr>
                <w:bCs/>
              </w:rPr>
            </w:pPr>
          </w:p>
        </w:tc>
        <w:tc>
          <w:tcPr>
            <w:tcW w:w="1692" w:type="dxa"/>
            <w:tcBorders>
              <w:top w:val="nil"/>
              <w:left w:val="single" w:sz="8" w:space="0" w:color="auto"/>
              <w:bottom w:val="nil"/>
              <w:right w:val="single" w:sz="8" w:space="0" w:color="auto"/>
            </w:tcBorders>
            <w:noWrap/>
            <w:vAlign w:val="bottom"/>
          </w:tcPr>
          <w:p w14:paraId="58DB5EB9" w14:textId="77777777" w:rsidR="003A11FB" w:rsidRPr="00037A46" w:rsidRDefault="003A11FB" w:rsidP="003A11FB">
            <w:pPr>
              <w:spacing w:before="0" w:after="0"/>
              <w:ind w:left="0"/>
              <w:jc w:val="right"/>
              <w:rPr>
                <w:bCs/>
              </w:rPr>
            </w:pPr>
            <w:r w:rsidRPr="00037A46">
              <w:rPr>
                <w:bCs/>
              </w:rPr>
              <w:t>1x2x350</w:t>
            </w:r>
          </w:p>
        </w:tc>
        <w:tc>
          <w:tcPr>
            <w:tcW w:w="1692" w:type="dxa"/>
            <w:tcBorders>
              <w:top w:val="nil"/>
              <w:left w:val="single" w:sz="8" w:space="0" w:color="auto"/>
              <w:bottom w:val="nil"/>
              <w:right w:val="single" w:sz="8" w:space="0" w:color="auto"/>
            </w:tcBorders>
            <w:noWrap/>
            <w:vAlign w:val="bottom"/>
          </w:tcPr>
          <w:p w14:paraId="72CDC9C1" w14:textId="77777777" w:rsidR="003A11FB" w:rsidRPr="00037A46" w:rsidRDefault="003A11FB" w:rsidP="003A11FB">
            <w:pPr>
              <w:spacing w:before="0" w:after="0"/>
              <w:ind w:left="0"/>
              <w:jc w:val="right"/>
              <w:rPr>
                <w:bCs/>
              </w:rPr>
            </w:pPr>
            <w:r w:rsidRPr="00037A46">
              <w:rPr>
                <w:bCs/>
              </w:rPr>
              <w:t>1x2x400</w:t>
            </w:r>
          </w:p>
        </w:tc>
        <w:tc>
          <w:tcPr>
            <w:tcW w:w="1692" w:type="dxa"/>
            <w:tcBorders>
              <w:top w:val="nil"/>
              <w:left w:val="single" w:sz="8" w:space="0" w:color="auto"/>
              <w:bottom w:val="nil"/>
              <w:right w:val="single" w:sz="8" w:space="0" w:color="auto"/>
            </w:tcBorders>
            <w:noWrap/>
            <w:vAlign w:val="bottom"/>
          </w:tcPr>
          <w:p w14:paraId="5BC1D631" w14:textId="77777777" w:rsidR="003A11FB" w:rsidRPr="00037A46" w:rsidRDefault="003A11FB" w:rsidP="003A11FB">
            <w:pPr>
              <w:spacing w:before="0" w:after="0"/>
              <w:jc w:val="right"/>
              <w:rPr>
                <w:bCs/>
              </w:rPr>
            </w:pPr>
          </w:p>
        </w:tc>
        <w:tc>
          <w:tcPr>
            <w:tcW w:w="1050" w:type="dxa"/>
            <w:tcBorders>
              <w:top w:val="nil"/>
              <w:left w:val="single" w:sz="8" w:space="0" w:color="auto"/>
              <w:bottom w:val="nil"/>
            </w:tcBorders>
            <w:vAlign w:val="bottom"/>
          </w:tcPr>
          <w:p w14:paraId="3642F0FD" w14:textId="77777777" w:rsidR="003A11FB" w:rsidRPr="00037A46" w:rsidRDefault="003A11FB" w:rsidP="0024627B">
            <w:pPr>
              <w:spacing w:before="0" w:after="0"/>
              <w:ind w:left="530"/>
              <w:jc w:val="right"/>
              <w:rPr>
                <w:bCs/>
              </w:rPr>
            </w:pPr>
          </w:p>
        </w:tc>
      </w:tr>
      <w:tr w:rsidR="003A11FB" w:rsidRPr="00037A46" w14:paraId="6AE202EC" w14:textId="77777777">
        <w:trPr>
          <w:trHeight w:val="284"/>
          <w:jc w:val="center"/>
        </w:trPr>
        <w:tc>
          <w:tcPr>
            <w:tcW w:w="1291" w:type="dxa"/>
            <w:tcBorders>
              <w:top w:val="nil"/>
              <w:bottom w:val="single" w:sz="8" w:space="0" w:color="auto"/>
              <w:right w:val="single" w:sz="8" w:space="0" w:color="auto"/>
            </w:tcBorders>
            <w:shd w:val="clear" w:color="auto" w:fill="C0C0C0"/>
            <w:noWrap/>
            <w:vAlign w:val="bottom"/>
          </w:tcPr>
          <w:p w14:paraId="1B9E3AAD" w14:textId="77777777" w:rsidR="003A11FB" w:rsidRPr="00037A46" w:rsidRDefault="003A11FB" w:rsidP="003A11FB">
            <w:pPr>
              <w:spacing w:before="0" w:after="0"/>
              <w:jc w:val="right"/>
              <w:rPr>
                <w:b/>
                <w:bCs/>
              </w:rPr>
            </w:pPr>
            <w:r w:rsidRPr="00037A46">
              <w:rPr>
                <w:b/>
                <w:bCs/>
              </w:rPr>
              <w:t> </w:t>
            </w:r>
          </w:p>
        </w:tc>
        <w:tc>
          <w:tcPr>
            <w:tcW w:w="1276" w:type="dxa"/>
            <w:tcBorders>
              <w:top w:val="nil"/>
              <w:left w:val="single" w:sz="8" w:space="0" w:color="auto"/>
              <w:bottom w:val="single" w:sz="8" w:space="0" w:color="auto"/>
              <w:right w:val="single" w:sz="8" w:space="0" w:color="auto"/>
            </w:tcBorders>
            <w:noWrap/>
            <w:vAlign w:val="bottom"/>
          </w:tcPr>
          <w:p w14:paraId="203DAD75" w14:textId="77777777" w:rsidR="003A11FB" w:rsidRPr="00037A46" w:rsidRDefault="003A11FB" w:rsidP="003A11FB">
            <w:pPr>
              <w:spacing w:before="0" w:after="0"/>
              <w:jc w:val="right"/>
              <w:rPr>
                <w:bCs/>
              </w:rPr>
            </w:pPr>
          </w:p>
        </w:tc>
        <w:tc>
          <w:tcPr>
            <w:tcW w:w="1692" w:type="dxa"/>
            <w:tcBorders>
              <w:top w:val="nil"/>
              <w:left w:val="single" w:sz="8" w:space="0" w:color="auto"/>
              <w:bottom w:val="single" w:sz="8" w:space="0" w:color="auto"/>
              <w:right w:val="single" w:sz="8" w:space="0" w:color="auto"/>
            </w:tcBorders>
            <w:noWrap/>
            <w:vAlign w:val="bottom"/>
          </w:tcPr>
          <w:p w14:paraId="7934143A" w14:textId="77777777" w:rsidR="003A11FB" w:rsidRPr="00037A46" w:rsidRDefault="003A11FB" w:rsidP="003A11FB">
            <w:pPr>
              <w:spacing w:before="0" w:after="0"/>
              <w:ind w:left="0"/>
              <w:jc w:val="right"/>
              <w:rPr>
                <w:bCs/>
              </w:rPr>
            </w:pPr>
            <w:r w:rsidRPr="00037A46">
              <w:rPr>
                <w:bCs/>
              </w:rPr>
              <w:t>1x2x500</w:t>
            </w:r>
          </w:p>
        </w:tc>
        <w:tc>
          <w:tcPr>
            <w:tcW w:w="1692" w:type="dxa"/>
            <w:tcBorders>
              <w:top w:val="nil"/>
              <w:left w:val="single" w:sz="8" w:space="0" w:color="auto"/>
              <w:bottom w:val="single" w:sz="8" w:space="0" w:color="auto"/>
              <w:right w:val="single" w:sz="8" w:space="0" w:color="auto"/>
            </w:tcBorders>
            <w:noWrap/>
            <w:vAlign w:val="bottom"/>
          </w:tcPr>
          <w:p w14:paraId="5DF8F426" w14:textId="77777777" w:rsidR="003A11FB" w:rsidRPr="00037A46" w:rsidRDefault="003A11FB" w:rsidP="003A11FB">
            <w:pPr>
              <w:spacing w:before="0" w:after="0"/>
              <w:ind w:left="0"/>
              <w:jc w:val="right"/>
              <w:rPr>
                <w:bCs/>
              </w:rPr>
            </w:pPr>
            <w:r w:rsidRPr="00037A46">
              <w:rPr>
                <w:bCs/>
              </w:rPr>
              <w:t>1x2x350</w:t>
            </w:r>
          </w:p>
        </w:tc>
        <w:tc>
          <w:tcPr>
            <w:tcW w:w="1692" w:type="dxa"/>
            <w:tcBorders>
              <w:top w:val="nil"/>
              <w:left w:val="single" w:sz="8" w:space="0" w:color="auto"/>
              <w:bottom w:val="single" w:sz="8" w:space="0" w:color="auto"/>
              <w:right w:val="single" w:sz="8" w:space="0" w:color="auto"/>
            </w:tcBorders>
            <w:noWrap/>
            <w:vAlign w:val="bottom"/>
          </w:tcPr>
          <w:p w14:paraId="32BB320B" w14:textId="77777777" w:rsidR="003A11FB" w:rsidRPr="00037A46" w:rsidRDefault="003A11FB" w:rsidP="003A11FB">
            <w:pPr>
              <w:spacing w:before="0" w:after="0"/>
              <w:jc w:val="right"/>
              <w:rPr>
                <w:bCs/>
              </w:rPr>
            </w:pPr>
          </w:p>
        </w:tc>
        <w:tc>
          <w:tcPr>
            <w:tcW w:w="1050" w:type="dxa"/>
            <w:tcBorders>
              <w:top w:val="nil"/>
              <w:left w:val="single" w:sz="8" w:space="0" w:color="auto"/>
              <w:bottom w:val="single" w:sz="8" w:space="0" w:color="auto"/>
            </w:tcBorders>
            <w:vAlign w:val="bottom"/>
          </w:tcPr>
          <w:p w14:paraId="527B9A79" w14:textId="77777777" w:rsidR="003A11FB" w:rsidRPr="00037A46" w:rsidRDefault="003A11FB" w:rsidP="0024627B">
            <w:pPr>
              <w:spacing w:before="0" w:after="0"/>
              <w:ind w:left="530"/>
              <w:jc w:val="right"/>
              <w:rPr>
                <w:bCs/>
              </w:rPr>
            </w:pPr>
          </w:p>
        </w:tc>
      </w:tr>
      <w:tr w:rsidR="003A11FB" w:rsidRPr="00037A46" w14:paraId="220C4707" w14:textId="77777777">
        <w:trPr>
          <w:trHeight w:val="284"/>
          <w:jc w:val="center"/>
        </w:trPr>
        <w:tc>
          <w:tcPr>
            <w:tcW w:w="1291" w:type="dxa"/>
            <w:tcBorders>
              <w:top w:val="single" w:sz="8" w:space="0" w:color="auto"/>
              <w:right w:val="single" w:sz="8" w:space="0" w:color="auto"/>
            </w:tcBorders>
            <w:shd w:val="clear" w:color="auto" w:fill="C0C0C0"/>
            <w:noWrap/>
            <w:vAlign w:val="bottom"/>
          </w:tcPr>
          <w:p w14:paraId="7B97184F" w14:textId="77777777" w:rsidR="003A11FB" w:rsidRPr="00037A46" w:rsidRDefault="003A11FB" w:rsidP="003A11FB">
            <w:pPr>
              <w:spacing w:before="0" w:after="0"/>
              <w:jc w:val="right"/>
              <w:rPr>
                <w:b/>
                <w:bCs/>
              </w:rPr>
            </w:pPr>
            <w:r w:rsidRPr="00037A46">
              <w:rPr>
                <w:b/>
                <w:bCs/>
              </w:rPr>
              <w:t>0</w:t>
            </w:r>
          </w:p>
        </w:tc>
        <w:tc>
          <w:tcPr>
            <w:tcW w:w="1276" w:type="dxa"/>
            <w:tcBorders>
              <w:top w:val="single" w:sz="8" w:space="0" w:color="auto"/>
              <w:left w:val="single" w:sz="8" w:space="0" w:color="auto"/>
              <w:right w:val="single" w:sz="8" w:space="0" w:color="auto"/>
            </w:tcBorders>
            <w:noWrap/>
            <w:vAlign w:val="bottom"/>
          </w:tcPr>
          <w:p w14:paraId="6E8C8336" w14:textId="77777777" w:rsidR="003A11FB" w:rsidRPr="00037A46" w:rsidRDefault="003A11FB" w:rsidP="003A11FB">
            <w:pPr>
              <w:spacing w:before="0" w:after="0"/>
              <w:ind w:left="0"/>
              <w:jc w:val="right"/>
              <w:rPr>
                <w:bCs/>
              </w:rPr>
            </w:pPr>
            <w:r w:rsidRPr="00037A46">
              <w:rPr>
                <w:bCs/>
              </w:rPr>
              <w:t>13.300</w:t>
            </w:r>
          </w:p>
        </w:tc>
        <w:tc>
          <w:tcPr>
            <w:tcW w:w="1692" w:type="dxa"/>
            <w:tcBorders>
              <w:top w:val="single" w:sz="8" w:space="0" w:color="auto"/>
              <w:left w:val="single" w:sz="8" w:space="0" w:color="auto"/>
              <w:right w:val="single" w:sz="8" w:space="0" w:color="auto"/>
            </w:tcBorders>
            <w:noWrap/>
            <w:vAlign w:val="bottom"/>
          </w:tcPr>
          <w:p w14:paraId="1F9299D8" w14:textId="77777777" w:rsidR="003A11FB" w:rsidRPr="00037A46" w:rsidRDefault="003A11FB" w:rsidP="003A11FB">
            <w:pPr>
              <w:spacing w:before="0" w:after="0"/>
              <w:jc w:val="right"/>
              <w:rPr>
                <w:bCs/>
              </w:rPr>
            </w:pPr>
            <w:r w:rsidRPr="00037A46">
              <w:rPr>
                <w:bCs/>
              </w:rPr>
              <w:t>14.300</w:t>
            </w:r>
          </w:p>
        </w:tc>
        <w:tc>
          <w:tcPr>
            <w:tcW w:w="1692" w:type="dxa"/>
            <w:tcBorders>
              <w:top w:val="single" w:sz="8" w:space="0" w:color="auto"/>
              <w:left w:val="single" w:sz="8" w:space="0" w:color="auto"/>
              <w:right w:val="single" w:sz="8" w:space="0" w:color="auto"/>
            </w:tcBorders>
            <w:noWrap/>
            <w:vAlign w:val="bottom"/>
          </w:tcPr>
          <w:p w14:paraId="5624A43F" w14:textId="77777777" w:rsidR="003A11FB" w:rsidRPr="00037A46" w:rsidRDefault="003A11FB" w:rsidP="003A11FB">
            <w:pPr>
              <w:spacing w:before="0" w:after="0"/>
              <w:jc w:val="right"/>
              <w:rPr>
                <w:bCs/>
              </w:rPr>
            </w:pPr>
            <w:r w:rsidRPr="00037A46">
              <w:rPr>
                <w:bCs/>
              </w:rPr>
              <w:t>15.500</w:t>
            </w:r>
          </w:p>
        </w:tc>
        <w:tc>
          <w:tcPr>
            <w:tcW w:w="1692" w:type="dxa"/>
            <w:tcBorders>
              <w:top w:val="single" w:sz="8" w:space="0" w:color="auto"/>
              <w:left w:val="single" w:sz="8" w:space="0" w:color="auto"/>
              <w:right w:val="single" w:sz="8" w:space="0" w:color="auto"/>
            </w:tcBorders>
            <w:noWrap/>
            <w:vAlign w:val="bottom"/>
          </w:tcPr>
          <w:p w14:paraId="56BDE83E" w14:textId="77777777" w:rsidR="003A11FB" w:rsidRPr="00037A46" w:rsidRDefault="003A11FB" w:rsidP="003A11FB">
            <w:pPr>
              <w:spacing w:before="0" w:after="0"/>
              <w:jc w:val="right"/>
              <w:rPr>
                <w:bCs/>
              </w:rPr>
            </w:pPr>
            <w:r w:rsidRPr="00037A46">
              <w:rPr>
                <w:bCs/>
              </w:rPr>
              <w:t>16.900</w:t>
            </w:r>
          </w:p>
        </w:tc>
        <w:tc>
          <w:tcPr>
            <w:tcW w:w="1050" w:type="dxa"/>
            <w:tcBorders>
              <w:top w:val="single" w:sz="8" w:space="0" w:color="auto"/>
              <w:left w:val="single" w:sz="8" w:space="0" w:color="auto"/>
            </w:tcBorders>
            <w:vAlign w:val="bottom"/>
          </w:tcPr>
          <w:p w14:paraId="4E8366D1" w14:textId="77777777" w:rsidR="003A11FB" w:rsidRPr="00037A46" w:rsidRDefault="003A11FB" w:rsidP="0024627B">
            <w:pPr>
              <w:spacing w:before="0" w:after="0"/>
              <w:ind w:left="530"/>
              <w:jc w:val="right"/>
              <w:rPr>
                <w:bCs/>
              </w:rPr>
            </w:pPr>
            <w:r w:rsidRPr="00037A46">
              <w:rPr>
                <w:bCs/>
              </w:rPr>
              <w:t>17.000</w:t>
            </w:r>
          </w:p>
        </w:tc>
      </w:tr>
      <w:tr w:rsidR="003A11FB" w:rsidRPr="00037A46" w14:paraId="169AF607" w14:textId="77777777">
        <w:trPr>
          <w:trHeight w:val="340"/>
          <w:jc w:val="center"/>
        </w:trPr>
        <w:tc>
          <w:tcPr>
            <w:tcW w:w="1291" w:type="dxa"/>
            <w:tcBorders>
              <w:right w:val="single" w:sz="8" w:space="0" w:color="auto"/>
            </w:tcBorders>
            <w:shd w:val="clear" w:color="auto" w:fill="C0C0C0"/>
            <w:noWrap/>
            <w:vAlign w:val="bottom"/>
          </w:tcPr>
          <w:p w14:paraId="4C0DAEFC" w14:textId="77777777" w:rsidR="003A11FB" w:rsidRPr="00037A46" w:rsidRDefault="003A11FB" w:rsidP="003A11FB">
            <w:pPr>
              <w:spacing w:before="0" w:after="0"/>
              <w:jc w:val="right"/>
              <w:rPr>
                <w:b/>
                <w:bCs/>
              </w:rPr>
            </w:pPr>
            <w:r w:rsidRPr="00037A46">
              <w:rPr>
                <w:b/>
                <w:bCs/>
              </w:rPr>
              <w:t>1</w:t>
            </w:r>
          </w:p>
        </w:tc>
        <w:tc>
          <w:tcPr>
            <w:tcW w:w="1276" w:type="dxa"/>
            <w:tcBorders>
              <w:left w:val="single" w:sz="8" w:space="0" w:color="auto"/>
              <w:right w:val="single" w:sz="8" w:space="0" w:color="auto"/>
            </w:tcBorders>
            <w:noWrap/>
            <w:vAlign w:val="bottom"/>
          </w:tcPr>
          <w:p w14:paraId="43FED269" w14:textId="77777777" w:rsidR="003A11FB" w:rsidRPr="00037A46" w:rsidRDefault="003A11FB" w:rsidP="003A11FB">
            <w:pPr>
              <w:spacing w:before="0" w:after="0"/>
              <w:ind w:left="0"/>
              <w:jc w:val="right"/>
              <w:rPr>
                <w:bCs/>
              </w:rPr>
            </w:pPr>
            <w:r w:rsidRPr="00037A46">
              <w:rPr>
                <w:bCs/>
              </w:rPr>
              <w:t>13.650</w:t>
            </w:r>
          </w:p>
        </w:tc>
        <w:tc>
          <w:tcPr>
            <w:tcW w:w="1692" w:type="dxa"/>
            <w:tcBorders>
              <w:left w:val="single" w:sz="8" w:space="0" w:color="auto"/>
              <w:right w:val="single" w:sz="8" w:space="0" w:color="auto"/>
            </w:tcBorders>
            <w:noWrap/>
            <w:vAlign w:val="bottom"/>
          </w:tcPr>
          <w:p w14:paraId="21DAF052" w14:textId="77777777" w:rsidR="003A11FB" w:rsidRPr="00037A46" w:rsidRDefault="003A11FB" w:rsidP="003A11FB">
            <w:pPr>
              <w:spacing w:before="0" w:after="0"/>
              <w:jc w:val="right"/>
              <w:rPr>
                <w:bCs/>
              </w:rPr>
            </w:pPr>
            <w:r w:rsidRPr="00037A46">
              <w:rPr>
                <w:bCs/>
              </w:rPr>
              <w:t>14.650</w:t>
            </w:r>
          </w:p>
        </w:tc>
        <w:tc>
          <w:tcPr>
            <w:tcW w:w="1692" w:type="dxa"/>
            <w:tcBorders>
              <w:left w:val="single" w:sz="8" w:space="0" w:color="auto"/>
              <w:right w:val="single" w:sz="8" w:space="0" w:color="auto"/>
            </w:tcBorders>
            <w:noWrap/>
            <w:vAlign w:val="bottom"/>
          </w:tcPr>
          <w:p w14:paraId="67423C06" w14:textId="77777777" w:rsidR="003A11FB" w:rsidRPr="00037A46" w:rsidRDefault="003A11FB" w:rsidP="003A11FB">
            <w:pPr>
              <w:spacing w:before="0" w:after="0"/>
              <w:jc w:val="right"/>
              <w:rPr>
                <w:bCs/>
              </w:rPr>
            </w:pPr>
            <w:r w:rsidRPr="00037A46">
              <w:rPr>
                <w:bCs/>
              </w:rPr>
              <w:t>15.850</w:t>
            </w:r>
          </w:p>
        </w:tc>
        <w:tc>
          <w:tcPr>
            <w:tcW w:w="1692" w:type="dxa"/>
            <w:tcBorders>
              <w:left w:val="single" w:sz="8" w:space="0" w:color="auto"/>
              <w:right w:val="single" w:sz="8" w:space="0" w:color="auto"/>
            </w:tcBorders>
            <w:noWrap/>
            <w:vAlign w:val="bottom"/>
          </w:tcPr>
          <w:p w14:paraId="7305A1E5" w14:textId="77777777" w:rsidR="003A11FB" w:rsidRPr="00037A46" w:rsidRDefault="003A11FB" w:rsidP="003A11FB">
            <w:pPr>
              <w:spacing w:before="0" w:after="0"/>
              <w:jc w:val="right"/>
              <w:rPr>
                <w:bCs/>
              </w:rPr>
            </w:pPr>
            <w:r w:rsidRPr="00037A46">
              <w:rPr>
                <w:bCs/>
              </w:rPr>
              <w:t>17.250</w:t>
            </w:r>
          </w:p>
        </w:tc>
        <w:tc>
          <w:tcPr>
            <w:tcW w:w="1050" w:type="dxa"/>
            <w:tcBorders>
              <w:left w:val="single" w:sz="8" w:space="0" w:color="auto"/>
            </w:tcBorders>
            <w:vAlign w:val="bottom"/>
          </w:tcPr>
          <w:p w14:paraId="3A20C7BA" w14:textId="77777777" w:rsidR="003A11FB" w:rsidRPr="00037A46" w:rsidRDefault="003A11FB" w:rsidP="0024627B">
            <w:pPr>
              <w:spacing w:before="0" w:after="0"/>
              <w:ind w:left="530"/>
              <w:jc w:val="right"/>
              <w:rPr>
                <w:bCs/>
              </w:rPr>
            </w:pPr>
            <w:r w:rsidRPr="00037A46">
              <w:rPr>
                <w:bCs/>
              </w:rPr>
              <w:t>17.300</w:t>
            </w:r>
          </w:p>
        </w:tc>
      </w:tr>
      <w:tr w:rsidR="003A11FB" w:rsidRPr="00037A46" w14:paraId="3308A9D3" w14:textId="77777777">
        <w:trPr>
          <w:trHeight w:val="284"/>
          <w:jc w:val="center"/>
        </w:trPr>
        <w:tc>
          <w:tcPr>
            <w:tcW w:w="1291" w:type="dxa"/>
            <w:tcBorders>
              <w:right w:val="single" w:sz="8" w:space="0" w:color="auto"/>
            </w:tcBorders>
            <w:shd w:val="clear" w:color="auto" w:fill="C0C0C0"/>
            <w:noWrap/>
            <w:vAlign w:val="bottom"/>
          </w:tcPr>
          <w:p w14:paraId="51DD1AA5" w14:textId="77777777" w:rsidR="003A11FB" w:rsidRPr="00037A46" w:rsidRDefault="003A11FB" w:rsidP="003A11FB">
            <w:pPr>
              <w:spacing w:before="0" w:after="0"/>
              <w:jc w:val="right"/>
              <w:rPr>
                <w:b/>
                <w:bCs/>
              </w:rPr>
            </w:pPr>
            <w:r w:rsidRPr="00037A46">
              <w:rPr>
                <w:b/>
                <w:bCs/>
              </w:rPr>
              <w:t>2</w:t>
            </w:r>
          </w:p>
        </w:tc>
        <w:tc>
          <w:tcPr>
            <w:tcW w:w="1276" w:type="dxa"/>
            <w:tcBorders>
              <w:left w:val="single" w:sz="8" w:space="0" w:color="auto"/>
              <w:right w:val="single" w:sz="8" w:space="0" w:color="auto"/>
            </w:tcBorders>
            <w:noWrap/>
            <w:vAlign w:val="bottom"/>
          </w:tcPr>
          <w:p w14:paraId="2A541D4F" w14:textId="77777777" w:rsidR="003A11FB" w:rsidRPr="00037A46" w:rsidRDefault="003A11FB" w:rsidP="003A11FB">
            <w:pPr>
              <w:spacing w:before="0" w:after="0"/>
              <w:ind w:left="0"/>
              <w:jc w:val="right"/>
              <w:rPr>
                <w:bCs/>
              </w:rPr>
            </w:pPr>
            <w:r w:rsidRPr="00037A46">
              <w:rPr>
                <w:bCs/>
              </w:rPr>
              <w:t>13.650</w:t>
            </w:r>
          </w:p>
        </w:tc>
        <w:tc>
          <w:tcPr>
            <w:tcW w:w="1692" w:type="dxa"/>
            <w:tcBorders>
              <w:left w:val="single" w:sz="8" w:space="0" w:color="auto"/>
              <w:right w:val="single" w:sz="8" w:space="0" w:color="auto"/>
            </w:tcBorders>
            <w:noWrap/>
            <w:vAlign w:val="bottom"/>
          </w:tcPr>
          <w:p w14:paraId="77F532B7" w14:textId="77777777" w:rsidR="003A11FB" w:rsidRPr="00037A46" w:rsidRDefault="003A11FB" w:rsidP="003A11FB">
            <w:pPr>
              <w:spacing w:before="0" w:after="0"/>
              <w:jc w:val="right"/>
              <w:rPr>
                <w:bCs/>
              </w:rPr>
            </w:pPr>
            <w:r w:rsidRPr="00037A46">
              <w:rPr>
                <w:bCs/>
              </w:rPr>
              <w:t>14.650</w:t>
            </w:r>
          </w:p>
        </w:tc>
        <w:tc>
          <w:tcPr>
            <w:tcW w:w="1692" w:type="dxa"/>
            <w:tcBorders>
              <w:left w:val="single" w:sz="8" w:space="0" w:color="auto"/>
              <w:right w:val="single" w:sz="8" w:space="0" w:color="auto"/>
            </w:tcBorders>
            <w:noWrap/>
            <w:vAlign w:val="bottom"/>
          </w:tcPr>
          <w:p w14:paraId="14A7A094" w14:textId="77777777" w:rsidR="003A11FB" w:rsidRPr="00037A46" w:rsidRDefault="003A11FB" w:rsidP="003A11FB">
            <w:pPr>
              <w:spacing w:before="0" w:after="0"/>
              <w:jc w:val="right"/>
              <w:rPr>
                <w:bCs/>
              </w:rPr>
            </w:pPr>
            <w:r w:rsidRPr="00037A46">
              <w:rPr>
                <w:bCs/>
              </w:rPr>
              <w:t>15.850</w:t>
            </w:r>
          </w:p>
        </w:tc>
        <w:tc>
          <w:tcPr>
            <w:tcW w:w="1692" w:type="dxa"/>
            <w:tcBorders>
              <w:left w:val="single" w:sz="8" w:space="0" w:color="auto"/>
              <w:right w:val="single" w:sz="8" w:space="0" w:color="auto"/>
            </w:tcBorders>
            <w:noWrap/>
            <w:vAlign w:val="bottom"/>
          </w:tcPr>
          <w:p w14:paraId="7DC7F83F" w14:textId="77777777" w:rsidR="003A11FB" w:rsidRPr="00037A46" w:rsidRDefault="003A11FB" w:rsidP="003A11FB">
            <w:pPr>
              <w:spacing w:before="0" w:after="0"/>
              <w:jc w:val="right"/>
              <w:rPr>
                <w:bCs/>
              </w:rPr>
            </w:pPr>
            <w:r w:rsidRPr="00037A46">
              <w:rPr>
                <w:bCs/>
              </w:rPr>
              <w:t>17.250</w:t>
            </w:r>
          </w:p>
        </w:tc>
        <w:tc>
          <w:tcPr>
            <w:tcW w:w="1050" w:type="dxa"/>
            <w:tcBorders>
              <w:left w:val="single" w:sz="8" w:space="0" w:color="auto"/>
            </w:tcBorders>
            <w:vAlign w:val="bottom"/>
          </w:tcPr>
          <w:p w14:paraId="7B8B88B6" w14:textId="77777777" w:rsidR="003A11FB" w:rsidRPr="00037A46" w:rsidRDefault="003A11FB" w:rsidP="0024627B">
            <w:pPr>
              <w:spacing w:before="0" w:after="0"/>
              <w:ind w:left="530"/>
              <w:jc w:val="right"/>
              <w:rPr>
                <w:bCs/>
              </w:rPr>
            </w:pPr>
            <w:r w:rsidRPr="00037A46">
              <w:rPr>
                <w:bCs/>
              </w:rPr>
              <w:t>17.300</w:t>
            </w:r>
          </w:p>
        </w:tc>
      </w:tr>
      <w:tr w:rsidR="003A11FB" w:rsidRPr="00037A46" w14:paraId="731BAFA3" w14:textId="77777777">
        <w:trPr>
          <w:trHeight w:val="284"/>
          <w:jc w:val="center"/>
        </w:trPr>
        <w:tc>
          <w:tcPr>
            <w:tcW w:w="1291" w:type="dxa"/>
            <w:tcBorders>
              <w:right w:val="single" w:sz="8" w:space="0" w:color="auto"/>
            </w:tcBorders>
            <w:shd w:val="clear" w:color="auto" w:fill="C0C0C0"/>
            <w:noWrap/>
            <w:vAlign w:val="bottom"/>
          </w:tcPr>
          <w:p w14:paraId="6E67D94B" w14:textId="77777777" w:rsidR="003A11FB" w:rsidRPr="00037A46" w:rsidRDefault="003A11FB" w:rsidP="003A11FB">
            <w:pPr>
              <w:spacing w:before="0" w:after="0"/>
              <w:jc w:val="right"/>
              <w:rPr>
                <w:b/>
                <w:bCs/>
              </w:rPr>
            </w:pPr>
            <w:r w:rsidRPr="00037A46">
              <w:rPr>
                <w:b/>
                <w:bCs/>
              </w:rPr>
              <w:t>3</w:t>
            </w:r>
          </w:p>
        </w:tc>
        <w:tc>
          <w:tcPr>
            <w:tcW w:w="1276" w:type="dxa"/>
            <w:tcBorders>
              <w:left w:val="single" w:sz="8" w:space="0" w:color="auto"/>
              <w:right w:val="single" w:sz="8" w:space="0" w:color="auto"/>
            </w:tcBorders>
            <w:noWrap/>
            <w:vAlign w:val="bottom"/>
          </w:tcPr>
          <w:p w14:paraId="210803B1" w14:textId="77777777" w:rsidR="003A11FB" w:rsidRPr="00037A46" w:rsidRDefault="003A11FB" w:rsidP="003A11FB">
            <w:pPr>
              <w:spacing w:before="0" w:after="0"/>
              <w:ind w:left="0"/>
              <w:jc w:val="right"/>
              <w:rPr>
                <w:bCs/>
              </w:rPr>
            </w:pPr>
            <w:r w:rsidRPr="00037A46">
              <w:rPr>
                <w:bCs/>
              </w:rPr>
              <w:t>14.000</w:t>
            </w:r>
          </w:p>
        </w:tc>
        <w:tc>
          <w:tcPr>
            <w:tcW w:w="1692" w:type="dxa"/>
            <w:tcBorders>
              <w:left w:val="single" w:sz="8" w:space="0" w:color="auto"/>
              <w:right w:val="single" w:sz="8" w:space="0" w:color="auto"/>
            </w:tcBorders>
            <w:noWrap/>
            <w:vAlign w:val="bottom"/>
          </w:tcPr>
          <w:p w14:paraId="4B825113" w14:textId="77777777" w:rsidR="003A11FB" w:rsidRPr="00037A46" w:rsidRDefault="003A11FB" w:rsidP="003A11FB">
            <w:pPr>
              <w:spacing w:before="0" w:after="0"/>
              <w:jc w:val="right"/>
              <w:rPr>
                <w:bCs/>
              </w:rPr>
            </w:pPr>
            <w:r w:rsidRPr="00037A46">
              <w:rPr>
                <w:bCs/>
              </w:rPr>
              <w:t>15.000</w:t>
            </w:r>
          </w:p>
        </w:tc>
        <w:tc>
          <w:tcPr>
            <w:tcW w:w="1692" w:type="dxa"/>
            <w:tcBorders>
              <w:left w:val="single" w:sz="8" w:space="0" w:color="auto"/>
              <w:right w:val="single" w:sz="8" w:space="0" w:color="auto"/>
            </w:tcBorders>
            <w:noWrap/>
            <w:vAlign w:val="bottom"/>
          </w:tcPr>
          <w:p w14:paraId="616D3372" w14:textId="77777777" w:rsidR="003A11FB" w:rsidRPr="00037A46" w:rsidRDefault="003A11FB" w:rsidP="003A11FB">
            <w:pPr>
              <w:spacing w:before="0" w:after="0"/>
              <w:jc w:val="right"/>
              <w:rPr>
                <w:bCs/>
              </w:rPr>
            </w:pPr>
            <w:r w:rsidRPr="00037A46">
              <w:rPr>
                <w:bCs/>
              </w:rPr>
              <w:t>16.250</w:t>
            </w:r>
          </w:p>
        </w:tc>
        <w:tc>
          <w:tcPr>
            <w:tcW w:w="1692" w:type="dxa"/>
            <w:tcBorders>
              <w:left w:val="single" w:sz="8" w:space="0" w:color="auto"/>
              <w:right w:val="single" w:sz="8" w:space="0" w:color="auto"/>
            </w:tcBorders>
            <w:noWrap/>
            <w:vAlign w:val="bottom"/>
          </w:tcPr>
          <w:p w14:paraId="355B8BAF" w14:textId="77777777" w:rsidR="003A11FB" w:rsidRPr="00037A46" w:rsidRDefault="003A11FB" w:rsidP="003A11FB">
            <w:pPr>
              <w:spacing w:before="0" w:after="0"/>
              <w:jc w:val="right"/>
              <w:rPr>
                <w:bCs/>
              </w:rPr>
            </w:pPr>
            <w:r w:rsidRPr="00037A46">
              <w:rPr>
                <w:bCs/>
              </w:rPr>
              <w:t>17.600</w:t>
            </w:r>
          </w:p>
        </w:tc>
        <w:tc>
          <w:tcPr>
            <w:tcW w:w="1050" w:type="dxa"/>
            <w:tcBorders>
              <w:left w:val="single" w:sz="8" w:space="0" w:color="auto"/>
            </w:tcBorders>
            <w:vAlign w:val="bottom"/>
          </w:tcPr>
          <w:p w14:paraId="140A884D" w14:textId="77777777" w:rsidR="003A11FB" w:rsidRPr="00037A46" w:rsidRDefault="003A11FB" w:rsidP="0024627B">
            <w:pPr>
              <w:spacing w:before="0" w:after="0"/>
              <w:ind w:left="530"/>
              <w:jc w:val="right"/>
              <w:rPr>
                <w:bCs/>
              </w:rPr>
            </w:pPr>
            <w:r w:rsidRPr="00037A46">
              <w:rPr>
                <w:bCs/>
              </w:rPr>
              <w:t>17.800</w:t>
            </w:r>
          </w:p>
        </w:tc>
      </w:tr>
      <w:tr w:rsidR="003A11FB" w:rsidRPr="00037A46" w14:paraId="68E3A031" w14:textId="77777777">
        <w:trPr>
          <w:trHeight w:val="284"/>
          <w:jc w:val="center"/>
        </w:trPr>
        <w:tc>
          <w:tcPr>
            <w:tcW w:w="1291" w:type="dxa"/>
            <w:tcBorders>
              <w:right w:val="single" w:sz="8" w:space="0" w:color="auto"/>
            </w:tcBorders>
            <w:shd w:val="clear" w:color="auto" w:fill="C0C0C0"/>
            <w:noWrap/>
            <w:vAlign w:val="bottom"/>
          </w:tcPr>
          <w:p w14:paraId="082DECDD" w14:textId="77777777" w:rsidR="003A11FB" w:rsidRPr="00037A46" w:rsidRDefault="003A11FB" w:rsidP="003A11FB">
            <w:pPr>
              <w:spacing w:before="0" w:after="0"/>
              <w:jc w:val="right"/>
              <w:rPr>
                <w:b/>
                <w:bCs/>
              </w:rPr>
            </w:pPr>
            <w:r w:rsidRPr="00037A46">
              <w:rPr>
                <w:b/>
                <w:bCs/>
              </w:rPr>
              <w:t>4</w:t>
            </w:r>
          </w:p>
        </w:tc>
        <w:tc>
          <w:tcPr>
            <w:tcW w:w="1276" w:type="dxa"/>
            <w:tcBorders>
              <w:left w:val="single" w:sz="8" w:space="0" w:color="auto"/>
              <w:right w:val="single" w:sz="8" w:space="0" w:color="auto"/>
            </w:tcBorders>
            <w:noWrap/>
            <w:vAlign w:val="bottom"/>
          </w:tcPr>
          <w:p w14:paraId="64E49C72" w14:textId="77777777" w:rsidR="003A11FB" w:rsidRPr="00037A46" w:rsidRDefault="003A11FB" w:rsidP="003A11FB">
            <w:pPr>
              <w:spacing w:before="0" w:after="0"/>
              <w:ind w:left="0"/>
              <w:jc w:val="right"/>
              <w:rPr>
                <w:bCs/>
              </w:rPr>
            </w:pPr>
            <w:r w:rsidRPr="00037A46">
              <w:rPr>
                <w:bCs/>
              </w:rPr>
              <w:t>14.000</w:t>
            </w:r>
          </w:p>
        </w:tc>
        <w:tc>
          <w:tcPr>
            <w:tcW w:w="1692" w:type="dxa"/>
            <w:tcBorders>
              <w:left w:val="single" w:sz="8" w:space="0" w:color="auto"/>
              <w:right w:val="single" w:sz="8" w:space="0" w:color="auto"/>
            </w:tcBorders>
            <w:noWrap/>
            <w:vAlign w:val="bottom"/>
          </w:tcPr>
          <w:p w14:paraId="3152AA2A" w14:textId="77777777" w:rsidR="003A11FB" w:rsidRPr="00037A46" w:rsidRDefault="003A11FB" w:rsidP="003A11FB">
            <w:pPr>
              <w:spacing w:before="0" w:after="0"/>
              <w:jc w:val="right"/>
              <w:rPr>
                <w:bCs/>
              </w:rPr>
            </w:pPr>
            <w:r w:rsidRPr="00037A46">
              <w:rPr>
                <w:bCs/>
              </w:rPr>
              <w:t>15.000</w:t>
            </w:r>
          </w:p>
        </w:tc>
        <w:tc>
          <w:tcPr>
            <w:tcW w:w="1692" w:type="dxa"/>
            <w:tcBorders>
              <w:left w:val="single" w:sz="8" w:space="0" w:color="auto"/>
              <w:right w:val="single" w:sz="8" w:space="0" w:color="auto"/>
            </w:tcBorders>
            <w:noWrap/>
            <w:vAlign w:val="bottom"/>
          </w:tcPr>
          <w:p w14:paraId="4B56E48D" w14:textId="77777777" w:rsidR="003A11FB" w:rsidRPr="00037A46" w:rsidRDefault="003A11FB" w:rsidP="003A11FB">
            <w:pPr>
              <w:spacing w:before="0" w:after="0"/>
              <w:jc w:val="right"/>
              <w:rPr>
                <w:bCs/>
              </w:rPr>
            </w:pPr>
            <w:r w:rsidRPr="00037A46">
              <w:rPr>
                <w:bCs/>
              </w:rPr>
              <w:t>16.250</w:t>
            </w:r>
          </w:p>
        </w:tc>
        <w:tc>
          <w:tcPr>
            <w:tcW w:w="1692" w:type="dxa"/>
            <w:tcBorders>
              <w:left w:val="single" w:sz="8" w:space="0" w:color="auto"/>
              <w:right w:val="single" w:sz="8" w:space="0" w:color="auto"/>
            </w:tcBorders>
            <w:noWrap/>
            <w:vAlign w:val="bottom"/>
          </w:tcPr>
          <w:p w14:paraId="5F8AC026" w14:textId="77777777" w:rsidR="003A11FB" w:rsidRPr="00037A46" w:rsidRDefault="003A11FB" w:rsidP="003A11FB">
            <w:pPr>
              <w:spacing w:before="0" w:after="0"/>
              <w:jc w:val="right"/>
              <w:rPr>
                <w:bCs/>
              </w:rPr>
            </w:pPr>
            <w:r w:rsidRPr="00037A46">
              <w:rPr>
                <w:bCs/>
              </w:rPr>
              <w:t>17.600</w:t>
            </w:r>
          </w:p>
        </w:tc>
        <w:tc>
          <w:tcPr>
            <w:tcW w:w="1050" w:type="dxa"/>
            <w:tcBorders>
              <w:left w:val="single" w:sz="8" w:space="0" w:color="auto"/>
            </w:tcBorders>
            <w:vAlign w:val="bottom"/>
          </w:tcPr>
          <w:p w14:paraId="68FA6438" w14:textId="77777777" w:rsidR="003A11FB" w:rsidRPr="00037A46" w:rsidRDefault="003A11FB" w:rsidP="0024627B">
            <w:pPr>
              <w:spacing w:before="0" w:after="0"/>
              <w:ind w:left="530"/>
              <w:jc w:val="right"/>
              <w:rPr>
                <w:bCs/>
              </w:rPr>
            </w:pPr>
            <w:r w:rsidRPr="00037A46">
              <w:rPr>
                <w:bCs/>
              </w:rPr>
              <w:t>17.800</w:t>
            </w:r>
          </w:p>
        </w:tc>
      </w:tr>
      <w:tr w:rsidR="003A11FB" w:rsidRPr="00037A46" w14:paraId="21ADDCC1" w14:textId="77777777">
        <w:trPr>
          <w:trHeight w:val="284"/>
          <w:jc w:val="center"/>
        </w:trPr>
        <w:tc>
          <w:tcPr>
            <w:tcW w:w="1291" w:type="dxa"/>
            <w:tcBorders>
              <w:right w:val="single" w:sz="8" w:space="0" w:color="auto"/>
            </w:tcBorders>
            <w:shd w:val="clear" w:color="auto" w:fill="C0C0C0"/>
            <w:noWrap/>
            <w:vAlign w:val="bottom"/>
          </w:tcPr>
          <w:p w14:paraId="7F856E8F" w14:textId="77777777" w:rsidR="003A11FB" w:rsidRPr="00037A46" w:rsidRDefault="003A11FB" w:rsidP="003A11FB">
            <w:pPr>
              <w:spacing w:before="0" w:after="0"/>
              <w:jc w:val="right"/>
              <w:rPr>
                <w:b/>
                <w:bCs/>
              </w:rPr>
            </w:pPr>
            <w:r w:rsidRPr="00037A46">
              <w:rPr>
                <w:b/>
                <w:bCs/>
              </w:rPr>
              <w:t>5</w:t>
            </w:r>
          </w:p>
        </w:tc>
        <w:tc>
          <w:tcPr>
            <w:tcW w:w="1276" w:type="dxa"/>
            <w:tcBorders>
              <w:left w:val="single" w:sz="8" w:space="0" w:color="auto"/>
              <w:right w:val="single" w:sz="8" w:space="0" w:color="auto"/>
            </w:tcBorders>
            <w:noWrap/>
            <w:vAlign w:val="bottom"/>
          </w:tcPr>
          <w:p w14:paraId="3CEF6055" w14:textId="77777777" w:rsidR="003A11FB" w:rsidRPr="00037A46" w:rsidRDefault="003A11FB" w:rsidP="003A11FB">
            <w:pPr>
              <w:spacing w:before="0" w:after="0"/>
              <w:ind w:left="0"/>
              <w:jc w:val="right"/>
              <w:rPr>
                <w:bCs/>
              </w:rPr>
            </w:pPr>
            <w:r w:rsidRPr="00037A46">
              <w:rPr>
                <w:bCs/>
              </w:rPr>
              <w:t>14.350</w:t>
            </w:r>
          </w:p>
        </w:tc>
        <w:tc>
          <w:tcPr>
            <w:tcW w:w="1692" w:type="dxa"/>
            <w:tcBorders>
              <w:left w:val="single" w:sz="8" w:space="0" w:color="auto"/>
              <w:right w:val="single" w:sz="8" w:space="0" w:color="auto"/>
            </w:tcBorders>
            <w:noWrap/>
            <w:vAlign w:val="bottom"/>
          </w:tcPr>
          <w:p w14:paraId="464F646F" w14:textId="77777777" w:rsidR="003A11FB" w:rsidRPr="00037A46" w:rsidRDefault="003A11FB" w:rsidP="003A11FB">
            <w:pPr>
              <w:spacing w:before="0" w:after="0"/>
              <w:jc w:val="right"/>
              <w:rPr>
                <w:bCs/>
              </w:rPr>
            </w:pPr>
            <w:r w:rsidRPr="00037A46">
              <w:rPr>
                <w:bCs/>
              </w:rPr>
              <w:t>15.400</w:t>
            </w:r>
          </w:p>
        </w:tc>
        <w:tc>
          <w:tcPr>
            <w:tcW w:w="1692" w:type="dxa"/>
            <w:tcBorders>
              <w:left w:val="single" w:sz="8" w:space="0" w:color="auto"/>
              <w:right w:val="single" w:sz="8" w:space="0" w:color="auto"/>
            </w:tcBorders>
            <w:noWrap/>
            <w:vAlign w:val="bottom"/>
          </w:tcPr>
          <w:p w14:paraId="6ECCE212" w14:textId="77777777" w:rsidR="003A11FB" w:rsidRPr="00037A46" w:rsidRDefault="003A11FB" w:rsidP="003A11FB">
            <w:pPr>
              <w:spacing w:before="0" w:after="0"/>
              <w:jc w:val="right"/>
              <w:rPr>
                <w:bCs/>
              </w:rPr>
            </w:pPr>
            <w:r w:rsidRPr="00037A46">
              <w:rPr>
                <w:bCs/>
              </w:rPr>
              <w:t>16.600</w:t>
            </w:r>
          </w:p>
        </w:tc>
        <w:tc>
          <w:tcPr>
            <w:tcW w:w="1692" w:type="dxa"/>
            <w:tcBorders>
              <w:left w:val="single" w:sz="8" w:space="0" w:color="auto"/>
              <w:right w:val="single" w:sz="8" w:space="0" w:color="auto"/>
            </w:tcBorders>
            <w:noWrap/>
            <w:vAlign w:val="bottom"/>
          </w:tcPr>
          <w:p w14:paraId="4509AE05" w14:textId="77777777" w:rsidR="003A11FB" w:rsidRPr="00037A46" w:rsidRDefault="003A11FB" w:rsidP="003A11FB">
            <w:pPr>
              <w:spacing w:before="0" w:after="0"/>
              <w:jc w:val="right"/>
              <w:rPr>
                <w:bCs/>
              </w:rPr>
            </w:pPr>
            <w:r w:rsidRPr="00037A46">
              <w:rPr>
                <w:bCs/>
              </w:rPr>
              <w:t>17.900</w:t>
            </w:r>
          </w:p>
        </w:tc>
        <w:tc>
          <w:tcPr>
            <w:tcW w:w="1050" w:type="dxa"/>
            <w:tcBorders>
              <w:left w:val="single" w:sz="8" w:space="0" w:color="auto"/>
            </w:tcBorders>
            <w:vAlign w:val="bottom"/>
          </w:tcPr>
          <w:p w14:paraId="1F65DBCC" w14:textId="77777777" w:rsidR="003A11FB" w:rsidRPr="00037A46" w:rsidRDefault="003A11FB" w:rsidP="0024627B">
            <w:pPr>
              <w:spacing w:before="0" w:after="0"/>
              <w:ind w:left="530"/>
              <w:jc w:val="right"/>
              <w:rPr>
                <w:bCs/>
              </w:rPr>
            </w:pPr>
            <w:r w:rsidRPr="00037A46">
              <w:rPr>
                <w:bCs/>
              </w:rPr>
              <w:t>18.300</w:t>
            </w:r>
          </w:p>
        </w:tc>
      </w:tr>
      <w:tr w:rsidR="003A11FB" w:rsidRPr="00037A46" w14:paraId="08798855" w14:textId="77777777">
        <w:trPr>
          <w:trHeight w:val="284"/>
          <w:jc w:val="center"/>
        </w:trPr>
        <w:tc>
          <w:tcPr>
            <w:tcW w:w="1291" w:type="dxa"/>
            <w:tcBorders>
              <w:right w:val="single" w:sz="8" w:space="0" w:color="auto"/>
            </w:tcBorders>
            <w:shd w:val="clear" w:color="auto" w:fill="C0C0C0"/>
            <w:noWrap/>
            <w:vAlign w:val="bottom"/>
          </w:tcPr>
          <w:p w14:paraId="25FAA212" w14:textId="77777777" w:rsidR="003A11FB" w:rsidRPr="00037A46" w:rsidRDefault="003A11FB" w:rsidP="003A11FB">
            <w:pPr>
              <w:spacing w:before="0" w:after="0"/>
              <w:jc w:val="right"/>
              <w:rPr>
                <w:b/>
                <w:bCs/>
              </w:rPr>
            </w:pPr>
            <w:r w:rsidRPr="00037A46">
              <w:rPr>
                <w:b/>
                <w:bCs/>
              </w:rPr>
              <w:t>6</w:t>
            </w:r>
          </w:p>
        </w:tc>
        <w:tc>
          <w:tcPr>
            <w:tcW w:w="1276" w:type="dxa"/>
            <w:tcBorders>
              <w:left w:val="single" w:sz="8" w:space="0" w:color="auto"/>
              <w:right w:val="single" w:sz="8" w:space="0" w:color="auto"/>
            </w:tcBorders>
            <w:noWrap/>
            <w:vAlign w:val="bottom"/>
          </w:tcPr>
          <w:p w14:paraId="1B284ABB" w14:textId="77777777" w:rsidR="003A11FB" w:rsidRPr="00037A46" w:rsidRDefault="003A11FB" w:rsidP="003A11FB">
            <w:pPr>
              <w:spacing w:before="0" w:after="0"/>
              <w:ind w:left="0"/>
              <w:jc w:val="right"/>
              <w:rPr>
                <w:bCs/>
              </w:rPr>
            </w:pPr>
            <w:r w:rsidRPr="00037A46">
              <w:rPr>
                <w:bCs/>
              </w:rPr>
              <w:t>14.350</w:t>
            </w:r>
          </w:p>
        </w:tc>
        <w:tc>
          <w:tcPr>
            <w:tcW w:w="1692" w:type="dxa"/>
            <w:tcBorders>
              <w:left w:val="single" w:sz="8" w:space="0" w:color="auto"/>
              <w:right w:val="single" w:sz="8" w:space="0" w:color="auto"/>
            </w:tcBorders>
            <w:noWrap/>
            <w:vAlign w:val="bottom"/>
          </w:tcPr>
          <w:p w14:paraId="73C7B8A1" w14:textId="77777777" w:rsidR="003A11FB" w:rsidRPr="00037A46" w:rsidRDefault="003A11FB" w:rsidP="003A11FB">
            <w:pPr>
              <w:spacing w:before="0" w:after="0"/>
              <w:jc w:val="right"/>
              <w:rPr>
                <w:bCs/>
              </w:rPr>
            </w:pPr>
            <w:r w:rsidRPr="00037A46">
              <w:rPr>
                <w:bCs/>
              </w:rPr>
              <w:t>15.400</w:t>
            </w:r>
          </w:p>
        </w:tc>
        <w:tc>
          <w:tcPr>
            <w:tcW w:w="1692" w:type="dxa"/>
            <w:tcBorders>
              <w:left w:val="single" w:sz="8" w:space="0" w:color="auto"/>
              <w:right w:val="single" w:sz="8" w:space="0" w:color="auto"/>
            </w:tcBorders>
            <w:noWrap/>
            <w:vAlign w:val="bottom"/>
          </w:tcPr>
          <w:p w14:paraId="5002EA61" w14:textId="77777777" w:rsidR="003A11FB" w:rsidRPr="00037A46" w:rsidRDefault="003A11FB" w:rsidP="003A11FB">
            <w:pPr>
              <w:spacing w:before="0" w:after="0"/>
              <w:jc w:val="right"/>
              <w:rPr>
                <w:bCs/>
              </w:rPr>
            </w:pPr>
            <w:r w:rsidRPr="00037A46">
              <w:rPr>
                <w:bCs/>
              </w:rPr>
              <w:t>16.600</w:t>
            </w:r>
          </w:p>
        </w:tc>
        <w:tc>
          <w:tcPr>
            <w:tcW w:w="1692" w:type="dxa"/>
            <w:tcBorders>
              <w:left w:val="single" w:sz="8" w:space="0" w:color="auto"/>
              <w:right w:val="single" w:sz="8" w:space="0" w:color="auto"/>
            </w:tcBorders>
            <w:noWrap/>
            <w:vAlign w:val="bottom"/>
          </w:tcPr>
          <w:p w14:paraId="1AE668AD" w14:textId="77777777" w:rsidR="003A11FB" w:rsidRPr="00037A46" w:rsidRDefault="003A11FB" w:rsidP="003A11FB">
            <w:pPr>
              <w:spacing w:before="0" w:after="0"/>
              <w:jc w:val="right"/>
              <w:rPr>
                <w:bCs/>
              </w:rPr>
            </w:pPr>
            <w:r w:rsidRPr="00037A46">
              <w:rPr>
                <w:bCs/>
              </w:rPr>
              <w:t>17.900</w:t>
            </w:r>
          </w:p>
        </w:tc>
        <w:tc>
          <w:tcPr>
            <w:tcW w:w="1050" w:type="dxa"/>
            <w:tcBorders>
              <w:left w:val="single" w:sz="8" w:space="0" w:color="auto"/>
            </w:tcBorders>
            <w:vAlign w:val="bottom"/>
          </w:tcPr>
          <w:p w14:paraId="144A7BBC" w14:textId="77777777" w:rsidR="003A11FB" w:rsidRPr="00037A46" w:rsidRDefault="003A11FB" w:rsidP="0024627B">
            <w:pPr>
              <w:spacing w:before="0" w:after="0"/>
              <w:ind w:left="530"/>
              <w:jc w:val="right"/>
              <w:rPr>
                <w:bCs/>
              </w:rPr>
            </w:pPr>
            <w:r w:rsidRPr="00037A46">
              <w:rPr>
                <w:bCs/>
              </w:rPr>
              <w:t>18.300</w:t>
            </w:r>
          </w:p>
        </w:tc>
      </w:tr>
      <w:tr w:rsidR="003A11FB" w:rsidRPr="00037A46" w14:paraId="70B3E655" w14:textId="77777777">
        <w:trPr>
          <w:trHeight w:val="284"/>
          <w:jc w:val="center"/>
        </w:trPr>
        <w:tc>
          <w:tcPr>
            <w:tcW w:w="1291" w:type="dxa"/>
            <w:tcBorders>
              <w:right w:val="single" w:sz="8" w:space="0" w:color="auto"/>
            </w:tcBorders>
            <w:shd w:val="clear" w:color="auto" w:fill="C0C0C0"/>
            <w:noWrap/>
            <w:vAlign w:val="bottom"/>
          </w:tcPr>
          <w:p w14:paraId="396FDEB9" w14:textId="77777777" w:rsidR="003A11FB" w:rsidRPr="00037A46" w:rsidRDefault="003A11FB" w:rsidP="003A11FB">
            <w:pPr>
              <w:spacing w:before="0" w:after="0"/>
              <w:jc w:val="right"/>
              <w:rPr>
                <w:b/>
                <w:bCs/>
              </w:rPr>
            </w:pPr>
            <w:r w:rsidRPr="00037A46">
              <w:rPr>
                <w:b/>
                <w:bCs/>
              </w:rPr>
              <w:t>7</w:t>
            </w:r>
          </w:p>
        </w:tc>
        <w:tc>
          <w:tcPr>
            <w:tcW w:w="1276" w:type="dxa"/>
            <w:tcBorders>
              <w:left w:val="single" w:sz="8" w:space="0" w:color="auto"/>
              <w:right w:val="single" w:sz="8" w:space="0" w:color="auto"/>
            </w:tcBorders>
            <w:noWrap/>
            <w:vAlign w:val="bottom"/>
          </w:tcPr>
          <w:p w14:paraId="13C041BE" w14:textId="77777777" w:rsidR="003A11FB" w:rsidRPr="00037A46" w:rsidRDefault="003A11FB" w:rsidP="003A11FB">
            <w:pPr>
              <w:spacing w:before="0" w:after="0"/>
              <w:ind w:left="0"/>
              <w:jc w:val="right"/>
              <w:rPr>
                <w:bCs/>
              </w:rPr>
            </w:pPr>
            <w:r w:rsidRPr="00037A46">
              <w:rPr>
                <w:bCs/>
              </w:rPr>
              <w:t>14.700</w:t>
            </w:r>
          </w:p>
        </w:tc>
        <w:tc>
          <w:tcPr>
            <w:tcW w:w="1692" w:type="dxa"/>
            <w:tcBorders>
              <w:left w:val="single" w:sz="8" w:space="0" w:color="auto"/>
              <w:right w:val="single" w:sz="8" w:space="0" w:color="auto"/>
            </w:tcBorders>
            <w:noWrap/>
            <w:vAlign w:val="bottom"/>
          </w:tcPr>
          <w:p w14:paraId="51A6C407" w14:textId="77777777" w:rsidR="003A11FB" w:rsidRPr="00037A46" w:rsidRDefault="003A11FB" w:rsidP="003A11FB">
            <w:pPr>
              <w:spacing w:before="0" w:after="0"/>
              <w:jc w:val="right"/>
              <w:rPr>
                <w:bCs/>
              </w:rPr>
            </w:pPr>
            <w:r w:rsidRPr="00037A46">
              <w:rPr>
                <w:bCs/>
              </w:rPr>
              <w:t>15.750</w:t>
            </w:r>
          </w:p>
        </w:tc>
        <w:tc>
          <w:tcPr>
            <w:tcW w:w="1692" w:type="dxa"/>
            <w:tcBorders>
              <w:left w:val="single" w:sz="8" w:space="0" w:color="auto"/>
              <w:right w:val="single" w:sz="8" w:space="0" w:color="auto"/>
            </w:tcBorders>
            <w:noWrap/>
            <w:vAlign w:val="bottom"/>
          </w:tcPr>
          <w:p w14:paraId="05BB2E9E" w14:textId="77777777" w:rsidR="003A11FB" w:rsidRPr="00037A46" w:rsidRDefault="003A11FB" w:rsidP="003A11FB">
            <w:pPr>
              <w:spacing w:before="0" w:after="0"/>
              <w:jc w:val="right"/>
              <w:rPr>
                <w:bCs/>
              </w:rPr>
            </w:pPr>
            <w:r w:rsidRPr="00037A46">
              <w:rPr>
                <w:bCs/>
              </w:rPr>
              <w:t>17.000</w:t>
            </w:r>
          </w:p>
        </w:tc>
        <w:tc>
          <w:tcPr>
            <w:tcW w:w="1692" w:type="dxa"/>
            <w:tcBorders>
              <w:left w:val="single" w:sz="8" w:space="0" w:color="auto"/>
              <w:right w:val="single" w:sz="8" w:space="0" w:color="auto"/>
            </w:tcBorders>
            <w:noWrap/>
            <w:vAlign w:val="bottom"/>
          </w:tcPr>
          <w:p w14:paraId="78F8105A" w14:textId="77777777" w:rsidR="003A11FB" w:rsidRPr="00037A46" w:rsidRDefault="003A11FB" w:rsidP="003A11FB">
            <w:pPr>
              <w:spacing w:before="0" w:after="0"/>
              <w:jc w:val="right"/>
              <w:rPr>
                <w:bCs/>
              </w:rPr>
            </w:pPr>
            <w:r w:rsidRPr="00037A46">
              <w:rPr>
                <w:bCs/>
              </w:rPr>
              <w:t>18.250</w:t>
            </w:r>
          </w:p>
        </w:tc>
        <w:tc>
          <w:tcPr>
            <w:tcW w:w="1050" w:type="dxa"/>
            <w:tcBorders>
              <w:left w:val="single" w:sz="8" w:space="0" w:color="auto"/>
            </w:tcBorders>
            <w:vAlign w:val="bottom"/>
          </w:tcPr>
          <w:p w14:paraId="5F984C4C" w14:textId="77777777" w:rsidR="003A11FB" w:rsidRPr="00037A46" w:rsidRDefault="003A11FB" w:rsidP="0024627B">
            <w:pPr>
              <w:spacing w:before="0" w:after="0"/>
              <w:ind w:left="530"/>
              <w:jc w:val="right"/>
              <w:rPr>
                <w:bCs/>
              </w:rPr>
            </w:pPr>
            <w:r w:rsidRPr="00037A46">
              <w:rPr>
                <w:bCs/>
              </w:rPr>
              <w:t>18.600</w:t>
            </w:r>
          </w:p>
        </w:tc>
      </w:tr>
      <w:tr w:rsidR="003A11FB" w:rsidRPr="00037A46" w14:paraId="3CA043E3" w14:textId="77777777">
        <w:trPr>
          <w:trHeight w:val="284"/>
          <w:jc w:val="center"/>
        </w:trPr>
        <w:tc>
          <w:tcPr>
            <w:tcW w:w="1291" w:type="dxa"/>
            <w:tcBorders>
              <w:right w:val="single" w:sz="8" w:space="0" w:color="auto"/>
            </w:tcBorders>
            <w:shd w:val="clear" w:color="auto" w:fill="C0C0C0"/>
            <w:noWrap/>
            <w:vAlign w:val="bottom"/>
          </w:tcPr>
          <w:p w14:paraId="40984C35" w14:textId="77777777" w:rsidR="003A11FB" w:rsidRPr="00037A46" w:rsidRDefault="003A11FB" w:rsidP="003A11FB">
            <w:pPr>
              <w:spacing w:before="0" w:after="0"/>
              <w:jc w:val="right"/>
              <w:rPr>
                <w:b/>
                <w:bCs/>
              </w:rPr>
            </w:pPr>
            <w:r w:rsidRPr="00037A46">
              <w:rPr>
                <w:b/>
                <w:bCs/>
              </w:rPr>
              <w:t>8</w:t>
            </w:r>
          </w:p>
        </w:tc>
        <w:tc>
          <w:tcPr>
            <w:tcW w:w="1276" w:type="dxa"/>
            <w:tcBorders>
              <w:left w:val="single" w:sz="8" w:space="0" w:color="auto"/>
              <w:right w:val="single" w:sz="8" w:space="0" w:color="auto"/>
            </w:tcBorders>
            <w:noWrap/>
            <w:vAlign w:val="bottom"/>
          </w:tcPr>
          <w:p w14:paraId="2DB05483" w14:textId="77777777" w:rsidR="003A11FB" w:rsidRPr="00037A46" w:rsidRDefault="003A11FB" w:rsidP="003A11FB">
            <w:pPr>
              <w:spacing w:before="0" w:after="0"/>
              <w:ind w:left="0"/>
              <w:jc w:val="right"/>
              <w:rPr>
                <w:bCs/>
              </w:rPr>
            </w:pPr>
            <w:r w:rsidRPr="00037A46">
              <w:rPr>
                <w:bCs/>
              </w:rPr>
              <w:t>14.700</w:t>
            </w:r>
          </w:p>
        </w:tc>
        <w:tc>
          <w:tcPr>
            <w:tcW w:w="1692" w:type="dxa"/>
            <w:tcBorders>
              <w:left w:val="single" w:sz="8" w:space="0" w:color="auto"/>
              <w:right w:val="single" w:sz="8" w:space="0" w:color="auto"/>
            </w:tcBorders>
            <w:noWrap/>
            <w:vAlign w:val="bottom"/>
          </w:tcPr>
          <w:p w14:paraId="60A6F576" w14:textId="77777777" w:rsidR="003A11FB" w:rsidRPr="00037A46" w:rsidRDefault="003A11FB" w:rsidP="003A11FB">
            <w:pPr>
              <w:spacing w:before="0" w:after="0"/>
              <w:jc w:val="right"/>
              <w:rPr>
                <w:bCs/>
              </w:rPr>
            </w:pPr>
            <w:r w:rsidRPr="00037A46">
              <w:rPr>
                <w:bCs/>
              </w:rPr>
              <w:t>15.750</w:t>
            </w:r>
          </w:p>
        </w:tc>
        <w:tc>
          <w:tcPr>
            <w:tcW w:w="1692" w:type="dxa"/>
            <w:tcBorders>
              <w:left w:val="single" w:sz="8" w:space="0" w:color="auto"/>
              <w:right w:val="single" w:sz="8" w:space="0" w:color="auto"/>
            </w:tcBorders>
            <w:noWrap/>
            <w:vAlign w:val="bottom"/>
          </w:tcPr>
          <w:p w14:paraId="0023A1D6" w14:textId="77777777" w:rsidR="003A11FB" w:rsidRPr="00037A46" w:rsidRDefault="003A11FB" w:rsidP="003A11FB">
            <w:pPr>
              <w:spacing w:before="0" w:after="0"/>
              <w:jc w:val="right"/>
              <w:rPr>
                <w:bCs/>
              </w:rPr>
            </w:pPr>
            <w:r w:rsidRPr="00037A46">
              <w:rPr>
                <w:bCs/>
              </w:rPr>
              <w:t>17.000</w:t>
            </w:r>
          </w:p>
        </w:tc>
        <w:tc>
          <w:tcPr>
            <w:tcW w:w="1692" w:type="dxa"/>
            <w:tcBorders>
              <w:left w:val="single" w:sz="8" w:space="0" w:color="auto"/>
              <w:right w:val="single" w:sz="8" w:space="0" w:color="auto"/>
            </w:tcBorders>
            <w:noWrap/>
            <w:vAlign w:val="bottom"/>
          </w:tcPr>
          <w:p w14:paraId="72044CC8" w14:textId="77777777" w:rsidR="003A11FB" w:rsidRPr="00037A46" w:rsidRDefault="003A11FB" w:rsidP="003A11FB">
            <w:pPr>
              <w:spacing w:before="0" w:after="0"/>
              <w:jc w:val="right"/>
              <w:rPr>
                <w:bCs/>
              </w:rPr>
            </w:pPr>
            <w:r w:rsidRPr="00037A46">
              <w:rPr>
                <w:bCs/>
              </w:rPr>
              <w:t>18.250</w:t>
            </w:r>
          </w:p>
        </w:tc>
        <w:tc>
          <w:tcPr>
            <w:tcW w:w="1050" w:type="dxa"/>
            <w:tcBorders>
              <w:left w:val="single" w:sz="8" w:space="0" w:color="auto"/>
            </w:tcBorders>
            <w:vAlign w:val="bottom"/>
          </w:tcPr>
          <w:p w14:paraId="2A027DC9" w14:textId="77777777" w:rsidR="003A11FB" w:rsidRPr="00037A46" w:rsidRDefault="003A11FB" w:rsidP="0024627B">
            <w:pPr>
              <w:spacing w:before="0" w:after="0"/>
              <w:ind w:left="530"/>
              <w:jc w:val="right"/>
              <w:rPr>
                <w:bCs/>
              </w:rPr>
            </w:pPr>
            <w:r w:rsidRPr="00037A46">
              <w:rPr>
                <w:bCs/>
              </w:rPr>
              <w:t>18.600</w:t>
            </w:r>
          </w:p>
        </w:tc>
      </w:tr>
      <w:tr w:rsidR="003A11FB" w:rsidRPr="00037A46" w14:paraId="396DBEBB" w14:textId="77777777">
        <w:trPr>
          <w:trHeight w:val="284"/>
          <w:jc w:val="center"/>
        </w:trPr>
        <w:tc>
          <w:tcPr>
            <w:tcW w:w="1291" w:type="dxa"/>
            <w:tcBorders>
              <w:right w:val="single" w:sz="8" w:space="0" w:color="auto"/>
            </w:tcBorders>
            <w:shd w:val="clear" w:color="auto" w:fill="C0C0C0"/>
            <w:noWrap/>
            <w:vAlign w:val="bottom"/>
          </w:tcPr>
          <w:p w14:paraId="6B593A52" w14:textId="77777777" w:rsidR="003A11FB" w:rsidRPr="00037A46" w:rsidRDefault="003A11FB" w:rsidP="003A11FB">
            <w:pPr>
              <w:spacing w:before="0" w:after="0"/>
              <w:jc w:val="right"/>
              <w:rPr>
                <w:b/>
                <w:bCs/>
              </w:rPr>
            </w:pPr>
            <w:r w:rsidRPr="00037A46">
              <w:rPr>
                <w:b/>
                <w:bCs/>
              </w:rPr>
              <w:t>9</w:t>
            </w:r>
          </w:p>
        </w:tc>
        <w:tc>
          <w:tcPr>
            <w:tcW w:w="1276" w:type="dxa"/>
            <w:tcBorders>
              <w:left w:val="single" w:sz="8" w:space="0" w:color="auto"/>
              <w:right w:val="single" w:sz="8" w:space="0" w:color="auto"/>
            </w:tcBorders>
            <w:noWrap/>
            <w:vAlign w:val="bottom"/>
          </w:tcPr>
          <w:p w14:paraId="591F5A57" w14:textId="77777777" w:rsidR="003A11FB" w:rsidRPr="00037A46" w:rsidRDefault="003A11FB" w:rsidP="003A11FB">
            <w:pPr>
              <w:spacing w:before="0" w:after="0"/>
              <w:ind w:left="0"/>
              <w:jc w:val="right"/>
              <w:rPr>
                <w:bCs/>
              </w:rPr>
            </w:pPr>
            <w:r w:rsidRPr="00037A46">
              <w:rPr>
                <w:bCs/>
              </w:rPr>
              <w:t>15.000</w:t>
            </w:r>
          </w:p>
        </w:tc>
        <w:tc>
          <w:tcPr>
            <w:tcW w:w="1692" w:type="dxa"/>
            <w:tcBorders>
              <w:left w:val="single" w:sz="8" w:space="0" w:color="auto"/>
              <w:right w:val="single" w:sz="8" w:space="0" w:color="auto"/>
            </w:tcBorders>
            <w:noWrap/>
            <w:vAlign w:val="bottom"/>
          </w:tcPr>
          <w:p w14:paraId="22D9B3DE" w14:textId="77777777" w:rsidR="003A11FB" w:rsidRPr="00037A46" w:rsidRDefault="003A11FB" w:rsidP="003A11FB">
            <w:pPr>
              <w:spacing w:before="0" w:after="0"/>
              <w:jc w:val="right"/>
              <w:rPr>
                <w:bCs/>
              </w:rPr>
            </w:pPr>
            <w:r w:rsidRPr="00037A46">
              <w:rPr>
                <w:bCs/>
              </w:rPr>
              <w:t>16.150</w:t>
            </w:r>
          </w:p>
        </w:tc>
        <w:tc>
          <w:tcPr>
            <w:tcW w:w="1692" w:type="dxa"/>
            <w:tcBorders>
              <w:left w:val="single" w:sz="8" w:space="0" w:color="auto"/>
              <w:right w:val="single" w:sz="8" w:space="0" w:color="auto"/>
            </w:tcBorders>
            <w:noWrap/>
            <w:vAlign w:val="bottom"/>
          </w:tcPr>
          <w:p w14:paraId="14D61395" w14:textId="77777777" w:rsidR="003A11FB" w:rsidRPr="00037A46" w:rsidRDefault="003A11FB" w:rsidP="003A11FB">
            <w:pPr>
              <w:spacing w:before="0" w:after="0"/>
              <w:jc w:val="right"/>
              <w:rPr>
                <w:bCs/>
              </w:rPr>
            </w:pPr>
            <w:r w:rsidRPr="00037A46">
              <w:rPr>
                <w:bCs/>
              </w:rPr>
              <w:t>17.350</w:t>
            </w:r>
          </w:p>
        </w:tc>
        <w:tc>
          <w:tcPr>
            <w:tcW w:w="1692" w:type="dxa"/>
            <w:tcBorders>
              <w:left w:val="single" w:sz="8" w:space="0" w:color="auto"/>
              <w:right w:val="single" w:sz="8" w:space="0" w:color="auto"/>
            </w:tcBorders>
            <w:noWrap/>
            <w:vAlign w:val="bottom"/>
          </w:tcPr>
          <w:p w14:paraId="73B9FCFD" w14:textId="77777777" w:rsidR="003A11FB" w:rsidRPr="00037A46" w:rsidRDefault="003A11FB" w:rsidP="003A11FB">
            <w:pPr>
              <w:spacing w:before="0" w:after="0"/>
              <w:jc w:val="right"/>
              <w:rPr>
                <w:bCs/>
              </w:rPr>
            </w:pPr>
            <w:r w:rsidRPr="00037A46">
              <w:rPr>
                <w:bCs/>
              </w:rPr>
              <w:t>18.600</w:t>
            </w:r>
          </w:p>
        </w:tc>
        <w:tc>
          <w:tcPr>
            <w:tcW w:w="1050" w:type="dxa"/>
            <w:tcBorders>
              <w:left w:val="single" w:sz="8" w:space="0" w:color="auto"/>
            </w:tcBorders>
            <w:vAlign w:val="bottom"/>
          </w:tcPr>
          <w:p w14:paraId="412B6926" w14:textId="77777777" w:rsidR="003A11FB" w:rsidRPr="00037A46" w:rsidRDefault="003A11FB" w:rsidP="0024627B">
            <w:pPr>
              <w:spacing w:before="0" w:after="0"/>
              <w:ind w:left="530"/>
              <w:jc w:val="right"/>
              <w:rPr>
                <w:bCs/>
              </w:rPr>
            </w:pPr>
            <w:r w:rsidRPr="00037A46">
              <w:rPr>
                <w:bCs/>
              </w:rPr>
              <w:t>19.400</w:t>
            </w:r>
          </w:p>
        </w:tc>
      </w:tr>
      <w:tr w:rsidR="003A11FB" w:rsidRPr="00037A46" w14:paraId="4875937C" w14:textId="77777777">
        <w:trPr>
          <w:trHeight w:val="284"/>
          <w:jc w:val="center"/>
        </w:trPr>
        <w:tc>
          <w:tcPr>
            <w:tcW w:w="1291" w:type="dxa"/>
            <w:tcBorders>
              <w:right w:val="single" w:sz="8" w:space="0" w:color="auto"/>
            </w:tcBorders>
            <w:shd w:val="clear" w:color="auto" w:fill="C0C0C0"/>
            <w:noWrap/>
            <w:vAlign w:val="bottom"/>
          </w:tcPr>
          <w:p w14:paraId="423AE34D" w14:textId="77777777" w:rsidR="003A11FB" w:rsidRPr="00037A46" w:rsidRDefault="003A11FB" w:rsidP="003A11FB">
            <w:pPr>
              <w:spacing w:before="0" w:after="0"/>
              <w:jc w:val="right"/>
              <w:rPr>
                <w:b/>
                <w:bCs/>
              </w:rPr>
            </w:pPr>
            <w:r w:rsidRPr="00037A46">
              <w:rPr>
                <w:b/>
                <w:bCs/>
              </w:rPr>
              <w:t>10</w:t>
            </w:r>
          </w:p>
        </w:tc>
        <w:tc>
          <w:tcPr>
            <w:tcW w:w="1276" w:type="dxa"/>
            <w:tcBorders>
              <w:left w:val="single" w:sz="8" w:space="0" w:color="auto"/>
              <w:right w:val="single" w:sz="8" w:space="0" w:color="auto"/>
            </w:tcBorders>
            <w:noWrap/>
            <w:vAlign w:val="bottom"/>
          </w:tcPr>
          <w:p w14:paraId="682ED2DE" w14:textId="77777777" w:rsidR="003A11FB" w:rsidRPr="00037A46" w:rsidRDefault="003A11FB" w:rsidP="003A11FB">
            <w:pPr>
              <w:spacing w:before="0" w:after="0"/>
              <w:ind w:left="0"/>
              <w:jc w:val="right"/>
              <w:rPr>
                <w:bCs/>
              </w:rPr>
            </w:pPr>
            <w:r w:rsidRPr="00037A46">
              <w:rPr>
                <w:bCs/>
              </w:rPr>
              <w:t>15.000</w:t>
            </w:r>
          </w:p>
        </w:tc>
        <w:tc>
          <w:tcPr>
            <w:tcW w:w="1692" w:type="dxa"/>
            <w:tcBorders>
              <w:left w:val="single" w:sz="8" w:space="0" w:color="auto"/>
              <w:right w:val="single" w:sz="8" w:space="0" w:color="auto"/>
            </w:tcBorders>
            <w:noWrap/>
            <w:vAlign w:val="bottom"/>
          </w:tcPr>
          <w:p w14:paraId="675C7CF1" w14:textId="77777777" w:rsidR="003A11FB" w:rsidRPr="00037A46" w:rsidRDefault="003A11FB" w:rsidP="003A11FB">
            <w:pPr>
              <w:spacing w:before="0" w:after="0"/>
              <w:jc w:val="right"/>
              <w:rPr>
                <w:bCs/>
              </w:rPr>
            </w:pPr>
            <w:r w:rsidRPr="00037A46">
              <w:rPr>
                <w:bCs/>
              </w:rPr>
              <w:t>16.150</w:t>
            </w:r>
          </w:p>
        </w:tc>
        <w:tc>
          <w:tcPr>
            <w:tcW w:w="1692" w:type="dxa"/>
            <w:tcBorders>
              <w:left w:val="single" w:sz="8" w:space="0" w:color="auto"/>
              <w:right w:val="single" w:sz="8" w:space="0" w:color="auto"/>
            </w:tcBorders>
            <w:noWrap/>
            <w:vAlign w:val="bottom"/>
          </w:tcPr>
          <w:p w14:paraId="623211C6" w14:textId="77777777" w:rsidR="003A11FB" w:rsidRPr="00037A46" w:rsidRDefault="003A11FB" w:rsidP="003A11FB">
            <w:pPr>
              <w:spacing w:before="0" w:after="0"/>
              <w:jc w:val="right"/>
              <w:rPr>
                <w:bCs/>
              </w:rPr>
            </w:pPr>
            <w:r w:rsidRPr="00037A46">
              <w:rPr>
                <w:bCs/>
              </w:rPr>
              <w:t>17.350</w:t>
            </w:r>
          </w:p>
        </w:tc>
        <w:tc>
          <w:tcPr>
            <w:tcW w:w="1692" w:type="dxa"/>
            <w:tcBorders>
              <w:left w:val="single" w:sz="8" w:space="0" w:color="auto"/>
              <w:right w:val="single" w:sz="8" w:space="0" w:color="auto"/>
            </w:tcBorders>
            <w:noWrap/>
            <w:vAlign w:val="bottom"/>
          </w:tcPr>
          <w:p w14:paraId="35E0CC2C" w14:textId="77777777" w:rsidR="003A11FB" w:rsidRPr="00037A46" w:rsidRDefault="003A11FB" w:rsidP="003A11FB">
            <w:pPr>
              <w:spacing w:before="0" w:after="0"/>
              <w:jc w:val="right"/>
              <w:rPr>
                <w:bCs/>
              </w:rPr>
            </w:pPr>
            <w:r w:rsidRPr="00037A46">
              <w:rPr>
                <w:bCs/>
              </w:rPr>
              <w:t>18.600</w:t>
            </w:r>
          </w:p>
        </w:tc>
        <w:tc>
          <w:tcPr>
            <w:tcW w:w="1050" w:type="dxa"/>
            <w:tcBorders>
              <w:left w:val="single" w:sz="8" w:space="0" w:color="auto"/>
            </w:tcBorders>
            <w:vAlign w:val="bottom"/>
          </w:tcPr>
          <w:p w14:paraId="0C057566" w14:textId="77777777" w:rsidR="003A11FB" w:rsidRPr="00037A46" w:rsidRDefault="003A11FB" w:rsidP="0024627B">
            <w:pPr>
              <w:spacing w:before="0" w:after="0"/>
              <w:ind w:left="530"/>
              <w:jc w:val="right"/>
              <w:rPr>
                <w:bCs/>
              </w:rPr>
            </w:pPr>
            <w:r w:rsidRPr="00037A46">
              <w:rPr>
                <w:bCs/>
              </w:rPr>
              <w:t>19.400</w:t>
            </w:r>
          </w:p>
        </w:tc>
      </w:tr>
      <w:tr w:rsidR="003A11FB" w:rsidRPr="00037A46" w14:paraId="058DAC50" w14:textId="77777777">
        <w:trPr>
          <w:trHeight w:val="284"/>
          <w:jc w:val="center"/>
        </w:trPr>
        <w:tc>
          <w:tcPr>
            <w:tcW w:w="1291" w:type="dxa"/>
            <w:tcBorders>
              <w:right w:val="single" w:sz="8" w:space="0" w:color="auto"/>
            </w:tcBorders>
            <w:shd w:val="clear" w:color="auto" w:fill="C0C0C0"/>
            <w:noWrap/>
            <w:vAlign w:val="bottom"/>
          </w:tcPr>
          <w:p w14:paraId="61A7D62F" w14:textId="77777777" w:rsidR="003A11FB" w:rsidRPr="00037A46" w:rsidRDefault="003A11FB" w:rsidP="003A11FB">
            <w:pPr>
              <w:spacing w:before="0" w:after="0"/>
              <w:jc w:val="right"/>
              <w:rPr>
                <w:b/>
                <w:bCs/>
              </w:rPr>
            </w:pPr>
            <w:r w:rsidRPr="00037A46">
              <w:rPr>
                <w:b/>
                <w:bCs/>
              </w:rPr>
              <w:t>11</w:t>
            </w:r>
          </w:p>
        </w:tc>
        <w:tc>
          <w:tcPr>
            <w:tcW w:w="1276" w:type="dxa"/>
            <w:tcBorders>
              <w:left w:val="single" w:sz="8" w:space="0" w:color="auto"/>
              <w:right w:val="single" w:sz="8" w:space="0" w:color="auto"/>
            </w:tcBorders>
            <w:noWrap/>
            <w:vAlign w:val="bottom"/>
          </w:tcPr>
          <w:p w14:paraId="7ED0B69E" w14:textId="77777777" w:rsidR="003A11FB" w:rsidRPr="00037A46" w:rsidRDefault="003A11FB" w:rsidP="003A11FB">
            <w:pPr>
              <w:spacing w:before="0" w:after="0"/>
              <w:ind w:left="0"/>
              <w:jc w:val="right"/>
              <w:rPr>
                <w:bCs/>
              </w:rPr>
            </w:pPr>
            <w:r w:rsidRPr="00037A46">
              <w:rPr>
                <w:bCs/>
              </w:rPr>
              <w:t>15.350</w:t>
            </w:r>
          </w:p>
        </w:tc>
        <w:tc>
          <w:tcPr>
            <w:tcW w:w="1692" w:type="dxa"/>
            <w:tcBorders>
              <w:left w:val="single" w:sz="8" w:space="0" w:color="auto"/>
              <w:right w:val="single" w:sz="8" w:space="0" w:color="auto"/>
            </w:tcBorders>
            <w:noWrap/>
            <w:vAlign w:val="bottom"/>
          </w:tcPr>
          <w:p w14:paraId="27FABAAB" w14:textId="77777777" w:rsidR="003A11FB" w:rsidRPr="00037A46" w:rsidRDefault="003A11FB" w:rsidP="003A11FB">
            <w:pPr>
              <w:spacing w:before="0" w:after="0"/>
              <w:jc w:val="right"/>
              <w:rPr>
                <w:bCs/>
              </w:rPr>
            </w:pPr>
            <w:r w:rsidRPr="00037A46">
              <w:rPr>
                <w:bCs/>
              </w:rPr>
              <w:t>16.500</w:t>
            </w:r>
          </w:p>
        </w:tc>
        <w:tc>
          <w:tcPr>
            <w:tcW w:w="1692" w:type="dxa"/>
            <w:tcBorders>
              <w:left w:val="single" w:sz="8" w:space="0" w:color="auto"/>
              <w:right w:val="single" w:sz="8" w:space="0" w:color="auto"/>
            </w:tcBorders>
            <w:noWrap/>
            <w:vAlign w:val="bottom"/>
          </w:tcPr>
          <w:p w14:paraId="58D801EB" w14:textId="77777777" w:rsidR="003A11FB" w:rsidRPr="00037A46" w:rsidRDefault="003A11FB" w:rsidP="003A11FB">
            <w:pPr>
              <w:spacing w:before="0" w:after="0"/>
              <w:jc w:val="right"/>
              <w:rPr>
                <w:bCs/>
              </w:rPr>
            </w:pPr>
            <w:r w:rsidRPr="00037A46">
              <w:rPr>
                <w:bCs/>
              </w:rPr>
              <w:t>17.700</w:t>
            </w:r>
          </w:p>
        </w:tc>
        <w:tc>
          <w:tcPr>
            <w:tcW w:w="1692" w:type="dxa"/>
            <w:tcBorders>
              <w:left w:val="single" w:sz="8" w:space="0" w:color="auto"/>
              <w:right w:val="single" w:sz="8" w:space="0" w:color="auto"/>
            </w:tcBorders>
            <w:noWrap/>
            <w:vAlign w:val="bottom"/>
          </w:tcPr>
          <w:p w14:paraId="71CE7F5E" w14:textId="77777777" w:rsidR="003A11FB" w:rsidRPr="00037A46" w:rsidRDefault="003A11FB" w:rsidP="003A11FB">
            <w:pPr>
              <w:spacing w:before="0" w:after="0"/>
              <w:jc w:val="right"/>
              <w:rPr>
                <w:bCs/>
              </w:rPr>
            </w:pPr>
            <w:r w:rsidRPr="00037A46">
              <w:rPr>
                <w:bCs/>
              </w:rPr>
              <w:t>18.950</w:t>
            </w:r>
          </w:p>
        </w:tc>
        <w:tc>
          <w:tcPr>
            <w:tcW w:w="1050" w:type="dxa"/>
            <w:tcBorders>
              <w:left w:val="single" w:sz="8" w:space="0" w:color="auto"/>
            </w:tcBorders>
            <w:vAlign w:val="bottom"/>
          </w:tcPr>
          <w:p w14:paraId="19F921AD" w14:textId="77777777" w:rsidR="003A11FB" w:rsidRPr="00037A46" w:rsidRDefault="003A11FB" w:rsidP="0024627B">
            <w:pPr>
              <w:spacing w:before="0" w:after="0"/>
              <w:ind w:left="530"/>
              <w:jc w:val="right"/>
              <w:rPr>
                <w:bCs/>
              </w:rPr>
            </w:pPr>
            <w:r w:rsidRPr="00037A46">
              <w:rPr>
                <w:bCs/>
              </w:rPr>
              <w:t>19.900</w:t>
            </w:r>
          </w:p>
        </w:tc>
      </w:tr>
      <w:tr w:rsidR="003A11FB" w:rsidRPr="00037A46" w14:paraId="1ADF8A94" w14:textId="77777777">
        <w:trPr>
          <w:trHeight w:val="284"/>
          <w:jc w:val="center"/>
        </w:trPr>
        <w:tc>
          <w:tcPr>
            <w:tcW w:w="1291" w:type="dxa"/>
            <w:tcBorders>
              <w:right w:val="single" w:sz="8" w:space="0" w:color="auto"/>
            </w:tcBorders>
            <w:shd w:val="clear" w:color="auto" w:fill="C0C0C0"/>
            <w:noWrap/>
            <w:vAlign w:val="bottom"/>
          </w:tcPr>
          <w:p w14:paraId="271830F6" w14:textId="77777777" w:rsidR="003A11FB" w:rsidRPr="00037A46" w:rsidRDefault="003A11FB" w:rsidP="003A11FB">
            <w:pPr>
              <w:spacing w:before="0" w:after="0"/>
              <w:jc w:val="right"/>
              <w:rPr>
                <w:b/>
                <w:bCs/>
              </w:rPr>
            </w:pPr>
            <w:r w:rsidRPr="00037A46">
              <w:rPr>
                <w:b/>
                <w:bCs/>
              </w:rPr>
              <w:t>12</w:t>
            </w:r>
          </w:p>
        </w:tc>
        <w:tc>
          <w:tcPr>
            <w:tcW w:w="1276" w:type="dxa"/>
            <w:tcBorders>
              <w:left w:val="single" w:sz="8" w:space="0" w:color="auto"/>
              <w:right w:val="single" w:sz="8" w:space="0" w:color="auto"/>
            </w:tcBorders>
            <w:noWrap/>
            <w:vAlign w:val="bottom"/>
          </w:tcPr>
          <w:p w14:paraId="661B142C" w14:textId="77777777" w:rsidR="003A11FB" w:rsidRPr="00037A46" w:rsidRDefault="003A11FB" w:rsidP="003A11FB">
            <w:pPr>
              <w:spacing w:before="0" w:after="0"/>
              <w:ind w:left="0"/>
              <w:jc w:val="right"/>
              <w:rPr>
                <w:bCs/>
              </w:rPr>
            </w:pPr>
            <w:r w:rsidRPr="00037A46">
              <w:rPr>
                <w:bCs/>
              </w:rPr>
              <w:t>15.350</w:t>
            </w:r>
          </w:p>
        </w:tc>
        <w:tc>
          <w:tcPr>
            <w:tcW w:w="1692" w:type="dxa"/>
            <w:tcBorders>
              <w:left w:val="single" w:sz="8" w:space="0" w:color="auto"/>
              <w:right w:val="single" w:sz="8" w:space="0" w:color="auto"/>
            </w:tcBorders>
            <w:noWrap/>
            <w:vAlign w:val="bottom"/>
          </w:tcPr>
          <w:p w14:paraId="37E1CEC6" w14:textId="77777777" w:rsidR="003A11FB" w:rsidRPr="00037A46" w:rsidRDefault="003A11FB" w:rsidP="003A11FB">
            <w:pPr>
              <w:spacing w:before="0" w:after="0"/>
              <w:jc w:val="right"/>
              <w:rPr>
                <w:bCs/>
              </w:rPr>
            </w:pPr>
            <w:r w:rsidRPr="00037A46">
              <w:rPr>
                <w:bCs/>
              </w:rPr>
              <w:t>16.500</w:t>
            </w:r>
          </w:p>
        </w:tc>
        <w:tc>
          <w:tcPr>
            <w:tcW w:w="1692" w:type="dxa"/>
            <w:tcBorders>
              <w:left w:val="single" w:sz="8" w:space="0" w:color="auto"/>
              <w:right w:val="single" w:sz="8" w:space="0" w:color="auto"/>
            </w:tcBorders>
            <w:noWrap/>
            <w:vAlign w:val="bottom"/>
          </w:tcPr>
          <w:p w14:paraId="6CC66642" w14:textId="77777777" w:rsidR="003A11FB" w:rsidRPr="00037A46" w:rsidRDefault="003A11FB" w:rsidP="003A11FB">
            <w:pPr>
              <w:spacing w:before="0" w:after="0"/>
              <w:jc w:val="right"/>
              <w:rPr>
                <w:bCs/>
              </w:rPr>
            </w:pPr>
            <w:r w:rsidRPr="00037A46">
              <w:rPr>
                <w:bCs/>
              </w:rPr>
              <w:t>17.700</w:t>
            </w:r>
          </w:p>
        </w:tc>
        <w:tc>
          <w:tcPr>
            <w:tcW w:w="1692" w:type="dxa"/>
            <w:tcBorders>
              <w:left w:val="single" w:sz="8" w:space="0" w:color="auto"/>
              <w:right w:val="single" w:sz="8" w:space="0" w:color="auto"/>
            </w:tcBorders>
            <w:noWrap/>
            <w:vAlign w:val="bottom"/>
          </w:tcPr>
          <w:p w14:paraId="124DD423" w14:textId="77777777" w:rsidR="003A11FB" w:rsidRPr="00037A46" w:rsidRDefault="003A11FB" w:rsidP="003A11FB">
            <w:pPr>
              <w:spacing w:before="0" w:after="0"/>
              <w:jc w:val="right"/>
              <w:rPr>
                <w:bCs/>
              </w:rPr>
            </w:pPr>
            <w:r w:rsidRPr="00037A46">
              <w:rPr>
                <w:bCs/>
              </w:rPr>
              <w:t>18.950</w:t>
            </w:r>
          </w:p>
        </w:tc>
        <w:tc>
          <w:tcPr>
            <w:tcW w:w="1050" w:type="dxa"/>
            <w:tcBorders>
              <w:left w:val="single" w:sz="8" w:space="0" w:color="auto"/>
            </w:tcBorders>
            <w:vAlign w:val="bottom"/>
          </w:tcPr>
          <w:p w14:paraId="4ECFF464" w14:textId="77777777" w:rsidR="003A11FB" w:rsidRPr="00037A46" w:rsidRDefault="003A11FB" w:rsidP="0024627B">
            <w:pPr>
              <w:spacing w:before="0" w:after="0"/>
              <w:ind w:left="530"/>
              <w:jc w:val="right"/>
              <w:rPr>
                <w:bCs/>
              </w:rPr>
            </w:pPr>
            <w:r w:rsidRPr="00037A46">
              <w:rPr>
                <w:bCs/>
              </w:rPr>
              <w:t>19.900</w:t>
            </w:r>
          </w:p>
        </w:tc>
      </w:tr>
      <w:tr w:rsidR="003A11FB" w:rsidRPr="00037A46" w14:paraId="106E39E1" w14:textId="77777777">
        <w:trPr>
          <w:trHeight w:val="284"/>
          <w:jc w:val="center"/>
        </w:trPr>
        <w:tc>
          <w:tcPr>
            <w:tcW w:w="1291" w:type="dxa"/>
            <w:tcBorders>
              <w:right w:val="single" w:sz="8" w:space="0" w:color="auto"/>
            </w:tcBorders>
            <w:shd w:val="clear" w:color="auto" w:fill="C0C0C0"/>
            <w:noWrap/>
            <w:vAlign w:val="bottom"/>
          </w:tcPr>
          <w:p w14:paraId="0CD418F9" w14:textId="77777777" w:rsidR="003A11FB" w:rsidRPr="00037A46" w:rsidRDefault="003A11FB" w:rsidP="003A11FB">
            <w:pPr>
              <w:spacing w:before="0" w:after="0"/>
              <w:jc w:val="right"/>
              <w:rPr>
                <w:b/>
                <w:bCs/>
              </w:rPr>
            </w:pPr>
            <w:r w:rsidRPr="00037A46">
              <w:rPr>
                <w:b/>
                <w:bCs/>
              </w:rPr>
              <w:t>13</w:t>
            </w:r>
          </w:p>
        </w:tc>
        <w:tc>
          <w:tcPr>
            <w:tcW w:w="1276" w:type="dxa"/>
            <w:tcBorders>
              <w:left w:val="single" w:sz="8" w:space="0" w:color="auto"/>
              <w:right w:val="single" w:sz="8" w:space="0" w:color="auto"/>
            </w:tcBorders>
            <w:noWrap/>
            <w:vAlign w:val="bottom"/>
          </w:tcPr>
          <w:p w14:paraId="3FCECDB1" w14:textId="77777777" w:rsidR="003A11FB" w:rsidRPr="00037A46" w:rsidRDefault="003A11FB" w:rsidP="003A11FB">
            <w:pPr>
              <w:spacing w:before="0" w:after="0"/>
              <w:ind w:left="0"/>
              <w:jc w:val="right"/>
              <w:rPr>
                <w:bCs/>
              </w:rPr>
            </w:pPr>
            <w:r w:rsidRPr="00037A46">
              <w:rPr>
                <w:bCs/>
              </w:rPr>
              <w:t>15.700</w:t>
            </w:r>
          </w:p>
        </w:tc>
        <w:tc>
          <w:tcPr>
            <w:tcW w:w="1692" w:type="dxa"/>
            <w:tcBorders>
              <w:left w:val="single" w:sz="8" w:space="0" w:color="auto"/>
              <w:right w:val="single" w:sz="8" w:space="0" w:color="auto"/>
            </w:tcBorders>
            <w:noWrap/>
            <w:vAlign w:val="bottom"/>
          </w:tcPr>
          <w:p w14:paraId="7BB5D2D8" w14:textId="77777777" w:rsidR="003A11FB" w:rsidRPr="00037A46" w:rsidRDefault="003A11FB" w:rsidP="003A11FB">
            <w:pPr>
              <w:spacing w:before="0" w:after="0"/>
              <w:jc w:val="right"/>
              <w:rPr>
                <w:bCs/>
              </w:rPr>
            </w:pPr>
            <w:r w:rsidRPr="00037A46">
              <w:rPr>
                <w:bCs/>
              </w:rPr>
              <w:t>16.900</w:t>
            </w:r>
          </w:p>
        </w:tc>
        <w:tc>
          <w:tcPr>
            <w:tcW w:w="1692" w:type="dxa"/>
            <w:tcBorders>
              <w:left w:val="single" w:sz="8" w:space="0" w:color="auto"/>
              <w:right w:val="single" w:sz="8" w:space="0" w:color="auto"/>
            </w:tcBorders>
            <w:noWrap/>
            <w:vAlign w:val="bottom"/>
          </w:tcPr>
          <w:p w14:paraId="0966969E" w14:textId="77777777" w:rsidR="003A11FB" w:rsidRPr="00037A46" w:rsidRDefault="003A11FB" w:rsidP="003A11FB">
            <w:pPr>
              <w:spacing w:before="0" w:after="0"/>
              <w:jc w:val="right"/>
              <w:rPr>
                <w:bCs/>
              </w:rPr>
            </w:pPr>
            <w:r w:rsidRPr="00037A46">
              <w:rPr>
                <w:bCs/>
              </w:rPr>
              <w:t>18.100</w:t>
            </w:r>
          </w:p>
        </w:tc>
        <w:tc>
          <w:tcPr>
            <w:tcW w:w="1692" w:type="dxa"/>
            <w:tcBorders>
              <w:left w:val="single" w:sz="8" w:space="0" w:color="auto"/>
              <w:right w:val="single" w:sz="8" w:space="0" w:color="auto"/>
            </w:tcBorders>
            <w:noWrap/>
            <w:vAlign w:val="bottom"/>
          </w:tcPr>
          <w:p w14:paraId="3FACDF79" w14:textId="77777777" w:rsidR="003A11FB" w:rsidRPr="00037A46" w:rsidRDefault="003A11FB" w:rsidP="003A11FB">
            <w:pPr>
              <w:spacing w:before="0" w:after="0"/>
              <w:jc w:val="right"/>
              <w:rPr>
                <w:bCs/>
              </w:rPr>
            </w:pPr>
            <w:r w:rsidRPr="00037A46">
              <w:rPr>
                <w:bCs/>
              </w:rPr>
              <w:t>19.300</w:t>
            </w:r>
          </w:p>
        </w:tc>
        <w:tc>
          <w:tcPr>
            <w:tcW w:w="1050" w:type="dxa"/>
            <w:tcBorders>
              <w:left w:val="single" w:sz="8" w:space="0" w:color="auto"/>
            </w:tcBorders>
            <w:vAlign w:val="bottom"/>
          </w:tcPr>
          <w:p w14:paraId="66060803" w14:textId="77777777" w:rsidR="003A11FB" w:rsidRPr="00037A46" w:rsidRDefault="003A11FB" w:rsidP="0024627B">
            <w:pPr>
              <w:spacing w:before="0" w:after="0"/>
              <w:ind w:left="530"/>
              <w:jc w:val="right"/>
              <w:rPr>
                <w:bCs/>
              </w:rPr>
            </w:pPr>
            <w:r w:rsidRPr="00037A46">
              <w:rPr>
                <w:bCs/>
              </w:rPr>
              <w:t>20.300</w:t>
            </w:r>
          </w:p>
        </w:tc>
      </w:tr>
      <w:tr w:rsidR="003A11FB" w:rsidRPr="00037A46" w14:paraId="2AFE4319" w14:textId="77777777">
        <w:trPr>
          <w:trHeight w:val="284"/>
          <w:jc w:val="center"/>
        </w:trPr>
        <w:tc>
          <w:tcPr>
            <w:tcW w:w="1291" w:type="dxa"/>
            <w:tcBorders>
              <w:right w:val="single" w:sz="8" w:space="0" w:color="auto"/>
            </w:tcBorders>
            <w:shd w:val="clear" w:color="auto" w:fill="C0C0C0"/>
            <w:noWrap/>
            <w:vAlign w:val="bottom"/>
          </w:tcPr>
          <w:p w14:paraId="6FAF1798" w14:textId="77777777" w:rsidR="003A11FB" w:rsidRPr="00037A46" w:rsidRDefault="003A11FB" w:rsidP="003A11FB">
            <w:pPr>
              <w:spacing w:before="0" w:after="0"/>
              <w:jc w:val="right"/>
              <w:rPr>
                <w:b/>
                <w:bCs/>
              </w:rPr>
            </w:pPr>
            <w:r w:rsidRPr="00037A46">
              <w:rPr>
                <w:b/>
                <w:bCs/>
              </w:rPr>
              <w:t>14</w:t>
            </w:r>
          </w:p>
        </w:tc>
        <w:tc>
          <w:tcPr>
            <w:tcW w:w="1276" w:type="dxa"/>
            <w:tcBorders>
              <w:left w:val="single" w:sz="8" w:space="0" w:color="auto"/>
              <w:right w:val="single" w:sz="8" w:space="0" w:color="auto"/>
            </w:tcBorders>
            <w:noWrap/>
            <w:vAlign w:val="bottom"/>
          </w:tcPr>
          <w:p w14:paraId="2B291E87" w14:textId="77777777" w:rsidR="003A11FB" w:rsidRPr="00037A46" w:rsidRDefault="003A11FB" w:rsidP="003A11FB">
            <w:pPr>
              <w:spacing w:before="0" w:after="0"/>
              <w:ind w:left="0"/>
              <w:jc w:val="right"/>
              <w:rPr>
                <w:bCs/>
              </w:rPr>
            </w:pPr>
            <w:r w:rsidRPr="00037A46">
              <w:rPr>
                <w:bCs/>
              </w:rPr>
              <w:t>15.700</w:t>
            </w:r>
          </w:p>
        </w:tc>
        <w:tc>
          <w:tcPr>
            <w:tcW w:w="1692" w:type="dxa"/>
            <w:tcBorders>
              <w:left w:val="single" w:sz="8" w:space="0" w:color="auto"/>
              <w:right w:val="single" w:sz="8" w:space="0" w:color="auto"/>
            </w:tcBorders>
            <w:noWrap/>
            <w:vAlign w:val="bottom"/>
          </w:tcPr>
          <w:p w14:paraId="6384E1B4" w14:textId="77777777" w:rsidR="003A11FB" w:rsidRPr="00037A46" w:rsidRDefault="003A11FB" w:rsidP="003A11FB">
            <w:pPr>
              <w:spacing w:before="0" w:after="0"/>
              <w:jc w:val="right"/>
              <w:rPr>
                <w:bCs/>
              </w:rPr>
            </w:pPr>
            <w:r w:rsidRPr="00037A46">
              <w:rPr>
                <w:bCs/>
              </w:rPr>
              <w:t>16.900</w:t>
            </w:r>
          </w:p>
        </w:tc>
        <w:tc>
          <w:tcPr>
            <w:tcW w:w="1692" w:type="dxa"/>
            <w:tcBorders>
              <w:left w:val="single" w:sz="8" w:space="0" w:color="auto"/>
              <w:right w:val="single" w:sz="8" w:space="0" w:color="auto"/>
            </w:tcBorders>
            <w:noWrap/>
            <w:vAlign w:val="bottom"/>
          </w:tcPr>
          <w:p w14:paraId="7BD3AD39" w14:textId="77777777" w:rsidR="003A11FB" w:rsidRPr="00037A46" w:rsidRDefault="003A11FB" w:rsidP="003A11FB">
            <w:pPr>
              <w:spacing w:before="0" w:after="0"/>
              <w:jc w:val="right"/>
              <w:rPr>
                <w:bCs/>
              </w:rPr>
            </w:pPr>
            <w:r w:rsidRPr="00037A46">
              <w:rPr>
                <w:bCs/>
              </w:rPr>
              <w:t>18.100</w:t>
            </w:r>
          </w:p>
        </w:tc>
        <w:tc>
          <w:tcPr>
            <w:tcW w:w="1692" w:type="dxa"/>
            <w:tcBorders>
              <w:left w:val="single" w:sz="8" w:space="0" w:color="auto"/>
              <w:right w:val="single" w:sz="8" w:space="0" w:color="auto"/>
            </w:tcBorders>
            <w:noWrap/>
            <w:vAlign w:val="bottom"/>
          </w:tcPr>
          <w:p w14:paraId="02A9670F" w14:textId="77777777" w:rsidR="003A11FB" w:rsidRPr="00037A46" w:rsidRDefault="003A11FB" w:rsidP="003A11FB">
            <w:pPr>
              <w:spacing w:before="0" w:after="0"/>
              <w:jc w:val="right"/>
              <w:rPr>
                <w:bCs/>
              </w:rPr>
            </w:pPr>
            <w:r w:rsidRPr="00037A46">
              <w:rPr>
                <w:bCs/>
              </w:rPr>
              <w:t>19.300</w:t>
            </w:r>
          </w:p>
        </w:tc>
        <w:tc>
          <w:tcPr>
            <w:tcW w:w="1050" w:type="dxa"/>
            <w:tcBorders>
              <w:left w:val="single" w:sz="8" w:space="0" w:color="auto"/>
            </w:tcBorders>
            <w:vAlign w:val="bottom"/>
          </w:tcPr>
          <w:p w14:paraId="37E36DF6" w14:textId="77777777" w:rsidR="003A11FB" w:rsidRPr="00037A46" w:rsidRDefault="003A11FB" w:rsidP="0024627B">
            <w:pPr>
              <w:spacing w:before="0" w:after="0"/>
              <w:ind w:left="530"/>
              <w:jc w:val="right"/>
              <w:rPr>
                <w:bCs/>
              </w:rPr>
            </w:pPr>
            <w:r w:rsidRPr="00037A46">
              <w:rPr>
                <w:bCs/>
              </w:rPr>
              <w:t>20.300</w:t>
            </w:r>
          </w:p>
        </w:tc>
      </w:tr>
      <w:tr w:rsidR="003A11FB" w:rsidRPr="00037A46" w14:paraId="43D92DFF" w14:textId="77777777">
        <w:trPr>
          <w:trHeight w:val="284"/>
          <w:jc w:val="center"/>
        </w:trPr>
        <w:tc>
          <w:tcPr>
            <w:tcW w:w="1291" w:type="dxa"/>
            <w:tcBorders>
              <w:right w:val="single" w:sz="8" w:space="0" w:color="auto"/>
            </w:tcBorders>
            <w:shd w:val="clear" w:color="auto" w:fill="C0C0C0"/>
            <w:noWrap/>
            <w:vAlign w:val="bottom"/>
          </w:tcPr>
          <w:p w14:paraId="7760E08F" w14:textId="77777777" w:rsidR="003A11FB" w:rsidRPr="00037A46" w:rsidRDefault="003A11FB" w:rsidP="003A11FB">
            <w:pPr>
              <w:spacing w:before="0" w:after="0"/>
              <w:jc w:val="right"/>
              <w:rPr>
                <w:b/>
                <w:bCs/>
              </w:rPr>
            </w:pPr>
            <w:r w:rsidRPr="00037A46">
              <w:rPr>
                <w:b/>
                <w:bCs/>
              </w:rPr>
              <w:t>15</w:t>
            </w:r>
          </w:p>
        </w:tc>
        <w:tc>
          <w:tcPr>
            <w:tcW w:w="1276" w:type="dxa"/>
            <w:tcBorders>
              <w:left w:val="single" w:sz="8" w:space="0" w:color="auto"/>
              <w:right w:val="single" w:sz="8" w:space="0" w:color="auto"/>
            </w:tcBorders>
            <w:noWrap/>
            <w:vAlign w:val="bottom"/>
          </w:tcPr>
          <w:p w14:paraId="5A93BCEB" w14:textId="77777777" w:rsidR="003A11FB" w:rsidRPr="00037A46" w:rsidRDefault="003A11FB" w:rsidP="003A11FB">
            <w:pPr>
              <w:spacing w:before="0" w:after="0"/>
              <w:ind w:left="0"/>
              <w:jc w:val="right"/>
              <w:rPr>
                <w:bCs/>
              </w:rPr>
            </w:pPr>
            <w:r w:rsidRPr="00037A46">
              <w:rPr>
                <w:bCs/>
              </w:rPr>
              <w:t>16.050</w:t>
            </w:r>
          </w:p>
        </w:tc>
        <w:tc>
          <w:tcPr>
            <w:tcW w:w="1692" w:type="dxa"/>
            <w:tcBorders>
              <w:left w:val="single" w:sz="8" w:space="0" w:color="auto"/>
              <w:right w:val="single" w:sz="8" w:space="0" w:color="auto"/>
            </w:tcBorders>
            <w:noWrap/>
            <w:vAlign w:val="bottom"/>
          </w:tcPr>
          <w:p w14:paraId="70C35DA8" w14:textId="77777777" w:rsidR="003A11FB" w:rsidRPr="00037A46" w:rsidRDefault="003A11FB" w:rsidP="003A11FB">
            <w:pPr>
              <w:spacing w:before="0" w:after="0"/>
              <w:jc w:val="right"/>
              <w:rPr>
                <w:bCs/>
              </w:rPr>
            </w:pPr>
            <w:r w:rsidRPr="00037A46">
              <w:rPr>
                <w:bCs/>
              </w:rPr>
              <w:t>17.250</w:t>
            </w:r>
          </w:p>
        </w:tc>
        <w:tc>
          <w:tcPr>
            <w:tcW w:w="1692" w:type="dxa"/>
            <w:tcBorders>
              <w:left w:val="single" w:sz="8" w:space="0" w:color="auto"/>
              <w:right w:val="single" w:sz="8" w:space="0" w:color="auto"/>
            </w:tcBorders>
            <w:noWrap/>
            <w:vAlign w:val="bottom"/>
          </w:tcPr>
          <w:p w14:paraId="11ECF184" w14:textId="77777777" w:rsidR="003A11FB" w:rsidRPr="00037A46" w:rsidRDefault="003A11FB" w:rsidP="003A11FB">
            <w:pPr>
              <w:spacing w:before="0" w:after="0"/>
              <w:jc w:val="right"/>
              <w:rPr>
                <w:bCs/>
              </w:rPr>
            </w:pPr>
            <w:r w:rsidRPr="00037A46">
              <w:rPr>
                <w:bCs/>
              </w:rPr>
              <w:t>18.450</w:t>
            </w:r>
          </w:p>
        </w:tc>
        <w:tc>
          <w:tcPr>
            <w:tcW w:w="1692" w:type="dxa"/>
            <w:tcBorders>
              <w:left w:val="single" w:sz="8" w:space="0" w:color="auto"/>
              <w:right w:val="single" w:sz="8" w:space="0" w:color="auto"/>
            </w:tcBorders>
            <w:noWrap/>
            <w:vAlign w:val="bottom"/>
          </w:tcPr>
          <w:p w14:paraId="49FA159E" w14:textId="77777777" w:rsidR="003A11FB" w:rsidRPr="00037A46" w:rsidRDefault="003A11FB" w:rsidP="003A11FB">
            <w:pPr>
              <w:spacing w:before="0" w:after="0"/>
              <w:jc w:val="right"/>
              <w:rPr>
                <w:bCs/>
              </w:rPr>
            </w:pPr>
            <w:r w:rsidRPr="00037A46">
              <w:rPr>
                <w:bCs/>
              </w:rPr>
              <w:t>19.650</w:t>
            </w:r>
          </w:p>
        </w:tc>
        <w:tc>
          <w:tcPr>
            <w:tcW w:w="1050" w:type="dxa"/>
            <w:tcBorders>
              <w:left w:val="single" w:sz="8" w:space="0" w:color="auto"/>
            </w:tcBorders>
            <w:vAlign w:val="bottom"/>
          </w:tcPr>
          <w:p w14:paraId="1A1C1EE0" w14:textId="77777777" w:rsidR="003A11FB" w:rsidRPr="00037A46" w:rsidRDefault="003A11FB" w:rsidP="0024627B">
            <w:pPr>
              <w:spacing w:before="0" w:after="0"/>
              <w:ind w:left="530"/>
              <w:jc w:val="right"/>
              <w:rPr>
                <w:bCs/>
              </w:rPr>
            </w:pPr>
            <w:r w:rsidRPr="00037A46">
              <w:rPr>
                <w:bCs/>
              </w:rPr>
              <w:t>20.700</w:t>
            </w:r>
          </w:p>
        </w:tc>
      </w:tr>
      <w:tr w:rsidR="003A11FB" w:rsidRPr="00037A46" w14:paraId="1D2D2D6E" w14:textId="77777777">
        <w:trPr>
          <w:trHeight w:val="284"/>
          <w:jc w:val="center"/>
        </w:trPr>
        <w:tc>
          <w:tcPr>
            <w:tcW w:w="1291" w:type="dxa"/>
            <w:tcBorders>
              <w:right w:val="single" w:sz="8" w:space="0" w:color="auto"/>
            </w:tcBorders>
            <w:shd w:val="clear" w:color="auto" w:fill="C0C0C0"/>
            <w:noWrap/>
            <w:vAlign w:val="bottom"/>
          </w:tcPr>
          <w:p w14:paraId="7DC6796F" w14:textId="77777777" w:rsidR="003A11FB" w:rsidRPr="00037A46" w:rsidRDefault="003A11FB" w:rsidP="003A11FB">
            <w:pPr>
              <w:spacing w:before="0" w:after="0"/>
              <w:jc w:val="right"/>
              <w:rPr>
                <w:b/>
                <w:bCs/>
              </w:rPr>
            </w:pPr>
            <w:r w:rsidRPr="00037A46">
              <w:rPr>
                <w:b/>
                <w:bCs/>
              </w:rPr>
              <w:t>16</w:t>
            </w:r>
          </w:p>
        </w:tc>
        <w:tc>
          <w:tcPr>
            <w:tcW w:w="1276" w:type="dxa"/>
            <w:tcBorders>
              <w:left w:val="single" w:sz="8" w:space="0" w:color="auto"/>
              <w:right w:val="single" w:sz="8" w:space="0" w:color="auto"/>
            </w:tcBorders>
            <w:noWrap/>
            <w:vAlign w:val="bottom"/>
          </w:tcPr>
          <w:p w14:paraId="422D8372" w14:textId="77777777" w:rsidR="003A11FB" w:rsidRPr="00037A46" w:rsidRDefault="003A11FB" w:rsidP="003A11FB">
            <w:pPr>
              <w:spacing w:before="0" w:after="0"/>
              <w:ind w:left="0"/>
              <w:jc w:val="right"/>
              <w:rPr>
                <w:bCs/>
              </w:rPr>
            </w:pPr>
            <w:r w:rsidRPr="00037A46">
              <w:rPr>
                <w:bCs/>
              </w:rPr>
              <w:t>16.050</w:t>
            </w:r>
          </w:p>
        </w:tc>
        <w:tc>
          <w:tcPr>
            <w:tcW w:w="1692" w:type="dxa"/>
            <w:tcBorders>
              <w:left w:val="single" w:sz="8" w:space="0" w:color="auto"/>
              <w:right w:val="single" w:sz="8" w:space="0" w:color="auto"/>
            </w:tcBorders>
            <w:noWrap/>
            <w:vAlign w:val="bottom"/>
          </w:tcPr>
          <w:p w14:paraId="67188A72" w14:textId="77777777" w:rsidR="003A11FB" w:rsidRPr="00037A46" w:rsidRDefault="003A11FB" w:rsidP="003A11FB">
            <w:pPr>
              <w:spacing w:before="0" w:after="0"/>
              <w:jc w:val="right"/>
              <w:rPr>
                <w:bCs/>
              </w:rPr>
            </w:pPr>
            <w:r w:rsidRPr="00037A46">
              <w:rPr>
                <w:bCs/>
              </w:rPr>
              <w:t>17.250</w:t>
            </w:r>
          </w:p>
        </w:tc>
        <w:tc>
          <w:tcPr>
            <w:tcW w:w="1692" w:type="dxa"/>
            <w:tcBorders>
              <w:left w:val="single" w:sz="8" w:space="0" w:color="auto"/>
              <w:right w:val="single" w:sz="8" w:space="0" w:color="auto"/>
            </w:tcBorders>
            <w:noWrap/>
            <w:vAlign w:val="bottom"/>
          </w:tcPr>
          <w:p w14:paraId="3384360B" w14:textId="77777777" w:rsidR="003A11FB" w:rsidRPr="00037A46" w:rsidRDefault="003A11FB" w:rsidP="003A11FB">
            <w:pPr>
              <w:spacing w:before="0" w:after="0"/>
              <w:jc w:val="right"/>
              <w:rPr>
                <w:bCs/>
              </w:rPr>
            </w:pPr>
            <w:r w:rsidRPr="00037A46">
              <w:rPr>
                <w:bCs/>
              </w:rPr>
              <w:t>18.450</w:t>
            </w:r>
          </w:p>
        </w:tc>
        <w:tc>
          <w:tcPr>
            <w:tcW w:w="1692" w:type="dxa"/>
            <w:tcBorders>
              <w:left w:val="single" w:sz="8" w:space="0" w:color="auto"/>
              <w:right w:val="single" w:sz="8" w:space="0" w:color="auto"/>
            </w:tcBorders>
            <w:noWrap/>
            <w:vAlign w:val="bottom"/>
          </w:tcPr>
          <w:p w14:paraId="721A1CC9" w14:textId="77777777" w:rsidR="003A11FB" w:rsidRPr="00037A46" w:rsidRDefault="003A11FB" w:rsidP="003A11FB">
            <w:pPr>
              <w:spacing w:before="0" w:after="0"/>
              <w:jc w:val="right"/>
              <w:rPr>
                <w:bCs/>
              </w:rPr>
            </w:pPr>
            <w:r w:rsidRPr="00037A46">
              <w:rPr>
                <w:bCs/>
              </w:rPr>
              <w:t>19.650</w:t>
            </w:r>
          </w:p>
        </w:tc>
        <w:tc>
          <w:tcPr>
            <w:tcW w:w="1050" w:type="dxa"/>
            <w:tcBorders>
              <w:left w:val="single" w:sz="8" w:space="0" w:color="auto"/>
            </w:tcBorders>
            <w:vAlign w:val="bottom"/>
          </w:tcPr>
          <w:p w14:paraId="6ECF2E39" w14:textId="77777777" w:rsidR="003A11FB" w:rsidRPr="00037A46" w:rsidRDefault="003A11FB" w:rsidP="0024627B">
            <w:pPr>
              <w:spacing w:before="0" w:after="0"/>
              <w:ind w:left="530"/>
              <w:jc w:val="right"/>
              <w:rPr>
                <w:bCs/>
              </w:rPr>
            </w:pPr>
            <w:r w:rsidRPr="00037A46">
              <w:rPr>
                <w:bCs/>
              </w:rPr>
              <w:t>20.700</w:t>
            </w:r>
          </w:p>
        </w:tc>
      </w:tr>
      <w:tr w:rsidR="003A11FB" w:rsidRPr="00037A46" w14:paraId="3A5787AB" w14:textId="77777777">
        <w:trPr>
          <w:trHeight w:val="284"/>
          <w:jc w:val="center"/>
        </w:trPr>
        <w:tc>
          <w:tcPr>
            <w:tcW w:w="1291" w:type="dxa"/>
            <w:tcBorders>
              <w:right w:val="single" w:sz="8" w:space="0" w:color="auto"/>
            </w:tcBorders>
            <w:shd w:val="clear" w:color="auto" w:fill="C0C0C0"/>
            <w:noWrap/>
            <w:vAlign w:val="bottom"/>
          </w:tcPr>
          <w:p w14:paraId="69349E04" w14:textId="77777777" w:rsidR="003A11FB" w:rsidRPr="00037A46" w:rsidRDefault="003A11FB" w:rsidP="003A11FB">
            <w:pPr>
              <w:spacing w:before="0" w:after="0"/>
              <w:jc w:val="right"/>
              <w:rPr>
                <w:b/>
                <w:bCs/>
              </w:rPr>
            </w:pPr>
            <w:r w:rsidRPr="00037A46">
              <w:rPr>
                <w:b/>
                <w:bCs/>
              </w:rPr>
              <w:t>17</w:t>
            </w:r>
          </w:p>
        </w:tc>
        <w:tc>
          <w:tcPr>
            <w:tcW w:w="1276" w:type="dxa"/>
            <w:tcBorders>
              <w:left w:val="single" w:sz="8" w:space="0" w:color="auto"/>
              <w:right w:val="single" w:sz="8" w:space="0" w:color="auto"/>
            </w:tcBorders>
            <w:noWrap/>
            <w:vAlign w:val="bottom"/>
          </w:tcPr>
          <w:p w14:paraId="229EDD1E" w14:textId="77777777" w:rsidR="003A11FB" w:rsidRPr="00037A46" w:rsidRDefault="003A11FB" w:rsidP="003A11FB">
            <w:pPr>
              <w:spacing w:before="0" w:after="0"/>
              <w:ind w:left="0"/>
              <w:jc w:val="right"/>
              <w:rPr>
                <w:bCs/>
              </w:rPr>
            </w:pPr>
            <w:r w:rsidRPr="00037A46">
              <w:rPr>
                <w:bCs/>
              </w:rPr>
              <w:t>16.400</w:t>
            </w:r>
          </w:p>
        </w:tc>
        <w:tc>
          <w:tcPr>
            <w:tcW w:w="1692" w:type="dxa"/>
            <w:tcBorders>
              <w:left w:val="single" w:sz="8" w:space="0" w:color="auto"/>
              <w:right w:val="single" w:sz="8" w:space="0" w:color="auto"/>
            </w:tcBorders>
            <w:noWrap/>
            <w:vAlign w:val="bottom"/>
          </w:tcPr>
          <w:p w14:paraId="43957D53" w14:textId="77777777" w:rsidR="003A11FB" w:rsidRPr="00037A46" w:rsidRDefault="003A11FB" w:rsidP="003A11FB">
            <w:pPr>
              <w:spacing w:before="0" w:after="0"/>
              <w:jc w:val="right"/>
              <w:rPr>
                <w:bCs/>
              </w:rPr>
            </w:pPr>
            <w:r w:rsidRPr="00037A46">
              <w:rPr>
                <w:bCs/>
              </w:rPr>
              <w:t>17.650</w:t>
            </w:r>
          </w:p>
        </w:tc>
        <w:tc>
          <w:tcPr>
            <w:tcW w:w="1692" w:type="dxa"/>
            <w:tcBorders>
              <w:left w:val="single" w:sz="8" w:space="0" w:color="auto"/>
              <w:right w:val="single" w:sz="8" w:space="0" w:color="auto"/>
            </w:tcBorders>
            <w:noWrap/>
            <w:vAlign w:val="bottom"/>
          </w:tcPr>
          <w:p w14:paraId="58F5A02F" w14:textId="77777777" w:rsidR="003A11FB" w:rsidRPr="00037A46" w:rsidRDefault="003A11FB" w:rsidP="003A11FB">
            <w:pPr>
              <w:spacing w:before="0" w:after="0"/>
              <w:jc w:val="right"/>
              <w:rPr>
                <w:bCs/>
              </w:rPr>
            </w:pPr>
            <w:r w:rsidRPr="00037A46">
              <w:rPr>
                <w:bCs/>
              </w:rPr>
              <w:t>18.850</w:t>
            </w:r>
          </w:p>
        </w:tc>
        <w:tc>
          <w:tcPr>
            <w:tcW w:w="1692" w:type="dxa"/>
            <w:tcBorders>
              <w:left w:val="single" w:sz="8" w:space="0" w:color="auto"/>
              <w:right w:val="single" w:sz="8" w:space="0" w:color="auto"/>
            </w:tcBorders>
            <w:noWrap/>
            <w:vAlign w:val="bottom"/>
          </w:tcPr>
          <w:p w14:paraId="620F0C68" w14:textId="77777777" w:rsidR="003A11FB" w:rsidRPr="00037A46" w:rsidRDefault="003A11FB" w:rsidP="003A11FB">
            <w:pPr>
              <w:spacing w:before="0" w:after="0"/>
              <w:jc w:val="right"/>
              <w:rPr>
                <w:bCs/>
              </w:rPr>
            </w:pPr>
            <w:r w:rsidRPr="00037A46">
              <w:rPr>
                <w:bCs/>
              </w:rPr>
              <w:t>20.000</w:t>
            </w:r>
          </w:p>
        </w:tc>
        <w:tc>
          <w:tcPr>
            <w:tcW w:w="1050" w:type="dxa"/>
            <w:tcBorders>
              <w:left w:val="single" w:sz="8" w:space="0" w:color="auto"/>
            </w:tcBorders>
            <w:vAlign w:val="bottom"/>
          </w:tcPr>
          <w:p w14:paraId="765BC9BE" w14:textId="77777777" w:rsidR="003A11FB" w:rsidRPr="00037A46" w:rsidRDefault="003A11FB" w:rsidP="0024627B">
            <w:pPr>
              <w:spacing w:before="0" w:after="0"/>
              <w:ind w:left="530"/>
              <w:jc w:val="right"/>
              <w:rPr>
                <w:bCs/>
              </w:rPr>
            </w:pPr>
            <w:r w:rsidRPr="00037A46">
              <w:rPr>
                <w:bCs/>
              </w:rPr>
              <w:t>21.100</w:t>
            </w:r>
          </w:p>
        </w:tc>
      </w:tr>
      <w:tr w:rsidR="003A11FB" w:rsidRPr="00037A46" w14:paraId="76DD4AA0" w14:textId="77777777">
        <w:trPr>
          <w:trHeight w:val="284"/>
          <w:jc w:val="center"/>
        </w:trPr>
        <w:tc>
          <w:tcPr>
            <w:tcW w:w="1291" w:type="dxa"/>
            <w:tcBorders>
              <w:right w:val="single" w:sz="8" w:space="0" w:color="auto"/>
            </w:tcBorders>
            <w:shd w:val="clear" w:color="auto" w:fill="C0C0C0"/>
            <w:noWrap/>
            <w:vAlign w:val="bottom"/>
          </w:tcPr>
          <w:p w14:paraId="4AFC7886" w14:textId="77777777" w:rsidR="003A11FB" w:rsidRPr="00037A46" w:rsidRDefault="003A11FB" w:rsidP="003A11FB">
            <w:pPr>
              <w:spacing w:before="0" w:after="0"/>
              <w:jc w:val="right"/>
              <w:rPr>
                <w:b/>
                <w:bCs/>
              </w:rPr>
            </w:pPr>
            <w:r w:rsidRPr="00037A46">
              <w:rPr>
                <w:b/>
                <w:bCs/>
              </w:rPr>
              <w:t>18</w:t>
            </w:r>
          </w:p>
        </w:tc>
        <w:tc>
          <w:tcPr>
            <w:tcW w:w="1276" w:type="dxa"/>
            <w:tcBorders>
              <w:left w:val="single" w:sz="8" w:space="0" w:color="auto"/>
              <w:right w:val="single" w:sz="8" w:space="0" w:color="auto"/>
            </w:tcBorders>
            <w:noWrap/>
            <w:vAlign w:val="bottom"/>
          </w:tcPr>
          <w:p w14:paraId="52A87882" w14:textId="77777777" w:rsidR="003A11FB" w:rsidRPr="00037A46" w:rsidRDefault="003A11FB" w:rsidP="003A11FB">
            <w:pPr>
              <w:spacing w:before="0" w:after="0"/>
              <w:ind w:left="0"/>
              <w:jc w:val="right"/>
              <w:rPr>
                <w:bCs/>
              </w:rPr>
            </w:pPr>
            <w:r w:rsidRPr="00037A46">
              <w:rPr>
                <w:bCs/>
              </w:rPr>
              <w:t>16.400</w:t>
            </w:r>
          </w:p>
        </w:tc>
        <w:tc>
          <w:tcPr>
            <w:tcW w:w="1692" w:type="dxa"/>
            <w:tcBorders>
              <w:left w:val="single" w:sz="8" w:space="0" w:color="auto"/>
              <w:right w:val="single" w:sz="8" w:space="0" w:color="auto"/>
            </w:tcBorders>
            <w:noWrap/>
            <w:vAlign w:val="bottom"/>
          </w:tcPr>
          <w:p w14:paraId="2423E62D" w14:textId="77777777" w:rsidR="003A11FB" w:rsidRPr="00037A46" w:rsidRDefault="003A11FB" w:rsidP="003A11FB">
            <w:pPr>
              <w:spacing w:before="0" w:after="0"/>
              <w:jc w:val="right"/>
              <w:rPr>
                <w:bCs/>
              </w:rPr>
            </w:pPr>
            <w:r w:rsidRPr="00037A46">
              <w:rPr>
                <w:bCs/>
              </w:rPr>
              <w:t>17.650</w:t>
            </w:r>
          </w:p>
        </w:tc>
        <w:tc>
          <w:tcPr>
            <w:tcW w:w="1692" w:type="dxa"/>
            <w:tcBorders>
              <w:left w:val="single" w:sz="8" w:space="0" w:color="auto"/>
              <w:right w:val="single" w:sz="8" w:space="0" w:color="auto"/>
            </w:tcBorders>
            <w:noWrap/>
            <w:vAlign w:val="bottom"/>
          </w:tcPr>
          <w:p w14:paraId="104202C0" w14:textId="77777777" w:rsidR="003A11FB" w:rsidRPr="00037A46" w:rsidRDefault="003A11FB" w:rsidP="003A11FB">
            <w:pPr>
              <w:spacing w:before="0" w:after="0"/>
              <w:jc w:val="right"/>
              <w:rPr>
                <w:bCs/>
              </w:rPr>
            </w:pPr>
            <w:r w:rsidRPr="00037A46">
              <w:rPr>
                <w:bCs/>
              </w:rPr>
              <w:t>18.850</w:t>
            </w:r>
          </w:p>
        </w:tc>
        <w:tc>
          <w:tcPr>
            <w:tcW w:w="1692" w:type="dxa"/>
            <w:tcBorders>
              <w:left w:val="single" w:sz="8" w:space="0" w:color="auto"/>
              <w:right w:val="single" w:sz="8" w:space="0" w:color="auto"/>
            </w:tcBorders>
            <w:noWrap/>
            <w:vAlign w:val="bottom"/>
          </w:tcPr>
          <w:p w14:paraId="4F702E48" w14:textId="77777777" w:rsidR="003A11FB" w:rsidRPr="00037A46" w:rsidRDefault="003A11FB" w:rsidP="003A11FB">
            <w:pPr>
              <w:spacing w:before="0" w:after="0"/>
              <w:jc w:val="right"/>
              <w:rPr>
                <w:bCs/>
              </w:rPr>
            </w:pPr>
            <w:r w:rsidRPr="00037A46">
              <w:rPr>
                <w:bCs/>
              </w:rPr>
              <w:t>20.000</w:t>
            </w:r>
          </w:p>
        </w:tc>
        <w:tc>
          <w:tcPr>
            <w:tcW w:w="1050" w:type="dxa"/>
            <w:tcBorders>
              <w:left w:val="single" w:sz="8" w:space="0" w:color="auto"/>
            </w:tcBorders>
            <w:vAlign w:val="bottom"/>
          </w:tcPr>
          <w:p w14:paraId="1DAC5248" w14:textId="77777777" w:rsidR="003A11FB" w:rsidRPr="00037A46" w:rsidRDefault="003A11FB" w:rsidP="0024627B">
            <w:pPr>
              <w:spacing w:before="0" w:after="0"/>
              <w:ind w:left="530"/>
              <w:jc w:val="right"/>
              <w:rPr>
                <w:bCs/>
              </w:rPr>
            </w:pPr>
            <w:r w:rsidRPr="00037A46">
              <w:rPr>
                <w:bCs/>
              </w:rPr>
              <w:t>21.100</w:t>
            </w:r>
          </w:p>
        </w:tc>
      </w:tr>
      <w:tr w:rsidR="003A11FB" w:rsidRPr="00037A46" w14:paraId="7171966E" w14:textId="77777777">
        <w:trPr>
          <w:trHeight w:val="284"/>
          <w:jc w:val="center"/>
        </w:trPr>
        <w:tc>
          <w:tcPr>
            <w:tcW w:w="1291" w:type="dxa"/>
            <w:tcBorders>
              <w:right w:val="single" w:sz="8" w:space="0" w:color="auto"/>
            </w:tcBorders>
            <w:shd w:val="clear" w:color="auto" w:fill="C0C0C0"/>
            <w:noWrap/>
            <w:vAlign w:val="bottom"/>
          </w:tcPr>
          <w:p w14:paraId="2284DE5A" w14:textId="77777777" w:rsidR="003A11FB" w:rsidRPr="00037A46" w:rsidRDefault="003A11FB" w:rsidP="003A11FB">
            <w:pPr>
              <w:spacing w:before="0" w:after="0"/>
              <w:jc w:val="right"/>
              <w:rPr>
                <w:b/>
                <w:bCs/>
              </w:rPr>
            </w:pPr>
            <w:r w:rsidRPr="00037A46">
              <w:rPr>
                <w:b/>
                <w:bCs/>
              </w:rPr>
              <w:t>19</w:t>
            </w:r>
          </w:p>
        </w:tc>
        <w:tc>
          <w:tcPr>
            <w:tcW w:w="1276" w:type="dxa"/>
            <w:tcBorders>
              <w:left w:val="single" w:sz="8" w:space="0" w:color="auto"/>
              <w:right w:val="single" w:sz="8" w:space="0" w:color="auto"/>
            </w:tcBorders>
            <w:noWrap/>
            <w:vAlign w:val="bottom"/>
          </w:tcPr>
          <w:p w14:paraId="5E52F0D8" w14:textId="77777777" w:rsidR="003A11FB" w:rsidRPr="00037A46" w:rsidRDefault="003A11FB" w:rsidP="003A11FB">
            <w:pPr>
              <w:spacing w:before="0" w:after="0"/>
              <w:ind w:left="0"/>
              <w:jc w:val="right"/>
              <w:rPr>
                <w:bCs/>
              </w:rPr>
            </w:pPr>
            <w:r w:rsidRPr="00037A46">
              <w:rPr>
                <w:bCs/>
              </w:rPr>
              <w:t>16.750</w:t>
            </w:r>
          </w:p>
        </w:tc>
        <w:tc>
          <w:tcPr>
            <w:tcW w:w="1692" w:type="dxa"/>
            <w:tcBorders>
              <w:left w:val="single" w:sz="8" w:space="0" w:color="auto"/>
              <w:right w:val="single" w:sz="8" w:space="0" w:color="auto"/>
            </w:tcBorders>
            <w:noWrap/>
            <w:vAlign w:val="bottom"/>
          </w:tcPr>
          <w:p w14:paraId="2EEE799E" w14:textId="77777777" w:rsidR="003A11FB" w:rsidRPr="00037A46" w:rsidRDefault="003A11FB" w:rsidP="003A11FB">
            <w:pPr>
              <w:spacing w:before="0" w:after="0"/>
              <w:jc w:val="right"/>
              <w:rPr>
                <w:bCs/>
              </w:rPr>
            </w:pPr>
            <w:r w:rsidRPr="00037A46">
              <w:rPr>
                <w:bCs/>
              </w:rPr>
              <w:t>18.000</w:t>
            </w:r>
          </w:p>
        </w:tc>
        <w:tc>
          <w:tcPr>
            <w:tcW w:w="1692" w:type="dxa"/>
            <w:tcBorders>
              <w:left w:val="single" w:sz="8" w:space="0" w:color="auto"/>
              <w:right w:val="single" w:sz="8" w:space="0" w:color="auto"/>
            </w:tcBorders>
            <w:noWrap/>
            <w:vAlign w:val="bottom"/>
          </w:tcPr>
          <w:p w14:paraId="0DBC7280" w14:textId="77777777" w:rsidR="003A11FB" w:rsidRPr="00037A46" w:rsidRDefault="003A11FB" w:rsidP="003A11FB">
            <w:pPr>
              <w:spacing w:before="0" w:after="0"/>
              <w:jc w:val="right"/>
              <w:rPr>
                <w:bCs/>
              </w:rPr>
            </w:pPr>
            <w:r w:rsidRPr="00037A46">
              <w:rPr>
                <w:bCs/>
              </w:rPr>
              <w:t>19.200</w:t>
            </w:r>
          </w:p>
        </w:tc>
        <w:tc>
          <w:tcPr>
            <w:tcW w:w="1692" w:type="dxa"/>
            <w:tcBorders>
              <w:left w:val="single" w:sz="8" w:space="0" w:color="auto"/>
              <w:right w:val="single" w:sz="8" w:space="0" w:color="auto"/>
            </w:tcBorders>
            <w:noWrap/>
            <w:vAlign w:val="bottom"/>
          </w:tcPr>
          <w:p w14:paraId="118152A6" w14:textId="77777777" w:rsidR="003A11FB" w:rsidRPr="00037A46" w:rsidRDefault="003A11FB" w:rsidP="003A11FB">
            <w:pPr>
              <w:spacing w:before="0" w:after="0"/>
              <w:jc w:val="right"/>
              <w:rPr>
                <w:bCs/>
              </w:rPr>
            </w:pPr>
            <w:r w:rsidRPr="00037A46">
              <w:rPr>
                <w:bCs/>
              </w:rPr>
              <w:t>20.350</w:t>
            </w:r>
          </w:p>
        </w:tc>
        <w:tc>
          <w:tcPr>
            <w:tcW w:w="1050" w:type="dxa"/>
            <w:tcBorders>
              <w:left w:val="single" w:sz="8" w:space="0" w:color="auto"/>
            </w:tcBorders>
            <w:vAlign w:val="bottom"/>
          </w:tcPr>
          <w:p w14:paraId="294C5BFC" w14:textId="77777777" w:rsidR="003A11FB" w:rsidRPr="00037A46" w:rsidRDefault="003A11FB" w:rsidP="0024627B">
            <w:pPr>
              <w:spacing w:before="0" w:after="0"/>
              <w:ind w:left="530"/>
              <w:jc w:val="right"/>
              <w:rPr>
                <w:bCs/>
              </w:rPr>
            </w:pPr>
            <w:r w:rsidRPr="00037A46">
              <w:rPr>
                <w:bCs/>
              </w:rPr>
              <w:t>21.500</w:t>
            </w:r>
          </w:p>
        </w:tc>
      </w:tr>
      <w:tr w:rsidR="003A11FB" w:rsidRPr="00037A46" w14:paraId="286B36F7" w14:textId="77777777">
        <w:trPr>
          <w:trHeight w:val="284"/>
          <w:jc w:val="center"/>
        </w:trPr>
        <w:tc>
          <w:tcPr>
            <w:tcW w:w="1291" w:type="dxa"/>
            <w:tcBorders>
              <w:right w:val="single" w:sz="8" w:space="0" w:color="auto"/>
            </w:tcBorders>
            <w:shd w:val="clear" w:color="auto" w:fill="C0C0C0"/>
            <w:noWrap/>
            <w:vAlign w:val="bottom"/>
          </w:tcPr>
          <w:p w14:paraId="2DA4E988" w14:textId="77777777" w:rsidR="003A11FB" w:rsidRPr="00037A46" w:rsidRDefault="003A11FB" w:rsidP="003A11FB">
            <w:pPr>
              <w:spacing w:before="0" w:after="0"/>
              <w:jc w:val="right"/>
              <w:rPr>
                <w:b/>
                <w:bCs/>
              </w:rPr>
            </w:pPr>
            <w:r w:rsidRPr="00037A46">
              <w:rPr>
                <w:b/>
                <w:bCs/>
              </w:rPr>
              <w:t>20</w:t>
            </w:r>
          </w:p>
        </w:tc>
        <w:tc>
          <w:tcPr>
            <w:tcW w:w="1276" w:type="dxa"/>
            <w:tcBorders>
              <w:left w:val="single" w:sz="8" w:space="0" w:color="auto"/>
              <w:right w:val="single" w:sz="8" w:space="0" w:color="auto"/>
            </w:tcBorders>
            <w:noWrap/>
            <w:vAlign w:val="bottom"/>
          </w:tcPr>
          <w:p w14:paraId="2A9FCBB7" w14:textId="77777777" w:rsidR="003A11FB" w:rsidRPr="00037A46" w:rsidRDefault="003A11FB" w:rsidP="003A11FB">
            <w:pPr>
              <w:spacing w:before="0" w:after="0"/>
              <w:ind w:left="0"/>
              <w:jc w:val="right"/>
              <w:rPr>
                <w:bCs/>
              </w:rPr>
            </w:pPr>
            <w:r w:rsidRPr="00037A46">
              <w:rPr>
                <w:bCs/>
              </w:rPr>
              <w:t>16.750</w:t>
            </w:r>
          </w:p>
        </w:tc>
        <w:tc>
          <w:tcPr>
            <w:tcW w:w="1692" w:type="dxa"/>
            <w:tcBorders>
              <w:left w:val="single" w:sz="8" w:space="0" w:color="auto"/>
              <w:right w:val="single" w:sz="8" w:space="0" w:color="auto"/>
            </w:tcBorders>
            <w:noWrap/>
            <w:vAlign w:val="bottom"/>
          </w:tcPr>
          <w:p w14:paraId="4F5705FE" w14:textId="77777777" w:rsidR="003A11FB" w:rsidRPr="00037A46" w:rsidRDefault="003A11FB" w:rsidP="003A11FB">
            <w:pPr>
              <w:spacing w:before="0" w:after="0"/>
              <w:jc w:val="right"/>
              <w:rPr>
                <w:bCs/>
              </w:rPr>
            </w:pPr>
            <w:r w:rsidRPr="00037A46">
              <w:rPr>
                <w:bCs/>
              </w:rPr>
              <w:t>18.000</w:t>
            </w:r>
          </w:p>
        </w:tc>
        <w:tc>
          <w:tcPr>
            <w:tcW w:w="1692" w:type="dxa"/>
            <w:tcBorders>
              <w:left w:val="single" w:sz="8" w:space="0" w:color="auto"/>
              <w:right w:val="single" w:sz="8" w:space="0" w:color="auto"/>
            </w:tcBorders>
            <w:noWrap/>
            <w:vAlign w:val="bottom"/>
          </w:tcPr>
          <w:p w14:paraId="588DCB4C" w14:textId="77777777" w:rsidR="003A11FB" w:rsidRPr="00037A46" w:rsidRDefault="003A11FB" w:rsidP="003A11FB">
            <w:pPr>
              <w:spacing w:before="0" w:after="0"/>
              <w:jc w:val="right"/>
              <w:rPr>
                <w:bCs/>
              </w:rPr>
            </w:pPr>
            <w:r w:rsidRPr="00037A46">
              <w:rPr>
                <w:bCs/>
              </w:rPr>
              <w:t>19.200</w:t>
            </w:r>
          </w:p>
        </w:tc>
        <w:tc>
          <w:tcPr>
            <w:tcW w:w="1692" w:type="dxa"/>
            <w:tcBorders>
              <w:left w:val="single" w:sz="8" w:space="0" w:color="auto"/>
              <w:right w:val="single" w:sz="8" w:space="0" w:color="auto"/>
            </w:tcBorders>
            <w:noWrap/>
            <w:vAlign w:val="bottom"/>
          </w:tcPr>
          <w:p w14:paraId="52BCFD46" w14:textId="77777777" w:rsidR="003A11FB" w:rsidRPr="00037A46" w:rsidRDefault="003A11FB" w:rsidP="003A11FB">
            <w:pPr>
              <w:spacing w:before="0" w:after="0"/>
              <w:jc w:val="right"/>
              <w:rPr>
                <w:bCs/>
              </w:rPr>
            </w:pPr>
            <w:r w:rsidRPr="00037A46">
              <w:rPr>
                <w:bCs/>
              </w:rPr>
              <w:t>20.350</w:t>
            </w:r>
          </w:p>
        </w:tc>
        <w:tc>
          <w:tcPr>
            <w:tcW w:w="1050" w:type="dxa"/>
            <w:tcBorders>
              <w:left w:val="single" w:sz="8" w:space="0" w:color="auto"/>
            </w:tcBorders>
            <w:vAlign w:val="bottom"/>
          </w:tcPr>
          <w:p w14:paraId="374D3807" w14:textId="77777777" w:rsidR="003A11FB" w:rsidRPr="00037A46" w:rsidRDefault="003A11FB" w:rsidP="0024627B">
            <w:pPr>
              <w:spacing w:before="0" w:after="0"/>
              <w:ind w:left="530"/>
              <w:jc w:val="right"/>
              <w:rPr>
                <w:bCs/>
              </w:rPr>
            </w:pPr>
            <w:r w:rsidRPr="00037A46">
              <w:rPr>
                <w:bCs/>
              </w:rPr>
              <w:t>21.500</w:t>
            </w:r>
          </w:p>
        </w:tc>
      </w:tr>
      <w:tr w:rsidR="003A11FB" w:rsidRPr="00037A46" w14:paraId="1EECAA0F" w14:textId="77777777">
        <w:trPr>
          <w:trHeight w:val="284"/>
          <w:jc w:val="center"/>
        </w:trPr>
        <w:tc>
          <w:tcPr>
            <w:tcW w:w="1291" w:type="dxa"/>
            <w:tcBorders>
              <w:right w:val="single" w:sz="8" w:space="0" w:color="auto"/>
            </w:tcBorders>
            <w:shd w:val="clear" w:color="auto" w:fill="C0C0C0"/>
            <w:noWrap/>
            <w:vAlign w:val="bottom"/>
          </w:tcPr>
          <w:p w14:paraId="34287414" w14:textId="77777777" w:rsidR="003A11FB" w:rsidRPr="00037A46" w:rsidRDefault="003A11FB" w:rsidP="003A11FB">
            <w:pPr>
              <w:spacing w:before="0" w:after="0"/>
              <w:jc w:val="right"/>
              <w:rPr>
                <w:b/>
                <w:bCs/>
              </w:rPr>
            </w:pPr>
            <w:r w:rsidRPr="00037A46">
              <w:rPr>
                <w:b/>
                <w:bCs/>
              </w:rPr>
              <w:lastRenderedPageBreak/>
              <w:t>21</w:t>
            </w:r>
          </w:p>
        </w:tc>
        <w:tc>
          <w:tcPr>
            <w:tcW w:w="1276" w:type="dxa"/>
            <w:tcBorders>
              <w:left w:val="single" w:sz="8" w:space="0" w:color="auto"/>
              <w:right w:val="single" w:sz="8" w:space="0" w:color="auto"/>
            </w:tcBorders>
            <w:noWrap/>
            <w:vAlign w:val="bottom"/>
          </w:tcPr>
          <w:p w14:paraId="0EF9EEA6" w14:textId="77777777" w:rsidR="003A11FB" w:rsidRPr="00037A46" w:rsidRDefault="003A11FB" w:rsidP="003A11FB">
            <w:pPr>
              <w:spacing w:before="0" w:after="0"/>
              <w:ind w:left="0"/>
              <w:jc w:val="right"/>
              <w:rPr>
                <w:bCs/>
              </w:rPr>
            </w:pPr>
            <w:r w:rsidRPr="00037A46">
              <w:rPr>
                <w:bCs/>
              </w:rPr>
              <w:t>17.100</w:t>
            </w:r>
          </w:p>
        </w:tc>
        <w:tc>
          <w:tcPr>
            <w:tcW w:w="1692" w:type="dxa"/>
            <w:tcBorders>
              <w:left w:val="single" w:sz="8" w:space="0" w:color="auto"/>
              <w:right w:val="single" w:sz="8" w:space="0" w:color="auto"/>
            </w:tcBorders>
            <w:noWrap/>
            <w:vAlign w:val="bottom"/>
          </w:tcPr>
          <w:p w14:paraId="2544FF71" w14:textId="77777777" w:rsidR="003A11FB" w:rsidRPr="00037A46" w:rsidRDefault="003A11FB" w:rsidP="003A11FB">
            <w:pPr>
              <w:spacing w:before="0" w:after="0"/>
              <w:jc w:val="right"/>
              <w:rPr>
                <w:bCs/>
              </w:rPr>
            </w:pPr>
            <w:r w:rsidRPr="00037A46">
              <w:rPr>
                <w:bCs/>
              </w:rPr>
              <w:t>18.350</w:t>
            </w:r>
          </w:p>
        </w:tc>
        <w:tc>
          <w:tcPr>
            <w:tcW w:w="1692" w:type="dxa"/>
            <w:tcBorders>
              <w:left w:val="single" w:sz="8" w:space="0" w:color="auto"/>
              <w:right w:val="single" w:sz="8" w:space="0" w:color="auto"/>
            </w:tcBorders>
            <w:noWrap/>
            <w:vAlign w:val="bottom"/>
          </w:tcPr>
          <w:p w14:paraId="6308612C" w14:textId="77777777" w:rsidR="003A11FB" w:rsidRPr="00037A46" w:rsidRDefault="003A11FB" w:rsidP="003A11FB">
            <w:pPr>
              <w:spacing w:before="0" w:after="0"/>
              <w:jc w:val="right"/>
              <w:rPr>
                <w:bCs/>
              </w:rPr>
            </w:pPr>
            <w:r w:rsidRPr="00037A46">
              <w:rPr>
                <w:bCs/>
              </w:rPr>
              <w:t>19.600</w:t>
            </w:r>
          </w:p>
        </w:tc>
        <w:tc>
          <w:tcPr>
            <w:tcW w:w="1692" w:type="dxa"/>
            <w:tcBorders>
              <w:left w:val="single" w:sz="8" w:space="0" w:color="auto"/>
              <w:right w:val="single" w:sz="8" w:space="0" w:color="auto"/>
            </w:tcBorders>
            <w:noWrap/>
            <w:vAlign w:val="bottom"/>
          </w:tcPr>
          <w:p w14:paraId="5384CDFE" w14:textId="77777777" w:rsidR="003A11FB" w:rsidRPr="00037A46" w:rsidRDefault="003A11FB" w:rsidP="003A11FB">
            <w:pPr>
              <w:spacing w:before="0" w:after="0"/>
              <w:jc w:val="right"/>
              <w:rPr>
                <w:bCs/>
              </w:rPr>
            </w:pPr>
            <w:r w:rsidRPr="00037A46">
              <w:rPr>
                <w:bCs/>
              </w:rPr>
              <w:t>20.700</w:t>
            </w:r>
          </w:p>
        </w:tc>
        <w:tc>
          <w:tcPr>
            <w:tcW w:w="1050" w:type="dxa"/>
            <w:tcBorders>
              <w:left w:val="single" w:sz="8" w:space="0" w:color="auto"/>
            </w:tcBorders>
            <w:vAlign w:val="bottom"/>
          </w:tcPr>
          <w:p w14:paraId="28DF7087" w14:textId="77777777" w:rsidR="003A11FB" w:rsidRPr="00037A46" w:rsidRDefault="003A11FB" w:rsidP="0024627B">
            <w:pPr>
              <w:spacing w:before="0" w:after="0"/>
              <w:ind w:left="530"/>
              <w:jc w:val="right"/>
              <w:rPr>
                <w:bCs/>
              </w:rPr>
            </w:pPr>
            <w:r w:rsidRPr="00037A46">
              <w:rPr>
                <w:bCs/>
              </w:rPr>
              <w:t>22.000</w:t>
            </w:r>
          </w:p>
        </w:tc>
      </w:tr>
      <w:tr w:rsidR="003A11FB" w:rsidRPr="00037A46" w14:paraId="64441346" w14:textId="77777777">
        <w:trPr>
          <w:trHeight w:val="284"/>
          <w:jc w:val="center"/>
        </w:trPr>
        <w:tc>
          <w:tcPr>
            <w:tcW w:w="1291" w:type="dxa"/>
            <w:tcBorders>
              <w:right w:val="single" w:sz="8" w:space="0" w:color="auto"/>
            </w:tcBorders>
            <w:shd w:val="clear" w:color="auto" w:fill="C0C0C0"/>
            <w:noWrap/>
            <w:vAlign w:val="bottom"/>
          </w:tcPr>
          <w:p w14:paraId="7844D212" w14:textId="77777777" w:rsidR="003A11FB" w:rsidRPr="00037A46" w:rsidRDefault="003A11FB" w:rsidP="003A11FB">
            <w:pPr>
              <w:spacing w:before="0" w:after="0"/>
              <w:jc w:val="right"/>
              <w:rPr>
                <w:b/>
                <w:bCs/>
              </w:rPr>
            </w:pPr>
            <w:r w:rsidRPr="00037A46">
              <w:rPr>
                <w:b/>
                <w:bCs/>
              </w:rPr>
              <w:t>22</w:t>
            </w:r>
          </w:p>
        </w:tc>
        <w:tc>
          <w:tcPr>
            <w:tcW w:w="1276" w:type="dxa"/>
            <w:tcBorders>
              <w:left w:val="single" w:sz="8" w:space="0" w:color="auto"/>
              <w:right w:val="single" w:sz="8" w:space="0" w:color="auto"/>
            </w:tcBorders>
            <w:noWrap/>
            <w:vAlign w:val="bottom"/>
          </w:tcPr>
          <w:p w14:paraId="033BE777" w14:textId="77777777" w:rsidR="003A11FB" w:rsidRPr="00037A46" w:rsidRDefault="003A11FB" w:rsidP="003A11FB">
            <w:pPr>
              <w:spacing w:before="0" w:after="0"/>
              <w:ind w:left="0"/>
              <w:jc w:val="right"/>
              <w:rPr>
                <w:bCs/>
              </w:rPr>
            </w:pPr>
            <w:r w:rsidRPr="00037A46">
              <w:rPr>
                <w:bCs/>
              </w:rPr>
              <w:t>17.100</w:t>
            </w:r>
          </w:p>
        </w:tc>
        <w:tc>
          <w:tcPr>
            <w:tcW w:w="1692" w:type="dxa"/>
            <w:tcBorders>
              <w:left w:val="single" w:sz="8" w:space="0" w:color="auto"/>
              <w:right w:val="single" w:sz="8" w:space="0" w:color="auto"/>
            </w:tcBorders>
            <w:noWrap/>
            <w:vAlign w:val="bottom"/>
          </w:tcPr>
          <w:p w14:paraId="2C2B7B80" w14:textId="77777777" w:rsidR="003A11FB" w:rsidRPr="00037A46" w:rsidRDefault="003A11FB" w:rsidP="003A11FB">
            <w:pPr>
              <w:spacing w:before="0" w:after="0"/>
              <w:jc w:val="right"/>
              <w:rPr>
                <w:bCs/>
              </w:rPr>
            </w:pPr>
            <w:r w:rsidRPr="00037A46">
              <w:rPr>
                <w:bCs/>
              </w:rPr>
              <w:t>18.350</w:t>
            </w:r>
          </w:p>
        </w:tc>
        <w:tc>
          <w:tcPr>
            <w:tcW w:w="1692" w:type="dxa"/>
            <w:tcBorders>
              <w:left w:val="single" w:sz="8" w:space="0" w:color="auto"/>
              <w:right w:val="single" w:sz="8" w:space="0" w:color="auto"/>
            </w:tcBorders>
            <w:noWrap/>
            <w:vAlign w:val="bottom"/>
          </w:tcPr>
          <w:p w14:paraId="1B2DAAFB" w14:textId="77777777" w:rsidR="003A11FB" w:rsidRPr="00037A46" w:rsidRDefault="003A11FB" w:rsidP="003A11FB">
            <w:pPr>
              <w:spacing w:before="0" w:after="0"/>
              <w:jc w:val="right"/>
              <w:rPr>
                <w:bCs/>
              </w:rPr>
            </w:pPr>
            <w:r w:rsidRPr="00037A46">
              <w:rPr>
                <w:bCs/>
              </w:rPr>
              <w:t>19.600</w:t>
            </w:r>
          </w:p>
        </w:tc>
        <w:tc>
          <w:tcPr>
            <w:tcW w:w="1692" w:type="dxa"/>
            <w:tcBorders>
              <w:left w:val="single" w:sz="8" w:space="0" w:color="auto"/>
              <w:right w:val="single" w:sz="8" w:space="0" w:color="auto"/>
            </w:tcBorders>
            <w:noWrap/>
            <w:vAlign w:val="bottom"/>
          </w:tcPr>
          <w:p w14:paraId="4205229F" w14:textId="77777777" w:rsidR="003A11FB" w:rsidRPr="00037A46" w:rsidRDefault="003A11FB" w:rsidP="003A11FB">
            <w:pPr>
              <w:spacing w:before="0" w:after="0"/>
              <w:jc w:val="right"/>
              <w:rPr>
                <w:bCs/>
              </w:rPr>
            </w:pPr>
            <w:r w:rsidRPr="00037A46">
              <w:rPr>
                <w:bCs/>
              </w:rPr>
              <w:t>20.700</w:t>
            </w:r>
          </w:p>
        </w:tc>
        <w:tc>
          <w:tcPr>
            <w:tcW w:w="1050" w:type="dxa"/>
            <w:tcBorders>
              <w:left w:val="single" w:sz="8" w:space="0" w:color="auto"/>
            </w:tcBorders>
            <w:vAlign w:val="bottom"/>
          </w:tcPr>
          <w:p w14:paraId="5A0DF385" w14:textId="77777777" w:rsidR="003A11FB" w:rsidRPr="00037A46" w:rsidRDefault="003A11FB" w:rsidP="0024627B">
            <w:pPr>
              <w:spacing w:before="0" w:after="0"/>
              <w:ind w:left="530"/>
              <w:jc w:val="right"/>
              <w:rPr>
                <w:bCs/>
              </w:rPr>
            </w:pPr>
            <w:r w:rsidRPr="00037A46">
              <w:rPr>
                <w:bCs/>
              </w:rPr>
              <w:t>22.000</w:t>
            </w:r>
          </w:p>
        </w:tc>
      </w:tr>
      <w:tr w:rsidR="003A11FB" w:rsidRPr="00037A46" w14:paraId="3090EA76" w14:textId="77777777">
        <w:trPr>
          <w:trHeight w:val="284"/>
          <w:jc w:val="center"/>
        </w:trPr>
        <w:tc>
          <w:tcPr>
            <w:tcW w:w="1291" w:type="dxa"/>
            <w:tcBorders>
              <w:right w:val="single" w:sz="8" w:space="0" w:color="auto"/>
            </w:tcBorders>
            <w:shd w:val="clear" w:color="auto" w:fill="C0C0C0"/>
            <w:noWrap/>
            <w:vAlign w:val="bottom"/>
          </w:tcPr>
          <w:p w14:paraId="22A45C18" w14:textId="77777777" w:rsidR="003A11FB" w:rsidRPr="00037A46" w:rsidRDefault="003A11FB" w:rsidP="003A11FB">
            <w:pPr>
              <w:spacing w:before="0" w:after="0"/>
              <w:jc w:val="right"/>
              <w:rPr>
                <w:b/>
                <w:bCs/>
              </w:rPr>
            </w:pPr>
            <w:r w:rsidRPr="00037A46">
              <w:rPr>
                <w:b/>
                <w:bCs/>
              </w:rPr>
              <w:t>23</w:t>
            </w:r>
          </w:p>
        </w:tc>
        <w:tc>
          <w:tcPr>
            <w:tcW w:w="1276" w:type="dxa"/>
            <w:tcBorders>
              <w:left w:val="single" w:sz="8" w:space="0" w:color="auto"/>
              <w:right w:val="single" w:sz="8" w:space="0" w:color="auto"/>
            </w:tcBorders>
            <w:noWrap/>
            <w:vAlign w:val="bottom"/>
          </w:tcPr>
          <w:p w14:paraId="166DBB45" w14:textId="77777777" w:rsidR="003A11FB" w:rsidRPr="00037A46" w:rsidRDefault="003A11FB" w:rsidP="003A11FB">
            <w:pPr>
              <w:spacing w:before="0" w:after="0"/>
              <w:ind w:left="0"/>
              <w:jc w:val="right"/>
              <w:rPr>
                <w:bCs/>
              </w:rPr>
            </w:pPr>
            <w:r w:rsidRPr="00037A46">
              <w:rPr>
                <w:bCs/>
              </w:rPr>
              <w:t>17.450</w:t>
            </w:r>
          </w:p>
        </w:tc>
        <w:tc>
          <w:tcPr>
            <w:tcW w:w="1692" w:type="dxa"/>
            <w:tcBorders>
              <w:left w:val="single" w:sz="8" w:space="0" w:color="auto"/>
              <w:right w:val="single" w:sz="8" w:space="0" w:color="auto"/>
            </w:tcBorders>
            <w:noWrap/>
            <w:vAlign w:val="bottom"/>
          </w:tcPr>
          <w:p w14:paraId="0AB6028A" w14:textId="77777777" w:rsidR="003A11FB" w:rsidRPr="00037A46" w:rsidRDefault="003A11FB" w:rsidP="003A11FB">
            <w:pPr>
              <w:spacing w:before="0" w:after="0"/>
              <w:jc w:val="right"/>
              <w:rPr>
                <w:bCs/>
              </w:rPr>
            </w:pPr>
            <w:r w:rsidRPr="00037A46">
              <w:rPr>
                <w:bCs/>
              </w:rPr>
              <w:t>18.750</w:t>
            </w:r>
          </w:p>
        </w:tc>
        <w:tc>
          <w:tcPr>
            <w:tcW w:w="1692" w:type="dxa"/>
            <w:tcBorders>
              <w:left w:val="single" w:sz="8" w:space="0" w:color="auto"/>
              <w:right w:val="single" w:sz="8" w:space="0" w:color="auto"/>
            </w:tcBorders>
            <w:noWrap/>
            <w:vAlign w:val="bottom"/>
          </w:tcPr>
          <w:p w14:paraId="038C0BA7" w14:textId="77777777" w:rsidR="003A11FB" w:rsidRPr="00037A46" w:rsidRDefault="003A11FB" w:rsidP="003A11FB">
            <w:pPr>
              <w:spacing w:before="0" w:after="0"/>
              <w:jc w:val="right"/>
              <w:rPr>
                <w:bCs/>
              </w:rPr>
            </w:pPr>
            <w:r w:rsidRPr="00037A46">
              <w:rPr>
                <w:bCs/>
              </w:rPr>
              <w:t>19.950</w:t>
            </w:r>
          </w:p>
        </w:tc>
        <w:tc>
          <w:tcPr>
            <w:tcW w:w="1692" w:type="dxa"/>
            <w:tcBorders>
              <w:left w:val="single" w:sz="8" w:space="0" w:color="auto"/>
              <w:right w:val="single" w:sz="8" w:space="0" w:color="auto"/>
            </w:tcBorders>
            <w:noWrap/>
            <w:vAlign w:val="bottom"/>
          </w:tcPr>
          <w:p w14:paraId="2EA7BCE4" w14:textId="77777777" w:rsidR="003A11FB" w:rsidRPr="00037A46" w:rsidRDefault="003A11FB" w:rsidP="003A11FB">
            <w:pPr>
              <w:spacing w:before="0" w:after="0"/>
              <w:jc w:val="right"/>
              <w:rPr>
                <w:bCs/>
              </w:rPr>
            </w:pPr>
            <w:r w:rsidRPr="00037A46">
              <w:rPr>
                <w:bCs/>
              </w:rPr>
              <w:t>21.050</w:t>
            </w:r>
          </w:p>
        </w:tc>
        <w:tc>
          <w:tcPr>
            <w:tcW w:w="1050" w:type="dxa"/>
            <w:tcBorders>
              <w:left w:val="single" w:sz="8" w:space="0" w:color="auto"/>
            </w:tcBorders>
            <w:vAlign w:val="bottom"/>
          </w:tcPr>
          <w:p w14:paraId="74064BA5" w14:textId="77777777" w:rsidR="003A11FB" w:rsidRPr="00037A46" w:rsidRDefault="003A11FB" w:rsidP="0024627B">
            <w:pPr>
              <w:spacing w:before="0" w:after="0"/>
              <w:ind w:left="530"/>
              <w:jc w:val="right"/>
              <w:rPr>
                <w:bCs/>
              </w:rPr>
            </w:pPr>
            <w:r w:rsidRPr="00037A46">
              <w:rPr>
                <w:bCs/>
              </w:rPr>
              <w:t>22.600</w:t>
            </w:r>
          </w:p>
        </w:tc>
      </w:tr>
      <w:tr w:rsidR="003A11FB" w:rsidRPr="00037A46" w14:paraId="154B63AC" w14:textId="77777777">
        <w:trPr>
          <w:trHeight w:val="284"/>
          <w:jc w:val="center"/>
        </w:trPr>
        <w:tc>
          <w:tcPr>
            <w:tcW w:w="1291" w:type="dxa"/>
            <w:tcBorders>
              <w:right w:val="single" w:sz="8" w:space="0" w:color="auto"/>
            </w:tcBorders>
            <w:shd w:val="clear" w:color="auto" w:fill="C0C0C0"/>
            <w:noWrap/>
            <w:vAlign w:val="bottom"/>
          </w:tcPr>
          <w:p w14:paraId="427F6B89" w14:textId="77777777" w:rsidR="003A11FB" w:rsidRPr="00037A46" w:rsidRDefault="003A11FB" w:rsidP="003A11FB">
            <w:pPr>
              <w:spacing w:before="0" w:after="0"/>
              <w:jc w:val="right"/>
              <w:rPr>
                <w:b/>
                <w:bCs/>
              </w:rPr>
            </w:pPr>
            <w:r w:rsidRPr="00037A46">
              <w:rPr>
                <w:b/>
                <w:bCs/>
              </w:rPr>
              <w:t>24</w:t>
            </w:r>
          </w:p>
        </w:tc>
        <w:tc>
          <w:tcPr>
            <w:tcW w:w="1276" w:type="dxa"/>
            <w:tcBorders>
              <w:left w:val="single" w:sz="8" w:space="0" w:color="auto"/>
              <w:right w:val="single" w:sz="8" w:space="0" w:color="auto"/>
            </w:tcBorders>
            <w:noWrap/>
            <w:vAlign w:val="bottom"/>
          </w:tcPr>
          <w:p w14:paraId="2D4D493A" w14:textId="77777777" w:rsidR="003A11FB" w:rsidRPr="00037A46" w:rsidRDefault="003A11FB" w:rsidP="003A11FB">
            <w:pPr>
              <w:spacing w:before="0" w:after="0"/>
              <w:ind w:left="0"/>
              <w:jc w:val="right"/>
              <w:rPr>
                <w:bCs/>
              </w:rPr>
            </w:pPr>
            <w:r w:rsidRPr="00037A46">
              <w:rPr>
                <w:bCs/>
              </w:rPr>
              <w:t>17.450</w:t>
            </w:r>
          </w:p>
        </w:tc>
        <w:tc>
          <w:tcPr>
            <w:tcW w:w="1692" w:type="dxa"/>
            <w:tcBorders>
              <w:left w:val="single" w:sz="8" w:space="0" w:color="auto"/>
              <w:right w:val="single" w:sz="8" w:space="0" w:color="auto"/>
            </w:tcBorders>
            <w:noWrap/>
            <w:vAlign w:val="bottom"/>
          </w:tcPr>
          <w:p w14:paraId="08FF037A" w14:textId="77777777" w:rsidR="003A11FB" w:rsidRPr="00037A46" w:rsidRDefault="003A11FB" w:rsidP="003A11FB">
            <w:pPr>
              <w:spacing w:before="0" w:after="0"/>
              <w:jc w:val="right"/>
              <w:rPr>
                <w:bCs/>
              </w:rPr>
            </w:pPr>
            <w:r w:rsidRPr="00037A46">
              <w:rPr>
                <w:bCs/>
              </w:rPr>
              <w:t>18.750</w:t>
            </w:r>
          </w:p>
        </w:tc>
        <w:tc>
          <w:tcPr>
            <w:tcW w:w="1692" w:type="dxa"/>
            <w:tcBorders>
              <w:left w:val="single" w:sz="8" w:space="0" w:color="auto"/>
              <w:right w:val="single" w:sz="8" w:space="0" w:color="auto"/>
            </w:tcBorders>
            <w:noWrap/>
            <w:vAlign w:val="bottom"/>
          </w:tcPr>
          <w:p w14:paraId="3A3504C9" w14:textId="77777777" w:rsidR="003A11FB" w:rsidRPr="00037A46" w:rsidRDefault="003A11FB" w:rsidP="003A11FB">
            <w:pPr>
              <w:spacing w:before="0" w:after="0"/>
              <w:jc w:val="right"/>
              <w:rPr>
                <w:bCs/>
              </w:rPr>
            </w:pPr>
            <w:r w:rsidRPr="00037A46">
              <w:rPr>
                <w:bCs/>
              </w:rPr>
              <w:t>19.950</w:t>
            </w:r>
          </w:p>
        </w:tc>
        <w:tc>
          <w:tcPr>
            <w:tcW w:w="1692" w:type="dxa"/>
            <w:tcBorders>
              <w:left w:val="single" w:sz="8" w:space="0" w:color="auto"/>
              <w:right w:val="single" w:sz="8" w:space="0" w:color="auto"/>
            </w:tcBorders>
            <w:noWrap/>
            <w:vAlign w:val="bottom"/>
          </w:tcPr>
          <w:p w14:paraId="1F0565F8" w14:textId="77777777" w:rsidR="003A11FB" w:rsidRPr="00037A46" w:rsidRDefault="003A11FB" w:rsidP="003A11FB">
            <w:pPr>
              <w:spacing w:before="0" w:after="0"/>
              <w:jc w:val="right"/>
              <w:rPr>
                <w:bCs/>
              </w:rPr>
            </w:pPr>
            <w:r w:rsidRPr="00037A46">
              <w:rPr>
                <w:bCs/>
              </w:rPr>
              <w:t>21.050</w:t>
            </w:r>
          </w:p>
        </w:tc>
        <w:tc>
          <w:tcPr>
            <w:tcW w:w="1050" w:type="dxa"/>
            <w:tcBorders>
              <w:left w:val="single" w:sz="8" w:space="0" w:color="auto"/>
            </w:tcBorders>
            <w:vAlign w:val="bottom"/>
          </w:tcPr>
          <w:p w14:paraId="2D25917E" w14:textId="77777777" w:rsidR="003A11FB" w:rsidRPr="00037A46" w:rsidRDefault="003A11FB" w:rsidP="0024627B">
            <w:pPr>
              <w:spacing w:before="0" w:after="0"/>
              <w:ind w:left="530"/>
              <w:jc w:val="right"/>
              <w:rPr>
                <w:bCs/>
              </w:rPr>
            </w:pPr>
            <w:r w:rsidRPr="00037A46">
              <w:rPr>
                <w:bCs/>
              </w:rPr>
              <w:t>22.600</w:t>
            </w:r>
          </w:p>
        </w:tc>
      </w:tr>
      <w:tr w:rsidR="003A11FB" w:rsidRPr="00037A46" w14:paraId="77DDA05B" w14:textId="77777777">
        <w:trPr>
          <w:trHeight w:val="284"/>
          <w:jc w:val="center"/>
        </w:trPr>
        <w:tc>
          <w:tcPr>
            <w:tcW w:w="1291" w:type="dxa"/>
            <w:tcBorders>
              <w:right w:val="single" w:sz="8" w:space="0" w:color="auto"/>
            </w:tcBorders>
            <w:shd w:val="clear" w:color="auto" w:fill="C0C0C0"/>
            <w:noWrap/>
            <w:vAlign w:val="bottom"/>
          </w:tcPr>
          <w:p w14:paraId="083B693F" w14:textId="77777777" w:rsidR="003A11FB" w:rsidRPr="00037A46" w:rsidRDefault="003A11FB" w:rsidP="003A11FB">
            <w:pPr>
              <w:spacing w:before="0" w:after="0"/>
              <w:jc w:val="right"/>
              <w:rPr>
                <w:b/>
                <w:bCs/>
              </w:rPr>
            </w:pPr>
            <w:r w:rsidRPr="00037A46">
              <w:rPr>
                <w:b/>
                <w:bCs/>
              </w:rPr>
              <w:t>25</w:t>
            </w:r>
          </w:p>
        </w:tc>
        <w:tc>
          <w:tcPr>
            <w:tcW w:w="1276" w:type="dxa"/>
            <w:tcBorders>
              <w:left w:val="single" w:sz="8" w:space="0" w:color="auto"/>
              <w:right w:val="single" w:sz="8" w:space="0" w:color="auto"/>
            </w:tcBorders>
            <w:noWrap/>
            <w:vAlign w:val="bottom"/>
          </w:tcPr>
          <w:p w14:paraId="6A414C5B" w14:textId="77777777" w:rsidR="003A11FB" w:rsidRPr="00037A46" w:rsidRDefault="003A11FB" w:rsidP="003A11FB">
            <w:pPr>
              <w:spacing w:before="0" w:after="0"/>
              <w:ind w:left="0"/>
              <w:jc w:val="right"/>
              <w:rPr>
                <w:bCs/>
              </w:rPr>
            </w:pPr>
            <w:r w:rsidRPr="00037A46">
              <w:rPr>
                <w:bCs/>
              </w:rPr>
              <w:t>17.800</w:t>
            </w:r>
          </w:p>
        </w:tc>
        <w:tc>
          <w:tcPr>
            <w:tcW w:w="1692" w:type="dxa"/>
            <w:tcBorders>
              <w:left w:val="single" w:sz="8" w:space="0" w:color="auto"/>
              <w:right w:val="single" w:sz="8" w:space="0" w:color="auto"/>
            </w:tcBorders>
            <w:noWrap/>
            <w:vAlign w:val="bottom"/>
          </w:tcPr>
          <w:p w14:paraId="661B4148" w14:textId="77777777" w:rsidR="003A11FB" w:rsidRPr="00037A46" w:rsidRDefault="003A11FB" w:rsidP="003A11FB">
            <w:pPr>
              <w:spacing w:before="0" w:after="0"/>
              <w:jc w:val="right"/>
              <w:rPr>
                <w:bCs/>
              </w:rPr>
            </w:pPr>
            <w:r w:rsidRPr="00037A46">
              <w:rPr>
                <w:bCs/>
              </w:rPr>
              <w:t>19.100</w:t>
            </w:r>
          </w:p>
        </w:tc>
        <w:tc>
          <w:tcPr>
            <w:tcW w:w="1692" w:type="dxa"/>
            <w:tcBorders>
              <w:left w:val="single" w:sz="8" w:space="0" w:color="auto"/>
              <w:right w:val="single" w:sz="8" w:space="0" w:color="auto"/>
            </w:tcBorders>
            <w:noWrap/>
            <w:vAlign w:val="bottom"/>
          </w:tcPr>
          <w:p w14:paraId="3EA45B85" w14:textId="77777777" w:rsidR="003A11FB" w:rsidRPr="00037A46" w:rsidRDefault="003A11FB" w:rsidP="003A11FB">
            <w:pPr>
              <w:spacing w:before="0" w:after="0"/>
              <w:jc w:val="right"/>
              <w:rPr>
                <w:bCs/>
              </w:rPr>
            </w:pPr>
            <w:r w:rsidRPr="00037A46">
              <w:rPr>
                <w:bCs/>
              </w:rPr>
              <w:t>20.350</w:t>
            </w:r>
          </w:p>
        </w:tc>
        <w:tc>
          <w:tcPr>
            <w:tcW w:w="1692" w:type="dxa"/>
            <w:tcBorders>
              <w:left w:val="single" w:sz="8" w:space="0" w:color="auto"/>
              <w:right w:val="single" w:sz="8" w:space="0" w:color="auto"/>
            </w:tcBorders>
            <w:noWrap/>
            <w:vAlign w:val="bottom"/>
          </w:tcPr>
          <w:p w14:paraId="4257DA87" w14:textId="77777777" w:rsidR="003A11FB" w:rsidRPr="00037A46" w:rsidRDefault="003A11FB" w:rsidP="003A11FB">
            <w:pPr>
              <w:spacing w:before="0" w:after="0"/>
              <w:jc w:val="right"/>
              <w:rPr>
                <w:bCs/>
              </w:rPr>
            </w:pPr>
            <w:r w:rsidRPr="00037A46">
              <w:rPr>
                <w:bCs/>
              </w:rPr>
              <w:t>21.400</w:t>
            </w:r>
          </w:p>
        </w:tc>
        <w:tc>
          <w:tcPr>
            <w:tcW w:w="1050" w:type="dxa"/>
            <w:tcBorders>
              <w:left w:val="single" w:sz="8" w:space="0" w:color="auto"/>
            </w:tcBorders>
            <w:vAlign w:val="bottom"/>
          </w:tcPr>
          <w:p w14:paraId="3F674562" w14:textId="77777777" w:rsidR="003A11FB" w:rsidRPr="00037A46" w:rsidRDefault="003A11FB" w:rsidP="0024627B">
            <w:pPr>
              <w:spacing w:before="0" w:after="0"/>
              <w:ind w:left="530"/>
              <w:jc w:val="right"/>
              <w:rPr>
                <w:bCs/>
              </w:rPr>
            </w:pPr>
            <w:r w:rsidRPr="00037A46">
              <w:rPr>
                <w:bCs/>
              </w:rPr>
              <w:t>23.200</w:t>
            </w:r>
          </w:p>
        </w:tc>
      </w:tr>
      <w:tr w:rsidR="003A11FB" w:rsidRPr="00037A46" w14:paraId="55835782" w14:textId="77777777">
        <w:trPr>
          <w:trHeight w:val="284"/>
          <w:jc w:val="center"/>
        </w:trPr>
        <w:tc>
          <w:tcPr>
            <w:tcW w:w="1291" w:type="dxa"/>
            <w:tcBorders>
              <w:right w:val="single" w:sz="8" w:space="0" w:color="auto"/>
            </w:tcBorders>
            <w:shd w:val="clear" w:color="auto" w:fill="C0C0C0"/>
            <w:noWrap/>
            <w:vAlign w:val="bottom"/>
          </w:tcPr>
          <w:p w14:paraId="0C5DC882" w14:textId="77777777" w:rsidR="003A11FB" w:rsidRPr="00037A46" w:rsidRDefault="003A11FB" w:rsidP="003A11FB">
            <w:pPr>
              <w:spacing w:before="0" w:after="0"/>
              <w:jc w:val="right"/>
              <w:rPr>
                <w:b/>
                <w:bCs/>
              </w:rPr>
            </w:pPr>
            <w:r w:rsidRPr="00037A46">
              <w:rPr>
                <w:b/>
                <w:bCs/>
              </w:rPr>
              <w:t>26</w:t>
            </w:r>
          </w:p>
        </w:tc>
        <w:tc>
          <w:tcPr>
            <w:tcW w:w="1276" w:type="dxa"/>
            <w:tcBorders>
              <w:left w:val="single" w:sz="8" w:space="0" w:color="auto"/>
              <w:right w:val="single" w:sz="8" w:space="0" w:color="auto"/>
            </w:tcBorders>
            <w:noWrap/>
            <w:vAlign w:val="bottom"/>
          </w:tcPr>
          <w:p w14:paraId="04E1EA0A" w14:textId="77777777" w:rsidR="003A11FB" w:rsidRPr="00037A46" w:rsidRDefault="003A11FB" w:rsidP="003A11FB">
            <w:pPr>
              <w:spacing w:before="0" w:after="0"/>
              <w:ind w:left="0"/>
              <w:jc w:val="right"/>
              <w:rPr>
                <w:bCs/>
              </w:rPr>
            </w:pPr>
            <w:r w:rsidRPr="00037A46">
              <w:rPr>
                <w:bCs/>
              </w:rPr>
              <w:t>17.800</w:t>
            </w:r>
          </w:p>
        </w:tc>
        <w:tc>
          <w:tcPr>
            <w:tcW w:w="1692" w:type="dxa"/>
            <w:tcBorders>
              <w:left w:val="single" w:sz="8" w:space="0" w:color="auto"/>
              <w:right w:val="single" w:sz="8" w:space="0" w:color="auto"/>
            </w:tcBorders>
            <w:noWrap/>
            <w:vAlign w:val="bottom"/>
          </w:tcPr>
          <w:p w14:paraId="69DC27B2" w14:textId="77777777" w:rsidR="003A11FB" w:rsidRPr="00037A46" w:rsidRDefault="003A11FB" w:rsidP="003A11FB">
            <w:pPr>
              <w:spacing w:before="0" w:after="0"/>
              <w:jc w:val="right"/>
              <w:rPr>
                <w:bCs/>
              </w:rPr>
            </w:pPr>
            <w:r w:rsidRPr="00037A46">
              <w:rPr>
                <w:bCs/>
              </w:rPr>
              <w:t>19.100</w:t>
            </w:r>
          </w:p>
        </w:tc>
        <w:tc>
          <w:tcPr>
            <w:tcW w:w="1692" w:type="dxa"/>
            <w:tcBorders>
              <w:left w:val="single" w:sz="8" w:space="0" w:color="auto"/>
              <w:right w:val="single" w:sz="8" w:space="0" w:color="auto"/>
            </w:tcBorders>
            <w:noWrap/>
            <w:vAlign w:val="bottom"/>
          </w:tcPr>
          <w:p w14:paraId="3DEBBBFE" w14:textId="77777777" w:rsidR="003A11FB" w:rsidRPr="00037A46" w:rsidRDefault="003A11FB" w:rsidP="003A11FB">
            <w:pPr>
              <w:spacing w:before="0" w:after="0"/>
              <w:jc w:val="right"/>
              <w:rPr>
                <w:bCs/>
              </w:rPr>
            </w:pPr>
            <w:r w:rsidRPr="00037A46">
              <w:rPr>
                <w:bCs/>
              </w:rPr>
              <w:t>20.350</w:t>
            </w:r>
          </w:p>
        </w:tc>
        <w:tc>
          <w:tcPr>
            <w:tcW w:w="1692" w:type="dxa"/>
            <w:tcBorders>
              <w:left w:val="single" w:sz="8" w:space="0" w:color="auto"/>
              <w:right w:val="single" w:sz="8" w:space="0" w:color="auto"/>
            </w:tcBorders>
            <w:noWrap/>
            <w:vAlign w:val="bottom"/>
          </w:tcPr>
          <w:p w14:paraId="1797E16F" w14:textId="77777777" w:rsidR="003A11FB" w:rsidRPr="00037A46" w:rsidRDefault="003A11FB" w:rsidP="003A11FB">
            <w:pPr>
              <w:spacing w:before="0" w:after="0"/>
              <w:jc w:val="right"/>
              <w:rPr>
                <w:bCs/>
              </w:rPr>
            </w:pPr>
            <w:r w:rsidRPr="00037A46">
              <w:rPr>
                <w:bCs/>
              </w:rPr>
              <w:t>21.400</w:t>
            </w:r>
          </w:p>
        </w:tc>
        <w:tc>
          <w:tcPr>
            <w:tcW w:w="1050" w:type="dxa"/>
            <w:tcBorders>
              <w:left w:val="single" w:sz="8" w:space="0" w:color="auto"/>
            </w:tcBorders>
            <w:vAlign w:val="bottom"/>
          </w:tcPr>
          <w:p w14:paraId="38B010DA" w14:textId="77777777" w:rsidR="003A11FB" w:rsidRPr="00037A46" w:rsidRDefault="003A11FB" w:rsidP="0024627B">
            <w:pPr>
              <w:spacing w:before="0" w:after="0"/>
              <w:ind w:left="530"/>
              <w:jc w:val="right"/>
              <w:rPr>
                <w:bCs/>
              </w:rPr>
            </w:pPr>
            <w:r w:rsidRPr="00037A46">
              <w:rPr>
                <w:bCs/>
              </w:rPr>
              <w:t>23.200</w:t>
            </w:r>
          </w:p>
        </w:tc>
      </w:tr>
      <w:tr w:rsidR="003A11FB" w:rsidRPr="00037A46" w14:paraId="0779389C" w14:textId="77777777">
        <w:trPr>
          <w:trHeight w:val="284"/>
          <w:jc w:val="center"/>
        </w:trPr>
        <w:tc>
          <w:tcPr>
            <w:tcW w:w="1291" w:type="dxa"/>
            <w:tcBorders>
              <w:bottom w:val="single" w:sz="8" w:space="0" w:color="auto"/>
              <w:right w:val="single" w:sz="8" w:space="0" w:color="auto"/>
            </w:tcBorders>
            <w:shd w:val="clear" w:color="auto" w:fill="C0C0C0"/>
            <w:noWrap/>
            <w:vAlign w:val="bottom"/>
          </w:tcPr>
          <w:p w14:paraId="2AC0E7AD" w14:textId="77777777" w:rsidR="003A11FB" w:rsidRPr="00037A46" w:rsidRDefault="003A11FB" w:rsidP="003A11FB">
            <w:pPr>
              <w:spacing w:before="0" w:after="0"/>
              <w:jc w:val="right"/>
              <w:rPr>
                <w:b/>
                <w:bCs/>
              </w:rPr>
            </w:pPr>
            <w:r w:rsidRPr="00037A46">
              <w:rPr>
                <w:b/>
                <w:bCs/>
              </w:rPr>
              <w:t>27</w:t>
            </w:r>
          </w:p>
        </w:tc>
        <w:tc>
          <w:tcPr>
            <w:tcW w:w="1276" w:type="dxa"/>
            <w:tcBorders>
              <w:left w:val="single" w:sz="8" w:space="0" w:color="auto"/>
              <w:bottom w:val="single" w:sz="8" w:space="0" w:color="auto"/>
              <w:right w:val="single" w:sz="8" w:space="0" w:color="auto"/>
            </w:tcBorders>
            <w:noWrap/>
            <w:vAlign w:val="bottom"/>
          </w:tcPr>
          <w:p w14:paraId="45849C55" w14:textId="77777777" w:rsidR="003A11FB" w:rsidRPr="00037A46" w:rsidRDefault="003A11FB" w:rsidP="003A11FB">
            <w:pPr>
              <w:spacing w:before="0" w:after="0"/>
              <w:ind w:left="0"/>
              <w:jc w:val="right"/>
              <w:rPr>
                <w:bCs/>
              </w:rPr>
            </w:pPr>
            <w:r w:rsidRPr="00037A46">
              <w:rPr>
                <w:bCs/>
              </w:rPr>
              <w:t>18.300</w:t>
            </w:r>
          </w:p>
        </w:tc>
        <w:tc>
          <w:tcPr>
            <w:tcW w:w="1692" w:type="dxa"/>
            <w:tcBorders>
              <w:left w:val="single" w:sz="8" w:space="0" w:color="auto"/>
              <w:bottom w:val="single" w:sz="8" w:space="0" w:color="auto"/>
              <w:right w:val="single" w:sz="8" w:space="0" w:color="auto"/>
            </w:tcBorders>
            <w:noWrap/>
            <w:vAlign w:val="bottom"/>
          </w:tcPr>
          <w:p w14:paraId="0B6E4379" w14:textId="77777777" w:rsidR="003A11FB" w:rsidRPr="00037A46" w:rsidRDefault="003A11FB" w:rsidP="003A11FB">
            <w:pPr>
              <w:spacing w:before="0" w:after="0"/>
              <w:jc w:val="right"/>
              <w:rPr>
                <w:bCs/>
              </w:rPr>
            </w:pPr>
            <w:r w:rsidRPr="00037A46">
              <w:rPr>
                <w:bCs/>
              </w:rPr>
              <w:t>19.600</w:t>
            </w:r>
          </w:p>
        </w:tc>
        <w:tc>
          <w:tcPr>
            <w:tcW w:w="1692" w:type="dxa"/>
            <w:tcBorders>
              <w:left w:val="single" w:sz="8" w:space="0" w:color="auto"/>
              <w:bottom w:val="single" w:sz="8" w:space="0" w:color="auto"/>
              <w:right w:val="single" w:sz="8" w:space="0" w:color="auto"/>
            </w:tcBorders>
            <w:noWrap/>
            <w:vAlign w:val="bottom"/>
          </w:tcPr>
          <w:p w14:paraId="201F1D39" w14:textId="77777777" w:rsidR="003A11FB" w:rsidRPr="00037A46" w:rsidRDefault="003A11FB" w:rsidP="003A11FB">
            <w:pPr>
              <w:spacing w:before="0" w:after="0"/>
              <w:jc w:val="right"/>
              <w:rPr>
                <w:bCs/>
              </w:rPr>
            </w:pPr>
            <w:r w:rsidRPr="00037A46">
              <w:rPr>
                <w:bCs/>
              </w:rPr>
              <w:t>20.700</w:t>
            </w:r>
          </w:p>
        </w:tc>
        <w:tc>
          <w:tcPr>
            <w:tcW w:w="1692" w:type="dxa"/>
            <w:tcBorders>
              <w:left w:val="single" w:sz="8" w:space="0" w:color="auto"/>
              <w:bottom w:val="single" w:sz="8" w:space="0" w:color="auto"/>
              <w:right w:val="single" w:sz="8" w:space="0" w:color="auto"/>
            </w:tcBorders>
            <w:noWrap/>
            <w:vAlign w:val="bottom"/>
          </w:tcPr>
          <w:p w14:paraId="64B0EA3F" w14:textId="77777777" w:rsidR="003A11FB" w:rsidRPr="00037A46" w:rsidRDefault="003A11FB" w:rsidP="003A11FB">
            <w:pPr>
              <w:spacing w:before="0" w:after="0"/>
              <w:jc w:val="right"/>
              <w:rPr>
                <w:bCs/>
              </w:rPr>
            </w:pPr>
            <w:r w:rsidRPr="00037A46">
              <w:rPr>
                <w:bCs/>
              </w:rPr>
              <w:t>21.950</w:t>
            </w:r>
          </w:p>
        </w:tc>
        <w:tc>
          <w:tcPr>
            <w:tcW w:w="1050" w:type="dxa"/>
            <w:tcBorders>
              <w:left w:val="single" w:sz="8" w:space="0" w:color="auto"/>
              <w:bottom w:val="single" w:sz="8" w:space="0" w:color="auto"/>
            </w:tcBorders>
            <w:vAlign w:val="bottom"/>
          </w:tcPr>
          <w:p w14:paraId="72176B38" w14:textId="77777777" w:rsidR="003A11FB" w:rsidRPr="00037A46" w:rsidRDefault="003A11FB" w:rsidP="0024627B">
            <w:pPr>
              <w:spacing w:before="0" w:after="0"/>
              <w:ind w:left="530"/>
              <w:jc w:val="right"/>
              <w:rPr>
                <w:bCs/>
              </w:rPr>
            </w:pPr>
            <w:r w:rsidRPr="00037A46">
              <w:rPr>
                <w:bCs/>
              </w:rPr>
              <w:t>23.800</w:t>
            </w:r>
          </w:p>
        </w:tc>
      </w:tr>
    </w:tbl>
    <w:p w14:paraId="507D767D" w14:textId="77777777" w:rsidR="003A11FB" w:rsidRPr="00037A46" w:rsidRDefault="003A11FB" w:rsidP="003A11FB">
      <w:pPr>
        <w:jc w:val="right"/>
        <w:rPr>
          <w:b/>
          <w:bCs/>
        </w:rPr>
      </w:pPr>
      <w:r w:rsidRPr="00037A46">
        <w:rPr>
          <w:b/>
          <w:bCs/>
        </w:rPr>
        <w:br w:type="page"/>
      </w:r>
    </w:p>
    <w:tbl>
      <w:tblPr>
        <w:tblW w:w="5118" w:type="dxa"/>
        <w:jc w:val="center"/>
        <w:tblBorders>
          <w:top w:val="single" w:sz="8" w:space="0" w:color="auto"/>
          <w:left w:val="single" w:sz="8" w:space="0" w:color="auto"/>
          <w:bottom w:val="single" w:sz="8" w:space="0" w:color="auto"/>
          <w:right w:val="single" w:sz="8" w:space="0" w:color="auto"/>
          <w:insideV w:val="single" w:sz="8" w:space="0" w:color="auto"/>
        </w:tblBorders>
        <w:tblCellMar>
          <w:left w:w="70" w:type="dxa"/>
          <w:right w:w="70" w:type="dxa"/>
        </w:tblCellMar>
        <w:tblLook w:val="0000" w:firstRow="0" w:lastRow="0" w:firstColumn="0" w:lastColumn="0" w:noHBand="0" w:noVBand="0"/>
      </w:tblPr>
      <w:tblGrid>
        <w:gridCol w:w="1291"/>
        <w:gridCol w:w="1276"/>
        <w:gridCol w:w="1276"/>
        <w:gridCol w:w="1275"/>
      </w:tblGrid>
      <w:tr w:rsidR="003A11FB" w:rsidRPr="00037A46" w14:paraId="1A1F82AB" w14:textId="77777777">
        <w:trPr>
          <w:trHeight w:val="660"/>
          <w:jc w:val="center"/>
        </w:trPr>
        <w:tc>
          <w:tcPr>
            <w:tcW w:w="1291" w:type="dxa"/>
            <w:tcBorders>
              <w:top w:val="single" w:sz="8" w:space="0" w:color="auto"/>
              <w:bottom w:val="single" w:sz="8" w:space="0" w:color="auto"/>
            </w:tcBorders>
            <w:shd w:val="clear" w:color="auto" w:fill="E3E3E3"/>
            <w:vAlign w:val="center"/>
          </w:tcPr>
          <w:p w14:paraId="78376DA0" w14:textId="2E3965F5" w:rsidR="003A11FB" w:rsidRPr="00037A46" w:rsidRDefault="00124C52" w:rsidP="00124C52">
            <w:pPr>
              <w:spacing w:before="0" w:after="0"/>
              <w:ind w:left="0"/>
              <w:jc w:val="center"/>
              <w:rPr>
                <w:b/>
                <w:bCs/>
              </w:rPr>
            </w:pPr>
            <w:proofErr w:type="spellStart"/>
            <w:r>
              <w:rPr>
                <w:b/>
                <w:bCs/>
              </w:rPr>
              <w:lastRenderedPageBreak/>
              <w:t>S</w:t>
            </w:r>
            <w:r w:rsidR="003A11FB" w:rsidRPr="00037A46">
              <w:rPr>
                <w:b/>
                <w:bCs/>
              </w:rPr>
              <w:t>alaris-schalen</w:t>
            </w:r>
            <w:proofErr w:type="spellEnd"/>
          </w:p>
        </w:tc>
        <w:tc>
          <w:tcPr>
            <w:tcW w:w="1276" w:type="dxa"/>
            <w:tcBorders>
              <w:top w:val="single" w:sz="8" w:space="0" w:color="auto"/>
              <w:bottom w:val="single" w:sz="8" w:space="0" w:color="auto"/>
            </w:tcBorders>
            <w:shd w:val="clear" w:color="auto" w:fill="C0C0C0"/>
            <w:vAlign w:val="center"/>
          </w:tcPr>
          <w:p w14:paraId="017599A0" w14:textId="77777777" w:rsidR="003A11FB" w:rsidRPr="00037A46" w:rsidRDefault="003A11FB" w:rsidP="003A11FB">
            <w:pPr>
              <w:spacing w:before="0" w:after="0"/>
              <w:jc w:val="right"/>
              <w:rPr>
                <w:b/>
                <w:bCs/>
              </w:rPr>
            </w:pPr>
            <w:r w:rsidRPr="00037A46">
              <w:rPr>
                <w:b/>
                <w:bCs/>
              </w:rPr>
              <w:t>E1</w:t>
            </w:r>
          </w:p>
        </w:tc>
        <w:tc>
          <w:tcPr>
            <w:tcW w:w="1276" w:type="dxa"/>
            <w:tcBorders>
              <w:top w:val="single" w:sz="8" w:space="0" w:color="auto"/>
              <w:bottom w:val="single" w:sz="8" w:space="0" w:color="auto"/>
            </w:tcBorders>
            <w:shd w:val="clear" w:color="auto" w:fill="C0C0C0"/>
            <w:vAlign w:val="center"/>
          </w:tcPr>
          <w:p w14:paraId="17934467" w14:textId="77777777" w:rsidR="003A11FB" w:rsidRPr="00037A46" w:rsidRDefault="003A11FB" w:rsidP="003A11FB">
            <w:pPr>
              <w:spacing w:before="0" w:after="0"/>
              <w:jc w:val="right"/>
              <w:rPr>
                <w:b/>
                <w:bCs/>
              </w:rPr>
            </w:pPr>
            <w:r w:rsidRPr="00037A46">
              <w:rPr>
                <w:b/>
                <w:bCs/>
              </w:rPr>
              <w:t>E2</w:t>
            </w:r>
          </w:p>
        </w:tc>
        <w:tc>
          <w:tcPr>
            <w:tcW w:w="1275" w:type="dxa"/>
            <w:tcBorders>
              <w:top w:val="single" w:sz="8" w:space="0" w:color="auto"/>
              <w:bottom w:val="single" w:sz="8" w:space="0" w:color="auto"/>
            </w:tcBorders>
            <w:shd w:val="clear" w:color="auto" w:fill="C0C0C0"/>
            <w:vAlign w:val="center"/>
          </w:tcPr>
          <w:p w14:paraId="07B3DC85" w14:textId="77777777" w:rsidR="003A11FB" w:rsidRPr="00037A46" w:rsidRDefault="003A11FB" w:rsidP="003A11FB">
            <w:pPr>
              <w:spacing w:before="0" w:after="0"/>
              <w:jc w:val="right"/>
              <w:rPr>
                <w:b/>
                <w:bCs/>
              </w:rPr>
            </w:pPr>
            <w:r w:rsidRPr="00037A46">
              <w:rPr>
                <w:b/>
                <w:bCs/>
              </w:rPr>
              <w:t>E3</w:t>
            </w:r>
          </w:p>
        </w:tc>
      </w:tr>
      <w:tr w:rsidR="003A11FB" w:rsidRPr="00037A46" w14:paraId="5B847304" w14:textId="77777777">
        <w:trPr>
          <w:trHeight w:val="330"/>
          <w:jc w:val="center"/>
        </w:trPr>
        <w:tc>
          <w:tcPr>
            <w:tcW w:w="1291" w:type="dxa"/>
            <w:tcBorders>
              <w:top w:val="single" w:sz="8" w:space="0" w:color="auto"/>
              <w:bottom w:val="nil"/>
            </w:tcBorders>
            <w:shd w:val="clear" w:color="auto" w:fill="C0C0C0"/>
            <w:noWrap/>
            <w:vAlign w:val="bottom"/>
          </w:tcPr>
          <w:p w14:paraId="45E4999F" w14:textId="77777777" w:rsidR="003A11FB" w:rsidRPr="00037A46" w:rsidRDefault="003A11FB" w:rsidP="00124C52">
            <w:pPr>
              <w:spacing w:before="0" w:after="0"/>
              <w:ind w:left="0"/>
              <w:jc w:val="center"/>
              <w:rPr>
                <w:b/>
                <w:bCs/>
              </w:rPr>
            </w:pPr>
            <w:r w:rsidRPr="00037A46">
              <w:rPr>
                <w:b/>
                <w:bCs/>
              </w:rPr>
              <w:t>Minimum</w:t>
            </w:r>
          </w:p>
        </w:tc>
        <w:tc>
          <w:tcPr>
            <w:tcW w:w="1276" w:type="dxa"/>
            <w:tcBorders>
              <w:top w:val="single" w:sz="8" w:space="0" w:color="auto"/>
              <w:bottom w:val="nil"/>
            </w:tcBorders>
            <w:noWrap/>
            <w:vAlign w:val="bottom"/>
          </w:tcPr>
          <w:p w14:paraId="6DE6537F" w14:textId="77777777" w:rsidR="003A11FB" w:rsidRPr="00037A46" w:rsidRDefault="003A11FB" w:rsidP="003A11FB">
            <w:pPr>
              <w:spacing w:before="0" w:after="0"/>
              <w:ind w:left="0"/>
              <w:jc w:val="right"/>
              <w:rPr>
                <w:bCs/>
              </w:rPr>
            </w:pPr>
            <w:r w:rsidRPr="00037A46">
              <w:rPr>
                <w:bCs/>
              </w:rPr>
              <w:t>13.250</w:t>
            </w:r>
          </w:p>
        </w:tc>
        <w:tc>
          <w:tcPr>
            <w:tcW w:w="1276" w:type="dxa"/>
            <w:tcBorders>
              <w:top w:val="single" w:sz="8" w:space="0" w:color="auto"/>
              <w:bottom w:val="nil"/>
            </w:tcBorders>
            <w:noWrap/>
            <w:vAlign w:val="bottom"/>
          </w:tcPr>
          <w:p w14:paraId="381E127E" w14:textId="77777777" w:rsidR="003A11FB" w:rsidRPr="00037A46" w:rsidRDefault="003A11FB" w:rsidP="003A11FB">
            <w:pPr>
              <w:spacing w:before="0" w:after="0"/>
              <w:ind w:left="0"/>
              <w:jc w:val="right"/>
              <w:rPr>
                <w:bCs/>
              </w:rPr>
            </w:pPr>
            <w:r w:rsidRPr="00037A46">
              <w:rPr>
                <w:bCs/>
              </w:rPr>
              <w:t>13.550</w:t>
            </w:r>
          </w:p>
        </w:tc>
        <w:tc>
          <w:tcPr>
            <w:tcW w:w="1275" w:type="dxa"/>
            <w:tcBorders>
              <w:top w:val="single" w:sz="8" w:space="0" w:color="auto"/>
              <w:bottom w:val="nil"/>
            </w:tcBorders>
            <w:noWrap/>
            <w:vAlign w:val="bottom"/>
          </w:tcPr>
          <w:p w14:paraId="74B84037" w14:textId="77777777" w:rsidR="003A11FB" w:rsidRPr="00037A46" w:rsidRDefault="003A11FB" w:rsidP="003A11FB">
            <w:pPr>
              <w:spacing w:before="0" w:after="0"/>
              <w:ind w:left="0"/>
              <w:jc w:val="right"/>
              <w:rPr>
                <w:bCs/>
              </w:rPr>
            </w:pPr>
            <w:r w:rsidRPr="00037A46">
              <w:rPr>
                <w:bCs/>
              </w:rPr>
              <w:t>14.200</w:t>
            </w:r>
          </w:p>
        </w:tc>
      </w:tr>
      <w:tr w:rsidR="003A11FB" w:rsidRPr="00037A46" w14:paraId="03D0807F" w14:textId="77777777">
        <w:trPr>
          <w:trHeight w:val="330"/>
          <w:jc w:val="center"/>
        </w:trPr>
        <w:tc>
          <w:tcPr>
            <w:tcW w:w="1291" w:type="dxa"/>
            <w:tcBorders>
              <w:top w:val="nil"/>
              <w:bottom w:val="single" w:sz="8" w:space="0" w:color="auto"/>
            </w:tcBorders>
            <w:shd w:val="clear" w:color="auto" w:fill="C0C0C0"/>
            <w:noWrap/>
            <w:vAlign w:val="bottom"/>
          </w:tcPr>
          <w:p w14:paraId="033D562B" w14:textId="77777777" w:rsidR="003A11FB" w:rsidRPr="00037A46" w:rsidRDefault="003A11FB" w:rsidP="00124C52">
            <w:pPr>
              <w:spacing w:before="0" w:after="0"/>
              <w:ind w:left="0"/>
              <w:jc w:val="center"/>
              <w:rPr>
                <w:b/>
                <w:bCs/>
              </w:rPr>
            </w:pPr>
            <w:r w:rsidRPr="00037A46">
              <w:rPr>
                <w:b/>
                <w:bCs/>
              </w:rPr>
              <w:t>Maximum</w:t>
            </w:r>
          </w:p>
        </w:tc>
        <w:tc>
          <w:tcPr>
            <w:tcW w:w="1276" w:type="dxa"/>
            <w:tcBorders>
              <w:top w:val="nil"/>
              <w:bottom w:val="single" w:sz="8" w:space="0" w:color="auto"/>
            </w:tcBorders>
            <w:noWrap/>
            <w:vAlign w:val="bottom"/>
          </w:tcPr>
          <w:p w14:paraId="631F70CF" w14:textId="77777777" w:rsidR="003A11FB" w:rsidRPr="00037A46" w:rsidRDefault="003A11FB" w:rsidP="003A11FB">
            <w:pPr>
              <w:spacing w:before="0" w:after="0"/>
              <w:ind w:left="0"/>
              <w:jc w:val="right"/>
              <w:rPr>
                <w:bCs/>
              </w:rPr>
            </w:pPr>
            <w:r w:rsidRPr="00037A46">
              <w:rPr>
                <w:bCs/>
              </w:rPr>
              <w:t>15.000</w:t>
            </w:r>
          </w:p>
        </w:tc>
        <w:tc>
          <w:tcPr>
            <w:tcW w:w="1276" w:type="dxa"/>
            <w:tcBorders>
              <w:top w:val="nil"/>
              <w:bottom w:val="single" w:sz="8" w:space="0" w:color="auto"/>
            </w:tcBorders>
            <w:noWrap/>
            <w:vAlign w:val="bottom"/>
          </w:tcPr>
          <w:p w14:paraId="48379017" w14:textId="77777777" w:rsidR="003A11FB" w:rsidRPr="00037A46" w:rsidRDefault="003A11FB" w:rsidP="003A11FB">
            <w:pPr>
              <w:spacing w:before="0" w:after="0"/>
              <w:ind w:left="0"/>
              <w:jc w:val="right"/>
              <w:rPr>
                <w:bCs/>
              </w:rPr>
            </w:pPr>
            <w:r w:rsidRPr="00037A46">
              <w:rPr>
                <w:bCs/>
              </w:rPr>
              <w:t>15.650</w:t>
            </w:r>
          </w:p>
        </w:tc>
        <w:tc>
          <w:tcPr>
            <w:tcW w:w="1275" w:type="dxa"/>
            <w:tcBorders>
              <w:top w:val="nil"/>
              <w:bottom w:val="single" w:sz="8" w:space="0" w:color="auto"/>
            </w:tcBorders>
            <w:noWrap/>
            <w:vAlign w:val="bottom"/>
          </w:tcPr>
          <w:p w14:paraId="169F9980" w14:textId="77777777" w:rsidR="003A11FB" w:rsidRPr="00037A46" w:rsidRDefault="003A11FB" w:rsidP="003A11FB">
            <w:pPr>
              <w:spacing w:before="0" w:after="0"/>
              <w:ind w:left="0"/>
              <w:jc w:val="right"/>
              <w:rPr>
                <w:bCs/>
              </w:rPr>
            </w:pPr>
            <w:r w:rsidRPr="00037A46">
              <w:rPr>
                <w:bCs/>
              </w:rPr>
              <w:t>16.550</w:t>
            </w:r>
          </w:p>
        </w:tc>
      </w:tr>
      <w:tr w:rsidR="003A11FB" w:rsidRPr="00037A46" w14:paraId="3F60E391" w14:textId="77777777">
        <w:trPr>
          <w:trHeight w:val="315"/>
          <w:jc w:val="center"/>
        </w:trPr>
        <w:tc>
          <w:tcPr>
            <w:tcW w:w="1291" w:type="dxa"/>
            <w:tcBorders>
              <w:top w:val="single" w:sz="8" w:space="0" w:color="auto"/>
              <w:bottom w:val="nil"/>
            </w:tcBorders>
            <w:shd w:val="clear" w:color="auto" w:fill="C0C0C0"/>
            <w:noWrap/>
            <w:vAlign w:val="bottom"/>
          </w:tcPr>
          <w:p w14:paraId="70DE3611" w14:textId="77777777" w:rsidR="003A11FB" w:rsidRPr="00037A46" w:rsidRDefault="003A11FB" w:rsidP="00124C52">
            <w:pPr>
              <w:spacing w:before="0" w:after="0"/>
              <w:ind w:left="0"/>
              <w:jc w:val="center"/>
              <w:rPr>
                <w:b/>
                <w:bCs/>
              </w:rPr>
            </w:pPr>
            <w:r w:rsidRPr="00037A46">
              <w:rPr>
                <w:b/>
                <w:bCs/>
              </w:rPr>
              <w:t>Verhoging</w:t>
            </w:r>
          </w:p>
        </w:tc>
        <w:tc>
          <w:tcPr>
            <w:tcW w:w="1276" w:type="dxa"/>
            <w:tcBorders>
              <w:top w:val="single" w:sz="8" w:space="0" w:color="auto"/>
              <w:bottom w:val="nil"/>
            </w:tcBorders>
            <w:noWrap/>
            <w:vAlign w:val="bottom"/>
          </w:tcPr>
          <w:p w14:paraId="17CD1148" w14:textId="77777777" w:rsidR="003A11FB" w:rsidRPr="00037A46" w:rsidRDefault="003A11FB" w:rsidP="003A11FB">
            <w:pPr>
              <w:spacing w:before="0" w:after="0"/>
              <w:ind w:left="0"/>
              <w:jc w:val="right"/>
              <w:rPr>
                <w:bCs/>
              </w:rPr>
            </w:pPr>
            <w:r w:rsidRPr="00037A46">
              <w:rPr>
                <w:bCs/>
              </w:rPr>
              <w:t>1x1x100</w:t>
            </w:r>
          </w:p>
        </w:tc>
        <w:tc>
          <w:tcPr>
            <w:tcW w:w="1276" w:type="dxa"/>
            <w:tcBorders>
              <w:top w:val="single" w:sz="8" w:space="0" w:color="auto"/>
              <w:bottom w:val="nil"/>
            </w:tcBorders>
            <w:noWrap/>
            <w:vAlign w:val="bottom"/>
          </w:tcPr>
          <w:p w14:paraId="311CA83C" w14:textId="77777777" w:rsidR="003A11FB" w:rsidRPr="00037A46" w:rsidRDefault="003A11FB" w:rsidP="003A11FB">
            <w:pPr>
              <w:spacing w:before="0" w:after="0"/>
              <w:ind w:left="0"/>
              <w:jc w:val="right"/>
              <w:rPr>
                <w:bCs/>
              </w:rPr>
            </w:pPr>
            <w:r w:rsidRPr="00037A46">
              <w:rPr>
                <w:bCs/>
              </w:rPr>
              <w:t>1x1x150</w:t>
            </w:r>
          </w:p>
        </w:tc>
        <w:tc>
          <w:tcPr>
            <w:tcW w:w="1275" w:type="dxa"/>
            <w:tcBorders>
              <w:top w:val="single" w:sz="8" w:space="0" w:color="auto"/>
              <w:bottom w:val="nil"/>
            </w:tcBorders>
            <w:noWrap/>
            <w:vAlign w:val="bottom"/>
          </w:tcPr>
          <w:p w14:paraId="336EDEAA" w14:textId="77777777" w:rsidR="003A11FB" w:rsidRPr="00037A46" w:rsidRDefault="003A11FB" w:rsidP="003A11FB">
            <w:pPr>
              <w:spacing w:before="0" w:after="0"/>
              <w:ind w:left="0"/>
              <w:jc w:val="right"/>
              <w:rPr>
                <w:bCs/>
              </w:rPr>
            </w:pPr>
            <w:r w:rsidRPr="00037A46">
              <w:rPr>
                <w:bCs/>
              </w:rPr>
              <w:t>1x1x150</w:t>
            </w:r>
          </w:p>
        </w:tc>
      </w:tr>
      <w:tr w:rsidR="003A11FB" w:rsidRPr="00037A46" w14:paraId="1E6F0574" w14:textId="77777777">
        <w:trPr>
          <w:trHeight w:val="315"/>
          <w:jc w:val="center"/>
        </w:trPr>
        <w:tc>
          <w:tcPr>
            <w:tcW w:w="1291" w:type="dxa"/>
            <w:tcBorders>
              <w:top w:val="nil"/>
              <w:bottom w:val="nil"/>
            </w:tcBorders>
            <w:shd w:val="clear" w:color="auto" w:fill="C0C0C0"/>
            <w:noWrap/>
            <w:vAlign w:val="bottom"/>
          </w:tcPr>
          <w:p w14:paraId="03071A48" w14:textId="77777777" w:rsidR="003A11FB" w:rsidRPr="00037A46" w:rsidRDefault="003A11FB" w:rsidP="003A11FB">
            <w:pPr>
              <w:spacing w:before="0" w:after="0"/>
              <w:rPr>
                <w:b/>
                <w:bCs/>
              </w:rPr>
            </w:pPr>
            <w:r w:rsidRPr="00037A46">
              <w:rPr>
                <w:b/>
                <w:bCs/>
              </w:rPr>
              <w:t> </w:t>
            </w:r>
          </w:p>
        </w:tc>
        <w:tc>
          <w:tcPr>
            <w:tcW w:w="1276" w:type="dxa"/>
            <w:tcBorders>
              <w:top w:val="nil"/>
              <w:bottom w:val="nil"/>
            </w:tcBorders>
            <w:noWrap/>
            <w:vAlign w:val="bottom"/>
          </w:tcPr>
          <w:p w14:paraId="4287DF26" w14:textId="77777777" w:rsidR="003A11FB" w:rsidRPr="00037A46" w:rsidRDefault="003A11FB" w:rsidP="003A11FB">
            <w:pPr>
              <w:spacing w:before="0" w:after="0"/>
              <w:ind w:left="0"/>
              <w:jc w:val="right"/>
              <w:rPr>
                <w:bCs/>
              </w:rPr>
            </w:pPr>
            <w:r w:rsidRPr="00037A46">
              <w:rPr>
                <w:bCs/>
              </w:rPr>
              <w:t>3x2x100</w:t>
            </w:r>
          </w:p>
        </w:tc>
        <w:tc>
          <w:tcPr>
            <w:tcW w:w="1276" w:type="dxa"/>
            <w:tcBorders>
              <w:top w:val="nil"/>
              <w:bottom w:val="nil"/>
            </w:tcBorders>
            <w:noWrap/>
            <w:vAlign w:val="bottom"/>
          </w:tcPr>
          <w:p w14:paraId="718887FA" w14:textId="77777777" w:rsidR="003A11FB" w:rsidRPr="00037A46" w:rsidRDefault="003A11FB" w:rsidP="003A11FB">
            <w:pPr>
              <w:spacing w:before="0" w:after="0"/>
              <w:ind w:left="0"/>
              <w:jc w:val="right"/>
              <w:rPr>
                <w:bCs/>
              </w:rPr>
            </w:pPr>
            <w:r w:rsidRPr="00037A46">
              <w:rPr>
                <w:bCs/>
              </w:rPr>
              <w:t>7x2x150</w:t>
            </w:r>
          </w:p>
        </w:tc>
        <w:tc>
          <w:tcPr>
            <w:tcW w:w="1275" w:type="dxa"/>
            <w:tcBorders>
              <w:top w:val="nil"/>
              <w:bottom w:val="nil"/>
            </w:tcBorders>
            <w:noWrap/>
            <w:vAlign w:val="bottom"/>
          </w:tcPr>
          <w:p w14:paraId="1DD56421" w14:textId="77777777" w:rsidR="003A11FB" w:rsidRPr="00037A46" w:rsidRDefault="003A11FB" w:rsidP="003A11FB">
            <w:pPr>
              <w:spacing w:before="0" w:after="0"/>
              <w:ind w:left="0"/>
              <w:jc w:val="right"/>
              <w:rPr>
                <w:bCs/>
              </w:rPr>
            </w:pPr>
            <w:r w:rsidRPr="00037A46">
              <w:rPr>
                <w:bCs/>
              </w:rPr>
              <w:t>12x2x150</w:t>
            </w:r>
          </w:p>
        </w:tc>
      </w:tr>
      <w:tr w:rsidR="003A11FB" w:rsidRPr="00037A46" w14:paraId="0F181D35" w14:textId="77777777">
        <w:trPr>
          <w:trHeight w:val="315"/>
          <w:jc w:val="center"/>
        </w:trPr>
        <w:tc>
          <w:tcPr>
            <w:tcW w:w="1291" w:type="dxa"/>
            <w:tcBorders>
              <w:top w:val="nil"/>
              <w:bottom w:val="nil"/>
            </w:tcBorders>
            <w:shd w:val="clear" w:color="auto" w:fill="C0C0C0"/>
            <w:noWrap/>
            <w:vAlign w:val="bottom"/>
          </w:tcPr>
          <w:p w14:paraId="24310736" w14:textId="77777777" w:rsidR="003A11FB" w:rsidRPr="00037A46" w:rsidRDefault="003A11FB" w:rsidP="003A11FB">
            <w:pPr>
              <w:spacing w:before="0" w:after="0"/>
              <w:rPr>
                <w:b/>
                <w:bCs/>
              </w:rPr>
            </w:pPr>
            <w:r w:rsidRPr="00037A46">
              <w:rPr>
                <w:b/>
                <w:bCs/>
              </w:rPr>
              <w:t> </w:t>
            </w:r>
          </w:p>
        </w:tc>
        <w:tc>
          <w:tcPr>
            <w:tcW w:w="1276" w:type="dxa"/>
            <w:tcBorders>
              <w:top w:val="nil"/>
              <w:bottom w:val="nil"/>
            </w:tcBorders>
            <w:noWrap/>
            <w:vAlign w:val="bottom"/>
          </w:tcPr>
          <w:p w14:paraId="07EE74D1" w14:textId="77777777" w:rsidR="003A11FB" w:rsidRPr="00037A46" w:rsidRDefault="003A11FB" w:rsidP="003A11FB">
            <w:pPr>
              <w:spacing w:before="0" w:after="0"/>
              <w:ind w:left="0"/>
              <w:jc w:val="right"/>
              <w:rPr>
                <w:bCs/>
              </w:rPr>
            </w:pPr>
            <w:r w:rsidRPr="00037A46">
              <w:rPr>
                <w:bCs/>
              </w:rPr>
              <w:t>1x2x150</w:t>
            </w:r>
          </w:p>
        </w:tc>
        <w:tc>
          <w:tcPr>
            <w:tcW w:w="1276" w:type="dxa"/>
            <w:tcBorders>
              <w:top w:val="nil"/>
              <w:bottom w:val="nil"/>
            </w:tcBorders>
            <w:noWrap/>
            <w:vAlign w:val="bottom"/>
          </w:tcPr>
          <w:p w14:paraId="6204335D" w14:textId="77777777" w:rsidR="003A11FB" w:rsidRPr="00037A46" w:rsidRDefault="003A11FB" w:rsidP="003A11FB">
            <w:pPr>
              <w:spacing w:before="0" w:after="0"/>
              <w:ind w:left="0"/>
              <w:jc w:val="right"/>
              <w:rPr>
                <w:bCs/>
              </w:rPr>
            </w:pPr>
            <w:r w:rsidRPr="00037A46">
              <w:rPr>
                <w:bCs/>
              </w:rPr>
              <w:t>1x2x100</w:t>
            </w:r>
          </w:p>
        </w:tc>
        <w:tc>
          <w:tcPr>
            <w:tcW w:w="1275" w:type="dxa"/>
            <w:tcBorders>
              <w:top w:val="nil"/>
              <w:bottom w:val="nil"/>
            </w:tcBorders>
            <w:noWrap/>
            <w:vAlign w:val="bottom"/>
          </w:tcPr>
          <w:p w14:paraId="563374E3" w14:textId="77777777" w:rsidR="003A11FB" w:rsidRPr="00037A46" w:rsidRDefault="003A11FB" w:rsidP="003A11FB">
            <w:pPr>
              <w:spacing w:before="0" w:after="0"/>
              <w:ind w:left="0"/>
              <w:jc w:val="right"/>
              <w:rPr>
                <w:bCs/>
              </w:rPr>
            </w:pPr>
            <w:r w:rsidRPr="00037A46">
              <w:rPr>
                <w:bCs/>
              </w:rPr>
              <w:t>1x2x400</w:t>
            </w:r>
          </w:p>
        </w:tc>
      </w:tr>
      <w:tr w:rsidR="003A11FB" w:rsidRPr="00037A46" w14:paraId="5EB332A0" w14:textId="77777777">
        <w:trPr>
          <w:trHeight w:val="315"/>
          <w:jc w:val="center"/>
        </w:trPr>
        <w:tc>
          <w:tcPr>
            <w:tcW w:w="1291" w:type="dxa"/>
            <w:tcBorders>
              <w:top w:val="nil"/>
              <w:bottom w:val="nil"/>
            </w:tcBorders>
            <w:shd w:val="clear" w:color="auto" w:fill="C0C0C0"/>
            <w:noWrap/>
            <w:vAlign w:val="bottom"/>
          </w:tcPr>
          <w:p w14:paraId="2B252D95" w14:textId="77777777" w:rsidR="003A11FB" w:rsidRPr="00037A46" w:rsidRDefault="003A11FB" w:rsidP="003A11FB">
            <w:pPr>
              <w:spacing w:before="0" w:after="0"/>
              <w:rPr>
                <w:b/>
                <w:bCs/>
              </w:rPr>
            </w:pPr>
            <w:r w:rsidRPr="00037A46">
              <w:rPr>
                <w:b/>
                <w:bCs/>
              </w:rPr>
              <w:t> </w:t>
            </w:r>
          </w:p>
        </w:tc>
        <w:tc>
          <w:tcPr>
            <w:tcW w:w="1276" w:type="dxa"/>
            <w:tcBorders>
              <w:top w:val="nil"/>
              <w:bottom w:val="nil"/>
            </w:tcBorders>
            <w:noWrap/>
            <w:vAlign w:val="bottom"/>
          </w:tcPr>
          <w:p w14:paraId="4C5270DD" w14:textId="77777777" w:rsidR="003A11FB" w:rsidRPr="00037A46" w:rsidRDefault="003A11FB" w:rsidP="003A11FB">
            <w:pPr>
              <w:spacing w:before="0" w:after="0"/>
              <w:ind w:left="0"/>
              <w:jc w:val="right"/>
              <w:rPr>
                <w:bCs/>
              </w:rPr>
            </w:pPr>
            <w:r w:rsidRPr="00037A46">
              <w:rPr>
                <w:bCs/>
              </w:rPr>
              <w:t>3x2x100</w:t>
            </w:r>
          </w:p>
        </w:tc>
        <w:tc>
          <w:tcPr>
            <w:tcW w:w="1276" w:type="dxa"/>
            <w:tcBorders>
              <w:top w:val="nil"/>
              <w:bottom w:val="nil"/>
            </w:tcBorders>
            <w:noWrap/>
            <w:vAlign w:val="bottom"/>
          </w:tcPr>
          <w:p w14:paraId="11C0AFEB" w14:textId="77777777" w:rsidR="003A11FB" w:rsidRPr="00037A46" w:rsidRDefault="003A11FB" w:rsidP="003A11FB">
            <w:pPr>
              <w:spacing w:before="0" w:after="0"/>
              <w:ind w:left="0"/>
              <w:jc w:val="right"/>
              <w:rPr>
                <w:bCs/>
              </w:rPr>
            </w:pPr>
            <w:r w:rsidRPr="00037A46">
              <w:rPr>
                <w:bCs/>
              </w:rPr>
              <w:t>4x2x150</w:t>
            </w:r>
          </w:p>
        </w:tc>
        <w:tc>
          <w:tcPr>
            <w:tcW w:w="1275" w:type="dxa"/>
            <w:tcBorders>
              <w:top w:val="nil"/>
              <w:bottom w:val="nil"/>
            </w:tcBorders>
            <w:noWrap/>
            <w:vAlign w:val="bottom"/>
          </w:tcPr>
          <w:p w14:paraId="282997D9" w14:textId="77777777" w:rsidR="003A11FB" w:rsidRPr="00037A46" w:rsidRDefault="003A11FB" w:rsidP="003A11FB">
            <w:pPr>
              <w:spacing w:before="0" w:after="0"/>
              <w:jc w:val="right"/>
              <w:rPr>
                <w:bCs/>
              </w:rPr>
            </w:pPr>
            <w:r w:rsidRPr="00037A46">
              <w:rPr>
                <w:bCs/>
              </w:rPr>
              <w:t> </w:t>
            </w:r>
          </w:p>
        </w:tc>
      </w:tr>
      <w:tr w:rsidR="003A11FB" w:rsidRPr="00037A46" w14:paraId="70FE1808" w14:textId="77777777">
        <w:trPr>
          <w:trHeight w:val="330"/>
          <w:jc w:val="center"/>
        </w:trPr>
        <w:tc>
          <w:tcPr>
            <w:tcW w:w="1291" w:type="dxa"/>
            <w:tcBorders>
              <w:top w:val="nil"/>
              <w:bottom w:val="single" w:sz="8" w:space="0" w:color="auto"/>
            </w:tcBorders>
            <w:shd w:val="clear" w:color="auto" w:fill="C0C0C0"/>
            <w:noWrap/>
            <w:vAlign w:val="bottom"/>
          </w:tcPr>
          <w:p w14:paraId="1BAA1951" w14:textId="77777777" w:rsidR="003A11FB" w:rsidRPr="00037A46" w:rsidRDefault="003A11FB" w:rsidP="003A11FB">
            <w:pPr>
              <w:spacing w:before="0" w:after="0"/>
              <w:rPr>
                <w:b/>
                <w:bCs/>
              </w:rPr>
            </w:pPr>
            <w:r w:rsidRPr="00037A46">
              <w:rPr>
                <w:b/>
                <w:bCs/>
              </w:rPr>
              <w:t> </w:t>
            </w:r>
          </w:p>
        </w:tc>
        <w:tc>
          <w:tcPr>
            <w:tcW w:w="1276" w:type="dxa"/>
            <w:tcBorders>
              <w:top w:val="nil"/>
              <w:bottom w:val="single" w:sz="8" w:space="0" w:color="auto"/>
            </w:tcBorders>
            <w:noWrap/>
            <w:vAlign w:val="bottom"/>
          </w:tcPr>
          <w:p w14:paraId="6799EF32" w14:textId="77777777" w:rsidR="003A11FB" w:rsidRPr="00037A46" w:rsidRDefault="003A11FB" w:rsidP="003A11FB">
            <w:pPr>
              <w:spacing w:before="0" w:after="0"/>
              <w:ind w:left="0"/>
              <w:jc w:val="right"/>
              <w:rPr>
                <w:bCs/>
              </w:rPr>
            </w:pPr>
            <w:r w:rsidRPr="00037A46">
              <w:rPr>
                <w:bCs/>
              </w:rPr>
              <w:t>6x2x150</w:t>
            </w:r>
          </w:p>
        </w:tc>
        <w:tc>
          <w:tcPr>
            <w:tcW w:w="1276" w:type="dxa"/>
            <w:tcBorders>
              <w:top w:val="nil"/>
              <w:bottom w:val="single" w:sz="8" w:space="0" w:color="auto"/>
            </w:tcBorders>
            <w:noWrap/>
            <w:vAlign w:val="bottom"/>
          </w:tcPr>
          <w:p w14:paraId="177A48E7" w14:textId="77777777" w:rsidR="003A11FB" w:rsidRPr="00037A46" w:rsidRDefault="003A11FB" w:rsidP="003A11FB">
            <w:pPr>
              <w:spacing w:before="0" w:after="0"/>
              <w:ind w:left="0"/>
              <w:jc w:val="right"/>
              <w:rPr>
                <w:bCs/>
              </w:rPr>
            </w:pPr>
            <w:r w:rsidRPr="00037A46">
              <w:rPr>
                <w:bCs/>
              </w:rPr>
              <w:t>1x2x200</w:t>
            </w:r>
          </w:p>
        </w:tc>
        <w:tc>
          <w:tcPr>
            <w:tcW w:w="1275" w:type="dxa"/>
            <w:tcBorders>
              <w:top w:val="nil"/>
              <w:bottom w:val="single" w:sz="8" w:space="0" w:color="auto"/>
            </w:tcBorders>
            <w:noWrap/>
            <w:vAlign w:val="bottom"/>
          </w:tcPr>
          <w:p w14:paraId="494B836F" w14:textId="77777777" w:rsidR="003A11FB" w:rsidRPr="00037A46" w:rsidRDefault="003A11FB" w:rsidP="003A11FB">
            <w:pPr>
              <w:spacing w:before="0" w:after="0"/>
              <w:jc w:val="right"/>
              <w:rPr>
                <w:bCs/>
              </w:rPr>
            </w:pPr>
            <w:r w:rsidRPr="00037A46">
              <w:rPr>
                <w:bCs/>
              </w:rPr>
              <w:t> </w:t>
            </w:r>
          </w:p>
        </w:tc>
      </w:tr>
      <w:tr w:rsidR="003A11FB" w:rsidRPr="00037A46" w14:paraId="2475D803" w14:textId="77777777">
        <w:trPr>
          <w:trHeight w:val="330"/>
          <w:jc w:val="center"/>
        </w:trPr>
        <w:tc>
          <w:tcPr>
            <w:tcW w:w="1291" w:type="dxa"/>
            <w:tcBorders>
              <w:top w:val="single" w:sz="8" w:space="0" w:color="auto"/>
            </w:tcBorders>
            <w:shd w:val="clear" w:color="auto" w:fill="C0C0C0"/>
            <w:noWrap/>
            <w:vAlign w:val="bottom"/>
          </w:tcPr>
          <w:p w14:paraId="5EECDB86" w14:textId="77777777" w:rsidR="003A11FB" w:rsidRPr="00037A46" w:rsidRDefault="003A11FB" w:rsidP="003A11FB">
            <w:pPr>
              <w:spacing w:before="0" w:after="0"/>
              <w:jc w:val="right"/>
              <w:rPr>
                <w:b/>
                <w:bCs/>
              </w:rPr>
            </w:pPr>
            <w:r w:rsidRPr="00037A46">
              <w:rPr>
                <w:b/>
                <w:bCs/>
              </w:rPr>
              <w:t>0</w:t>
            </w:r>
          </w:p>
        </w:tc>
        <w:tc>
          <w:tcPr>
            <w:tcW w:w="1276" w:type="dxa"/>
            <w:tcBorders>
              <w:top w:val="single" w:sz="8" w:space="0" w:color="auto"/>
            </w:tcBorders>
            <w:noWrap/>
            <w:vAlign w:val="bottom"/>
          </w:tcPr>
          <w:p w14:paraId="3FAE7DD2" w14:textId="77777777" w:rsidR="003A11FB" w:rsidRPr="00037A46" w:rsidRDefault="003A11FB" w:rsidP="003A11FB">
            <w:pPr>
              <w:spacing w:before="0" w:after="0"/>
              <w:ind w:left="0"/>
              <w:jc w:val="right"/>
              <w:rPr>
                <w:bCs/>
              </w:rPr>
            </w:pPr>
            <w:r w:rsidRPr="00037A46">
              <w:rPr>
                <w:bCs/>
              </w:rPr>
              <w:t>13.250</w:t>
            </w:r>
          </w:p>
        </w:tc>
        <w:tc>
          <w:tcPr>
            <w:tcW w:w="1276" w:type="dxa"/>
            <w:tcBorders>
              <w:top w:val="single" w:sz="8" w:space="0" w:color="auto"/>
            </w:tcBorders>
            <w:noWrap/>
            <w:vAlign w:val="bottom"/>
          </w:tcPr>
          <w:p w14:paraId="241DA879" w14:textId="77777777" w:rsidR="003A11FB" w:rsidRPr="00037A46" w:rsidRDefault="003A11FB" w:rsidP="003A11FB">
            <w:pPr>
              <w:spacing w:before="0" w:after="0"/>
              <w:ind w:left="0"/>
              <w:jc w:val="right"/>
              <w:rPr>
                <w:bCs/>
              </w:rPr>
            </w:pPr>
            <w:r w:rsidRPr="00037A46">
              <w:rPr>
                <w:bCs/>
              </w:rPr>
              <w:t>13.550</w:t>
            </w:r>
          </w:p>
        </w:tc>
        <w:tc>
          <w:tcPr>
            <w:tcW w:w="1275" w:type="dxa"/>
            <w:tcBorders>
              <w:top w:val="single" w:sz="8" w:space="0" w:color="auto"/>
            </w:tcBorders>
            <w:noWrap/>
            <w:vAlign w:val="bottom"/>
          </w:tcPr>
          <w:p w14:paraId="20D4F2DD" w14:textId="77777777" w:rsidR="003A11FB" w:rsidRPr="00037A46" w:rsidRDefault="003A11FB" w:rsidP="003A11FB">
            <w:pPr>
              <w:spacing w:before="0" w:after="0"/>
              <w:ind w:left="0"/>
              <w:jc w:val="right"/>
              <w:rPr>
                <w:bCs/>
              </w:rPr>
            </w:pPr>
            <w:r w:rsidRPr="00037A46">
              <w:rPr>
                <w:bCs/>
              </w:rPr>
              <w:t>14.200</w:t>
            </w:r>
          </w:p>
        </w:tc>
      </w:tr>
      <w:tr w:rsidR="003A11FB" w:rsidRPr="00037A46" w14:paraId="54608442" w14:textId="77777777">
        <w:trPr>
          <w:trHeight w:val="315"/>
          <w:jc w:val="center"/>
        </w:trPr>
        <w:tc>
          <w:tcPr>
            <w:tcW w:w="1291" w:type="dxa"/>
            <w:shd w:val="clear" w:color="auto" w:fill="C0C0C0"/>
            <w:noWrap/>
            <w:vAlign w:val="bottom"/>
          </w:tcPr>
          <w:p w14:paraId="57ECA8C1" w14:textId="77777777" w:rsidR="003A11FB" w:rsidRPr="00037A46" w:rsidRDefault="003A11FB" w:rsidP="003A11FB">
            <w:pPr>
              <w:spacing w:before="0" w:after="0"/>
              <w:jc w:val="right"/>
              <w:rPr>
                <w:b/>
                <w:bCs/>
              </w:rPr>
            </w:pPr>
            <w:r w:rsidRPr="00037A46">
              <w:rPr>
                <w:b/>
                <w:bCs/>
              </w:rPr>
              <w:t>1</w:t>
            </w:r>
          </w:p>
        </w:tc>
        <w:tc>
          <w:tcPr>
            <w:tcW w:w="1276" w:type="dxa"/>
            <w:noWrap/>
            <w:vAlign w:val="bottom"/>
          </w:tcPr>
          <w:p w14:paraId="2D12E0C3" w14:textId="77777777" w:rsidR="003A11FB" w:rsidRPr="00037A46" w:rsidRDefault="003A11FB" w:rsidP="003A11FB">
            <w:pPr>
              <w:spacing w:before="0" w:after="0"/>
              <w:ind w:left="0"/>
              <w:jc w:val="right"/>
              <w:rPr>
                <w:bCs/>
              </w:rPr>
            </w:pPr>
            <w:r w:rsidRPr="00037A46">
              <w:rPr>
                <w:bCs/>
              </w:rPr>
              <w:t>13.350</w:t>
            </w:r>
          </w:p>
        </w:tc>
        <w:tc>
          <w:tcPr>
            <w:tcW w:w="1276" w:type="dxa"/>
            <w:noWrap/>
            <w:vAlign w:val="bottom"/>
          </w:tcPr>
          <w:p w14:paraId="48455ADA" w14:textId="77777777" w:rsidR="003A11FB" w:rsidRPr="00037A46" w:rsidRDefault="003A11FB" w:rsidP="003A11FB">
            <w:pPr>
              <w:spacing w:before="0" w:after="0"/>
              <w:ind w:left="0"/>
              <w:jc w:val="right"/>
              <w:rPr>
                <w:bCs/>
              </w:rPr>
            </w:pPr>
            <w:r w:rsidRPr="00037A46">
              <w:rPr>
                <w:bCs/>
              </w:rPr>
              <w:t>13.700</w:t>
            </w:r>
          </w:p>
        </w:tc>
        <w:tc>
          <w:tcPr>
            <w:tcW w:w="1275" w:type="dxa"/>
            <w:noWrap/>
            <w:vAlign w:val="bottom"/>
          </w:tcPr>
          <w:p w14:paraId="27BB3803" w14:textId="77777777" w:rsidR="003A11FB" w:rsidRPr="00037A46" w:rsidRDefault="003A11FB" w:rsidP="003A11FB">
            <w:pPr>
              <w:spacing w:before="0" w:after="0"/>
              <w:ind w:left="0"/>
              <w:jc w:val="right"/>
              <w:rPr>
                <w:bCs/>
              </w:rPr>
            </w:pPr>
            <w:r w:rsidRPr="00037A46">
              <w:rPr>
                <w:bCs/>
              </w:rPr>
              <w:t>14.350</w:t>
            </w:r>
          </w:p>
        </w:tc>
      </w:tr>
      <w:tr w:rsidR="003A11FB" w:rsidRPr="00037A46" w14:paraId="2D8D7A35" w14:textId="77777777">
        <w:trPr>
          <w:trHeight w:val="315"/>
          <w:jc w:val="center"/>
        </w:trPr>
        <w:tc>
          <w:tcPr>
            <w:tcW w:w="1291" w:type="dxa"/>
            <w:shd w:val="clear" w:color="auto" w:fill="C0C0C0"/>
            <w:noWrap/>
            <w:vAlign w:val="bottom"/>
          </w:tcPr>
          <w:p w14:paraId="15BEC886" w14:textId="77777777" w:rsidR="003A11FB" w:rsidRPr="00037A46" w:rsidRDefault="003A11FB" w:rsidP="003A11FB">
            <w:pPr>
              <w:spacing w:before="0" w:after="0"/>
              <w:jc w:val="right"/>
              <w:rPr>
                <w:b/>
                <w:bCs/>
              </w:rPr>
            </w:pPr>
            <w:r w:rsidRPr="00037A46">
              <w:rPr>
                <w:b/>
                <w:bCs/>
              </w:rPr>
              <w:t>2</w:t>
            </w:r>
          </w:p>
        </w:tc>
        <w:tc>
          <w:tcPr>
            <w:tcW w:w="1276" w:type="dxa"/>
            <w:noWrap/>
            <w:vAlign w:val="bottom"/>
          </w:tcPr>
          <w:p w14:paraId="531F6969" w14:textId="77777777" w:rsidR="003A11FB" w:rsidRPr="00037A46" w:rsidRDefault="003A11FB" w:rsidP="003A11FB">
            <w:pPr>
              <w:spacing w:before="0" w:after="0"/>
              <w:ind w:left="0"/>
              <w:jc w:val="right"/>
              <w:rPr>
                <w:bCs/>
              </w:rPr>
            </w:pPr>
            <w:r w:rsidRPr="00037A46">
              <w:rPr>
                <w:bCs/>
              </w:rPr>
              <w:t>13.350</w:t>
            </w:r>
          </w:p>
        </w:tc>
        <w:tc>
          <w:tcPr>
            <w:tcW w:w="1276" w:type="dxa"/>
            <w:noWrap/>
            <w:vAlign w:val="bottom"/>
          </w:tcPr>
          <w:p w14:paraId="771BCBD7" w14:textId="77777777" w:rsidR="003A11FB" w:rsidRPr="00037A46" w:rsidRDefault="003A11FB" w:rsidP="003A11FB">
            <w:pPr>
              <w:spacing w:before="0" w:after="0"/>
              <w:ind w:left="0"/>
              <w:jc w:val="right"/>
              <w:rPr>
                <w:bCs/>
              </w:rPr>
            </w:pPr>
            <w:r w:rsidRPr="00037A46">
              <w:rPr>
                <w:bCs/>
              </w:rPr>
              <w:t>13.700</w:t>
            </w:r>
          </w:p>
        </w:tc>
        <w:tc>
          <w:tcPr>
            <w:tcW w:w="1275" w:type="dxa"/>
            <w:noWrap/>
            <w:vAlign w:val="bottom"/>
          </w:tcPr>
          <w:p w14:paraId="0067EA20" w14:textId="77777777" w:rsidR="003A11FB" w:rsidRPr="00037A46" w:rsidRDefault="003A11FB" w:rsidP="003A11FB">
            <w:pPr>
              <w:spacing w:before="0" w:after="0"/>
              <w:ind w:left="0"/>
              <w:jc w:val="right"/>
              <w:rPr>
                <w:bCs/>
              </w:rPr>
            </w:pPr>
            <w:r w:rsidRPr="00037A46">
              <w:rPr>
                <w:bCs/>
              </w:rPr>
              <w:t>14.350</w:t>
            </w:r>
          </w:p>
        </w:tc>
      </w:tr>
      <w:tr w:rsidR="003A11FB" w:rsidRPr="00037A46" w14:paraId="4253AD9D" w14:textId="77777777">
        <w:trPr>
          <w:trHeight w:val="315"/>
          <w:jc w:val="center"/>
        </w:trPr>
        <w:tc>
          <w:tcPr>
            <w:tcW w:w="1291" w:type="dxa"/>
            <w:shd w:val="clear" w:color="auto" w:fill="C0C0C0"/>
            <w:noWrap/>
            <w:vAlign w:val="bottom"/>
          </w:tcPr>
          <w:p w14:paraId="27962005" w14:textId="77777777" w:rsidR="003A11FB" w:rsidRPr="00037A46" w:rsidRDefault="003A11FB" w:rsidP="003A11FB">
            <w:pPr>
              <w:spacing w:before="0" w:after="0"/>
              <w:jc w:val="right"/>
              <w:rPr>
                <w:b/>
                <w:bCs/>
              </w:rPr>
            </w:pPr>
            <w:r w:rsidRPr="00037A46">
              <w:rPr>
                <w:b/>
                <w:bCs/>
              </w:rPr>
              <w:t>3</w:t>
            </w:r>
          </w:p>
        </w:tc>
        <w:tc>
          <w:tcPr>
            <w:tcW w:w="1276" w:type="dxa"/>
            <w:noWrap/>
            <w:vAlign w:val="bottom"/>
          </w:tcPr>
          <w:p w14:paraId="45571CBC" w14:textId="77777777" w:rsidR="003A11FB" w:rsidRPr="00037A46" w:rsidRDefault="003A11FB" w:rsidP="003A11FB">
            <w:pPr>
              <w:spacing w:before="0" w:after="0"/>
              <w:ind w:left="0"/>
              <w:jc w:val="right"/>
              <w:rPr>
                <w:bCs/>
              </w:rPr>
            </w:pPr>
            <w:r w:rsidRPr="00037A46">
              <w:rPr>
                <w:bCs/>
              </w:rPr>
              <w:t>13.450</w:t>
            </w:r>
          </w:p>
        </w:tc>
        <w:tc>
          <w:tcPr>
            <w:tcW w:w="1276" w:type="dxa"/>
            <w:noWrap/>
            <w:vAlign w:val="bottom"/>
          </w:tcPr>
          <w:p w14:paraId="39F625A0" w14:textId="77777777" w:rsidR="003A11FB" w:rsidRPr="00037A46" w:rsidRDefault="003A11FB" w:rsidP="003A11FB">
            <w:pPr>
              <w:spacing w:before="0" w:after="0"/>
              <w:ind w:left="0"/>
              <w:jc w:val="right"/>
              <w:rPr>
                <w:bCs/>
              </w:rPr>
            </w:pPr>
            <w:r w:rsidRPr="00037A46">
              <w:rPr>
                <w:bCs/>
              </w:rPr>
              <w:t>13.850</w:t>
            </w:r>
          </w:p>
        </w:tc>
        <w:tc>
          <w:tcPr>
            <w:tcW w:w="1275" w:type="dxa"/>
            <w:noWrap/>
            <w:vAlign w:val="bottom"/>
          </w:tcPr>
          <w:p w14:paraId="330E2FFC" w14:textId="77777777" w:rsidR="003A11FB" w:rsidRPr="00037A46" w:rsidRDefault="003A11FB" w:rsidP="003A11FB">
            <w:pPr>
              <w:spacing w:before="0" w:after="0"/>
              <w:ind w:left="0"/>
              <w:jc w:val="right"/>
              <w:rPr>
                <w:bCs/>
              </w:rPr>
            </w:pPr>
            <w:r w:rsidRPr="00037A46">
              <w:rPr>
                <w:bCs/>
              </w:rPr>
              <w:t>14.500</w:t>
            </w:r>
          </w:p>
        </w:tc>
      </w:tr>
      <w:tr w:rsidR="003A11FB" w:rsidRPr="00037A46" w14:paraId="49E1491E" w14:textId="77777777">
        <w:trPr>
          <w:trHeight w:val="315"/>
          <w:jc w:val="center"/>
        </w:trPr>
        <w:tc>
          <w:tcPr>
            <w:tcW w:w="1291" w:type="dxa"/>
            <w:shd w:val="clear" w:color="auto" w:fill="C0C0C0"/>
            <w:noWrap/>
            <w:vAlign w:val="bottom"/>
          </w:tcPr>
          <w:p w14:paraId="1F383C6D" w14:textId="77777777" w:rsidR="003A11FB" w:rsidRPr="00037A46" w:rsidRDefault="003A11FB" w:rsidP="003A11FB">
            <w:pPr>
              <w:spacing w:before="0" w:after="0"/>
              <w:jc w:val="right"/>
              <w:rPr>
                <w:b/>
                <w:bCs/>
              </w:rPr>
            </w:pPr>
            <w:r w:rsidRPr="00037A46">
              <w:rPr>
                <w:b/>
                <w:bCs/>
              </w:rPr>
              <w:t>4</w:t>
            </w:r>
          </w:p>
        </w:tc>
        <w:tc>
          <w:tcPr>
            <w:tcW w:w="1276" w:type="dxa"/>
            <w:noWrap/>
            <w:vAlign w:val="bottom"/>
          </w:tcPr>
          <w:p w14:paraId="4B72D3A6" w14:textId="77777777" w:rsidR="003A11FB" w:rsidRPr="00037A46" w:rsidRDefault="003A11FB" w:rsidP="003A11FB">
            <w:pPr>
              <w:spacing w:before="0" w:after="0"/>
              <w:ind w:left="0"/>
              <w:jc w:val="right"/>
              <w:rPr>
                <w:bCs/>
              </w:rPr>
            </w:pPr>
            <w:r w:rsidRPr="00037A46">
              <w:rPr>
                <w:bCs/>
              </w:rPr>
              <w:t>13.450</w:t>
            </w:r>
          </w:p>
        </w:tc>
        <w:tc>
          <w:tcPr>
            <w:tcW w:w="1276" w:type="dxa"/>
            <w:noWrap/>
            <w:vAlign w:val="bottom"/>
          </w:tcPr>
          <w:p w14:paraId="0F2E6E09" w14:textId="77777777" w:rsidR="003A11FB" w:rsidRPr="00037A46" w:rsidRDefault="003A11FB" w:rsidP="003A11FB">
            <w:pPr>
              <w:spacing w:before="0" w:after="0"/>
              <w:ind w:left="0"/>
              <w:jc w:val="right"/>
              <w:rPr>
                <w:bCs/>
              </w:rPr>
            </w:pPr>
            <w:r w:rsidRPr="00037A46">
              <w:rPr>
                <w:bCs/>
              </w:rPr>
              <w:t>13.850</w:t>
            </w:r>
          </w:p>
        </w:tc>
        <w:tc>
          <w:tcPr>
            <w:tcW w:w="1275" w:type="dxa"/>
            <w:noWrap/>
            <w:vAlign w:val="bottom"/>
          </w:tcPr>
          <w:p w14:paraId="034003E0" w14:textId="77777777" w:rsidR="003A11FB" w:rsidRPr="00037A46" w:rsidRDefault="003A11FB" w:rsidP="003A11FB">
            <w:pPr>
              <w:spacing w:before="0" w:after="0"/>
              <w:ind w:left="0"/>
              <w:jc w:val="right"/>
              <w:rPr>
                <w:bCs/>
              </w:rPr>
            </w:pPr>
            <w:r w:rsidRPr="00037A46">
              <w:rPr>
                <w:bCs/>
              </w:rPr>
              <w:t>14.500</w:t>
            </w:r>
          </w:p>
        </w:tc>
      </w:tr>
      <w:tr w:rsidR="003A11FB" w:rsidRPr="00037A46" w14:paraId="4B44ED77" w14:textId="77777777">
        <w:trPr>
          <w:trHeight w:val="315"/>
          <w:jc w:val="center"/>
        </w:trPr>
        <w:tc>
          <w:tcPr>
            <w:tcW w:w="1291" w:type="dxa"/>
            <w:shd w:val="clear" w:color="auto" w:fill="C0C0C0"/>
            <w:noWrap/>
            <w:vAlign w:val="bottom"/>
          </w:tcPr>
          <w:p w14:paraId="62BEEC33" w14:textId="77777777" w:rsidR="003A11FB" w:rsidRPr="00037A46" w:rsidRDefault="003A11FB" w:rsidP="003A11FB">
            <w:pPr>
              <w:spacing w:before="0" w:after="0"/>
              <w:jc w:val="right"/>
              <w:rPr>
                <w:b/>
                <w:bCs/>
              </w:rPr>
            </w:pPr>
            <w:r w:rsidRPr="00037A46">
              <w:rPr>
                <w:b/>
                <w:bCs/>
              </w:rPr>
              <w:t>5</w:t>
            </w:r>
          </w:p>
        </w:tc>
        <w:tc>
          <w:tcPr>
            <w:tcW w:w="1276" w:type="dxa"/>
            <w:noWrap/>
            <w:vAlign w:val="bottom"/>
          </w:tcPr>
          <w:p w14:paraId="51784B60" w14:textId="77777777" w:rsidR="003A11FB" w:rsidRPr="00037A46" w:rsidRDefault="003A11FB" w:rsidP="003A11FB">
            <w:pPr>
              <w:spacing w:before="0" w:after="0"/>
              <w:ind w:left="0"/>
              <w:jc w:val="right"/>
              <w:rPr>
                <w:bCs/>
              </w:rPr>
            </w:pPr>
            <w:r w:rsidRPr="00037A46">
              <w:rPr>
                <w:bCs/>
              </w:rPr>
              <w:t>13.550</w:t>
            </w:r>
          </w:p>
        </w:tc>
        <w:tc>
          <w:tcPr>
            <w:tcW w:w="1276" w:type="dxa"/>
            <w:noWrap/>
            <w:vAlign w:val="bottom"/>
          </w:tcPr>
          <w:p w14:paraId="0EF07C77" w14:textId="77777777" w:rsidR="003A11FB" w:rsidRPr="00037A46" w:rsidRDefault="003A11FB" w:rsidP="003A11FB">
            <w:pPr>
              <w:spacing w:before="0" w:after="0"/>
              <w:ind w:left="0"/>
              <w:jc w:val="right"/>
              <w:rPr>
                <w:bCs/>
              </w:rPr>
            </w:pPr>
            <w:r w:rsidRPr="00037A46">
              <w:rPr>
                <w:bCs/>
              </w:rPr>
              <w:t>14.000</w:t>
            </w:r>
          </w:p>
        </w:tc>
        <w:tc>
          <w:tcPr>
            <w:tcW w:w="1275" w:type="dxa"/>
            <w:noWrap/>
            <w:vAlign w:val="bottom"/>
          </w:tcPr>
          <w:p w14:paraId="3AE3ABDC" w14:textId="77777777" w:rsidR="003A11FB" w:rsidRPr="00037A46" w:rsidRDefault="003A11FB" w:rsidP="003A11FB">
            <w:pPr>
              <w:spacing w:before="0" w:after="0"/>
              <w:ind w:left="0"/>
              <w:jc w:val="right"/>
              <w:rPr>
                <w:bCs/>
              </w:rPr>
            </w:pPr>
            <w:r w:rsidRPr="00037A46">
              <w:rPr>
                <w:bCs/>
              </w:rPr>
              <w:t>14.650</w:t>
            </w:r>
          </w:p>
        </w:tc>
      </w:tr>
      <w:tr w:rsidR="003A11FB" w:rsidRPr="00037A46" w14:paraId="62F48DA6" w14:textId="77777777">
        <w:trPr>
          <w:trHeight w:val="315"/>
          <w:jc w:val="center"/>
        </w:trPr>
        <w:tc>
          <w:tcPr>
            <w:tcW w:w="1291" w:type="dxa"/>
            <w:shd w:val="clear" w:color="auto" w:fill="C0C0C0"/>
            <w:noWrap/>
            <w:vAlign w:val="bottom"/>
          </w:tcPr>
          <w:p w14:paraId="2E56C034" w14:textId="77777777" w:rsidR="003A11FB" w:rsidRPr="00037A46" w:rsidRDefault="003A11FB" w:rsidP="003A11FB">
            <w:pPr>
              <w:spacing w:before="0" w:after="0"/>
              <w:jc w:val="right"/>
              <w:rPr>
                <w:b/>
                <w:bCs/>
              </w:rPr>
            </w:pPr>
            <w:r w:rsidRPr="00037A46">
              <w:rPr>
                <w:b/>
                <w:bCs/>
              </w:rPr>
              <w:t>6</w:t>
            </w:r>
          </w:p>
        </w:tc>
        <w:tc>
          <w:tcPr>
            <w:tcW w:w="1276" w:type="dxa"/>
            <w:noWrap/>
            <w:vAlign w:val="bottom"/>
          </w:tcPr>
          <w:p w14:paraId="511859CA" w14:textId="77777777" w:rsidR="003A11FB" w:rsidRPr="00037A46" w:rsidRDefault="003A11FB" w:rsidP="003A11FB">
            <w:pPr>
              <w:spacing w:before="0" w:after="0"/>
              <w:ind w:left="0"/>
              <w:jc w:val="right"/>
              <w:rPr>
                <w:bCs/>
              </w:rPr>
            </w:pPr>
            <w:r w:rsidRPr="00037A46">
              <w:rPr>
                <w:bCs/>
              </w:rPr>
              <w:t>13.550</w:t>
            </w:r>
          </w:p>
        </w:tc>
        <w:tc>
          <w:tcPr>
            <w:tcW w:w="1276" w:type="dxa"/>
            <w:noWrap/>
            <w:vAlign w:val="bottom"/>
          </w:tcPr>
          <w:p w14:paraId="2E397E7D" w14:textId="77777777" w:rsidR="003A11FB" w:rsidRPr="00037A46" w:rsidRDefault="003A11FB" w:rsidP="003A11FB">
            <w:pPr>
              <w:spacing w:before="0" w:after="0"/>
              <w:ind w:left="0"/>
              <w:jc w:val="right"/>
              <w:rPr>
                <w:bCs/>
              </w:rPr>
            </w:pPr>
            <w:r w:rsidRPr="00037A46">
              <w:rPr>
                <w:bCs/>
              </w:rPr>
              <w:t>14.000</w:t>
            </w:r>
          </w:p>
        </w:tc>
        <w:tc>
          <w:tcPr>
            <w:tcW w:w="1275" w:type="dxa"/>
            <w:noWrap/>
            <w:vAlign w:val="bottom"/>
          </w:tcPr>
          <w:p w14:paraId="6EB64EA9" w14:textId="77777777" w:rsidR="003A11FB" w:rsidRPr="00037A46" w:rsidRDefault="003A11FB" w:rsidP="003A11FB">
            <w:pPr>
              <w:spacing w:before="0" w:after="0"/>
              <w:ind w:left="0"/>
              <w:jc w:val="right"/>
              <w:rPr>
                <w:bCs/>
              </w:rPr>
            </w:pPr>
            <w:r w:rsidRPr="00037A46">
              <w:rPr>
                <w:bCs/>
              </w:rPr>
              <w:t>14.650</w:t>
            </w:r>
          </w:p>
        </w:tc>
      </w:tr>
      <w:tr w:rsidR="003A11FB" w:rsidRPr="00037A46" w14:paraId="55A99D5D" w14:textId="77777777">
        <w:trPr>
          <w:trHeight w:val="315"/>
          <w:jc w:val="center"/>
        </w:trPr>
        <w:tc>
          <w:tcPr>
            <w:tcW w:w="1291" w:type="dxa"/>
            <w:shd w:val="clear" w:color="auto" w:fill="C0C0C0"/>
            <w:noWrap/>
            <w:vAlign w:val="bottom"/>
          </w:tcPr>
          <w:p w14:paraId="5AEAF4A4" w14:textId="77777777" w:rsidR="003A11FB" w:rsidRPr="00037A46" w:rsidRDefault="003A11FB" w:rsidP="003A11FB">
            <w:pPr>
              <w:spacing w:before="0" w:after="0"/>
              <w:jc w:val="right"/>
              <w:rPr>
                <w:b/>
                <w:bCs/>
              </w:rPr>
            </w:pPr>
            <w:r w:rsidRPr="00037A46">
              <w:rPr>
                <w:b/>
                <w:bCs/>
              </w:rPr>
              <w:t>7</w:t>
            </w:r>
          </w:p>
        </w:tc>
        <w:tc>
          <w:tcPr>
            <w:tcW w:w="1276" w:type="dxa"/>
            <w:noWrap/>
            <w:vAlign w:val="bottom"/>
          </w:tcPr>
          <w:p w14:paraId="02B82188" w14:textId="77777777" w:rsidR="003A11FB" w:rsidRPr="00037A46" w:rsidRDefault="003A11FB" w:rsidP="003A11FB">
            <w:pPr>
              <w:spacing w:before="0" w:after="0"/>
              <w:ind w:left="0"/>
              <w:jc w:val="right"/>
              <w:rPr>
                <w:bCs/>
              </w:rPr>
            </w:pPr>
            <w:r w:rsidRPr="00037A46">
              <w:rPr>
                <w:bCs/>
              </w:rPr>
              <w:t>13.650</w:t>
            </w:r>
          </w:p>
        </w:tc>
        <w:tc>
          <w:tcPr>
            <w:tcW w:w="1276" w:type="dxa"/>
            <w:noWrap/>
            <w:vAlign w:val="bottom"/>
          </w:tcPr>
          <w:p w14:paraId="6CEB0BBC" w14:textId="77777777" w:rsidR="003A11FB" w:rsidRPr="00037A46" w:rsidRDefault="003A11FB" w:rsidP="003A11FB">
            <w:pPr>
              <w:spacing w:before="0" w:after="0"/>
              <w:ind w:left="0"/>
              <w:jc w:val="right"/>
              <w:rPr>
                <w:bCs/>
              </w:rPr>
            </w:pPr>
            <w:r w:rsidRPr="00037A46">
              <w:rPr>
                <w:bCs/>
              </w:rPr>
              <w:t>14.150</w:t>
            </w:r>
          </w:p>
        </w:tc>
        <w:tc>
          <w:tcPr>
            <w:tcW w:w="1275" w:type="dxa"/>
            <w:noWrap/>
            <w:vAlign w:val="bottom"/>
          </w:tcPr>
          <w:p w14:paraId="102E2762" w14:textId="77777777" w:rsidR="003A11FB" w:rsidRPr="00037A46" w:rsidRDefault="003A11FB" w:rsidP="003A11FB">
            <w:pPr>
              <w:spacing w:before="0" w:after="0"/>
              <w:ind w:left="0"/>
              <w:jc w:val="right"/>
              <w:rPr>
                <w:bCs/>
              </w:rPr>
            </w:pPr>
            <w:r w:rsidRPr="00037A46">
              <w:rPr>
                <w:bCs/>
              </w:rPr>
              <w:t>14.800</w:t>
            </w:r>
          </w:p>
        </w:tc>
      </w:tr>
      <w:tr w:rsidR="003A11FB" w:rsidRPr="00037A46" w14:paraId="06C07E70" w14:textId="77777777">
        <w:trPr>
          <w:trHeight w:val="315"/>
          <w:jc w:val="center"/>
        </w:trPr>
        <w:tc>
          <w:tcPr>
            <w:tcW w:w="1291" w:type="dxa"/>
            <w:shd w:val="clear" w:color="auto" w:fill="C0C0C0"/>
            <w:noWrap/>
            <w:vAlign w:val="bottom"/>
          </w:tcPr>
          <w:p w14:paraId="6706CC8E" w14:textId="77777777" w:rsidR="003A11FB" w:rsidRPr="00037A46" w:rsidRDefault="003A11FB" w:rsidP="003A11FB">
            <w:pPr>
              <w:spacing w:before="0" w:after="0"/>
              <w:jc w:val="right"/>
              <w:rPr>
                <w:b/>
                <w:bCs/>
              </w:rPr>
            </w:pPr>
            <w:r w:rsidRPr="00037A46">
              <w:rPr>
                <w:b/>
                <w:bCs/>
              </w:rPr>
              <w:t>8</w:t>
            </w:r>
          </w:p>
        </w:tc>
        <w:tc>
          <w:tcPr>
            <w:tcW w:w="1276" w:type="dxa"/>
            <w:noWrap/>
            <w:vAlign w:val="bottom"/>
          </w:tcPr>
          <w:p w14:paraId="0AE24047" w14:textId="77777777" w:rsidR="003A11FB" w:rsidRPr="00037A46" w:rsidRDefault="003A11FB" w:rsidP="003A11FB">
            <w:pPr>
              <w:spacing w:before="0" w:after="0"/>
              <w:ind w:left="0"/>
              <w:jc w:val="right"/>
              <w:rPr>
                <w:bCs/>
              </w:rPr>
            </w:pPr>
            <w:r w:rsidRPr="00037A46">
              <w:rPr>
                <w:bCs/>
              </w:rPr>
              <w:t>13.650</w:t>
            </w:r>
          </w:p>
        </w:tc>
        <w:tc>
          <w:tcPr>
            <w:tcW w:w="1276" w:type="dxa"/>
            <w:noWrap/>
            <w:vAlign w:val="bottom"/>
          </w:tcPr>
          <w:p w14:paraId="24C88B5B" w14:textId="77777777" w:rsidR="003A11FB" w:rsidRPr="00037A46" w:rsidRDefault="003A11FB" w:rsidP="003A11FB">
            <w:pPr>
              <w:spacing w:before="0" w:after="0"/>
              <w:ind w:left="0"/>
              <w:jc w:val="right"/>
              <w:rPr>
                <w:bCs/>
              </w:rPr>
            </w:pPr>
            <w:r w:rsidRPr="00037A46">
              <w:rPr>
                <w:bCs/>
              </w:rPr>
              <w:t>14.150</w:t>
            </w:r>
          </w:p>
        </w:tc>
        <w:tc>
          <w:tcPr>
            <w:tcW w:w="1275" w:type="dxa"/>
            <w:noWrap/>
            <w:vAlign w:val="bottom"/>
          </w:tcPr>
          <w:p w14:paraId="3C96F84D" w14:textId="77777777" w:rsidR="003A11FB" w:rsidRPr="00037A46" w:rsidRDefault="003A11FB" w:rsidP="003A11FB">
            <w:pPr>
              <w:spacing w:before="0" w:after="0"/>
              <w:ind w:left="0"/>
              <w:jc w:val="right"/>
              <w:rPr>
                <w:bCs/>
              </w:rPr>
            </w:pPr>
            <w:r w:rsidRPr="00037A46">
              <w:rPr>
                <w:bCs/>
              </w:rPr>
              <w:t>14.800</w:t>
            </w:r>
          </w:p>
        </w:tc>
      </w:tr>
      <w:tr w:rsidR="003A11FB" w:rsidRPr="00037A46" w14:paraId="55D67A4B" w14:textId="77777777">
        <w:trPr>
          <w:trHeight w:val="315"/>
          <w:jc w:val="center"/>
        </w:trPr>
        <w:tc>
          <w:tcPr>
            <w:tcW w:w="1291" w:type="dxa"/>
            <w:shd w:val="clear" w:color="auto" w:fill="C0C0C0"/>
            <w:noWrap/>
            <w:vAlign w:val="bottom"/>
          </w:tcPr>
          <w:p w14:paraId="21BF47B6" w14:textId="77777777" w:rsidR="003A11FB" w:rsidRPr="00037A46" w:rsidRDefault="003A11FB" w:rsidP="003A11FB">
            <w:pPr>
              <w:spacing w:before="0" w:after="0"/>
              <w:jc w:val="right"/>
              <w:rPr>
                <w:b/>
                <w:bCs/>
              </w:rPr>
            </w:pPr>
            <w:r w:rsidRPr="00037A46">
              <w:rPr>
                <w:b/>
                <w:bCs/>
              </w:rPr>
              <w:t>9</w:t>
            </w:r>
          </w:p>
        </w:tc>
        <w:tc>
          <w:tcPr>
            <w:tcW w:w="1276" w:type="dxa"/>
            <w:noWrap/>
            <w:vAlign w:val="bottom"/>
          </w:tcPr>
          <w:p w14:paraId="422ECD5C" w14:textId="77777777" w:rsidR="003A11FB" w:rsidRPr="00037A46" w:rsidRDefault="003A11FB" w:rsidP="003A11FB">
            <w:pPr>
              <w:spacing w:before="0" w:after="0"/>
              <w:ind w:left="0"/>
              <w:jc w:val="right"/>
              <w:rPr>
                <w:bCs/>
              </w:rPr>
            </w:pPr>
            <w:r w:rsidRPr="00037A46">
              <w:rPr>
                <w:bCs/>
              </w:rPr>
              <w:t>13.800</w:t>
            </w:r>
          </w:p>
        </w:tc>
        <w:tc>
          <w:tcPr>
            <w:tcW w:w="1276" w:type="dxa"/>
            <w:noWrap/>
            <w:vAlign w:val="bottom"/>
          </w:tcPr>
          <w:p w14:paraId="18891DC3" w14:textId="77777777" w:rsidR="003A11FB" w:rsidRPr="00037A46" w:rsidRDefault="003A11FB" w:rsidP="003A11FB">
            <w:pPr>
              <w:spacing w:before="0" w:after="0"/>
              <w:ind w:left="0"/>
              <w:jc w:val="right"/>
              <w:rPr>
                <w:bCs/>
              </w:rPr>
            </w:pPr>
            <w:r w:rsidRPr="00037A46">
              <w:rPr>
                <w:bCs/>
              </w:rPr>
              <w:t>14.300</w:t>
            </w:r>
          </w:p>
        </w:tc>
        <w:tc>
          <w:tcPr>
            <w:tcW w:w="1275" w:type="dxa"/>
            <w:noWrap/>
            <w:vAlign w:val="bottom"/>
          </w:tcPr>
          <w:p w14:paraId="5F47856C" w14:textId="77777777" w:rsidR="003A11FB" w:rsidRPr="00037A46" w:rsidRDefault="003A11FB" w:rsidP="003A11FB">
            <w:pPr>
              <w:spacing w:before="0" w:after="0"/>
              <w:ind w:left="0"/>
              <w:jc w:val="right"/>
              <w:rPr>
                <w:bCs/>
              </w:rPr>
            </w:pPr>
            <w:r w:rsidRPr="00037A46">
              <w:rPr>
                <w:bCs/>
              </w:rPr>
              <w:t>14.950</w:t>
            </w:r>
          </w:p>
        </w:tc>
      </w:tr>
      <w:tr w:rsidR="003A11FB" w:rsidRPr="00037A46" w14:paraId="66A1AE5D" w14:textId="77777777">
        <w:trPr>
          <w:trHeight w:val="315"/>
          <w:jc w:val="center"/>
        </w:trPr>
        <w:tc>
          <w:tcPr>
            <w:tcW w:w="1291" w:type="dxa"/>
            <w:shd w:val="clear" w:color="auto" w:fill="C0C0C0"/>
            <w:noWrap/>
            <w:vAlign w:val="bottom"/>
          </w:tcPr>
          <w:p w14:paraId="201E64F7" w14:textId="77777777" w:rsidR="003A11FB" w:rsidRPr="00037A46" w:rsidRDefault="003A11FB" w:rsidP="003A11FB">
            <w:pPr>
              <w:spacing w:before="0" w:after="0"/>
              <w:jc w:val="right"/>
              <w:rPr>
                <w:b/>
                <w:bCs/>
              </w:rPr>
            </w:pPr>
            <w:r w:rsidRPr="00037A46">
              <w:rPr>
                <w:b/>
                <w:bCs/>
              </w:rPr>
              <w:t>10</w:t>
            </w:r>
          </w:p>
        </w:tc>
        <w:tc>
          <w:tcPr>
            <w:tcW w:w="1276" w:type="dxa"/>
            <w:noWrap/>
            <w:vAlign w:val="bottom"/>
          </w:tcPr>
          <w:p w14:paraId="491429C7" w14:textId="77777777" w:rsidR="003A11FB" w:rsidRPr="00037A46" w:rsidRDefault="003A11FB" w:rsidP="003A11FB">
            <w:pPr>
              <w:spacing w:before="0" w:after="0"/>
              <w:ind w:left="0"/>
              <w:jc w:val="right"/>
              <w:rPr>
                <w:bCs/>
              </w:rPr>
            </w:pPr>
            <w:r w:rsidRPr="00037A46">
              <w:rPr>
                <w:bCs/>
              </w:rPr>
              <w:t>13.800</w:t>
            </w:r>
          </w:p>
        </w:tc>
        <w:tc>
          <w:tcPr>
            <w:tcW w:w="1276" w:type="dxa"/>
            <w:noWrap/>
            <w:vAlign w:val="bottom"/>
          </w:tcPr>
          <w:p w14:paraId="25938D2A" w14:textId="77777777" w:rsidR="003A11FB" w:rsidRPr="00037A46" w:rsidRDefault="003A11FB" w:rsidP="003A11FB">
            <w:pPr>
              <w:spacing w:before="0" w:after="0"/>
              <w:ind w:left="0"/>
              <w:jc w:val="right"/>
              <w:rPr>
                <w:bCs/>
              </w:rPr>
            </w:pPr>
            <w:r w:rsidRPr="00037A46">
              <w:rPr>
                <w:bCs/>
              </w:rPr>
              <w:t>14.300</w:t>
            </w:r>
          </w:p>
        </w:tc>
        <w:tc>
          <w:tcPr>
            <w:tcW w:w="1275" w:type="dxa"/>
            <w:noWrap/>
            <w:vAlign w:val="bottom"/>
          </w:tcPr>
          <w:p w14:paraId="289B3DE1" w14:textId="77777777" w:rsidR="003A11FB" w:rsidRPr="00037A46" w:rsidRDefault="003A11FB" w:rsidP="003A11FB">
            <w:pPr>
              <w:spacing w:before="0" w:after="0"/>
              <w:ind w:left="0"/>
              <w:jc w:val="right"/>
              <w:rPr>
                <w:bCs/>
              </w:rPr>
            </w:pPr>
            <w:r w:rsidRPr="00037A46">
              <w:rPr>
                <w:bCs/>
              </w:rPr>
              <w:t>14.950</w:t>
            </w:r>
          </w:p>
        </w:tc>
      </w:tr>
      <w:tr w:rsidR="003A11FB" w:rsidRPr="00037A46" w14:paraId="7195C645" w14:textId="77777777">
        <w:trPr>
          <w:trHeight w:val="315"/>
          <w:jc w:val="center"/>
        </w:trPr>
        <w:tc>
          <w:tcPr>
            <w:tcW w:w="1291" w:type="dxa"/>
            <w:shd w:val="clear" w:color="auto" w:fill="C0C0C0"/>
            <w:noWrap/>
            <w:vAlign w:val="bottom"/>
          </w:tcPr>
          <w:p w14:paraId="63AB0684" w14:textId="77777777" w:rsidR="003A11FB" w:rsidRPr="00037A46" w:rsidRDefault="003A11FB" w:rsidP="003A11FB">
            <w:pPr>
              <w:spacing w:before="0" w:after="0"/>
              <w:jc w:val="right"/>
              <w:rPr>
                <w:b/>
                <w:bCs/>
              </w:rPr>
            </w:pPr>
            <w:r w:rsidRPr="00037A46">
              <w:rPr>
                <w:b/>
                <w:bCs/>
              </w:rPr>
              <w:t>11</w:t>
            </w:r>
          </w:p>
        </w:tc>
        <w:tc>
          <w:tcPr>
            <w:tcW w:w="1276" w:type="dxa"/>
            <w:noWrap/>
            <w:vAlign w:val="bottom"/>
          </w:tcPr>
          <w:p w14:paraId="3325E2E6" w14:textId="77777777" w:rsidR="003A11FB" w:rsidRPr="00037A46" w:rsidRDefault="003A11FB" w:rsidP="003A11FB">
            <w:pPr>
              <w:spacing w:before="0" w:after="0"/>
              <w:ind w:left="0"/>
              <w:jc w:val="right"/>
              <w:rPr>
                <w:bCs/>
              </w:rPr>
            </w:pPr>
            <w:r w:rsidRPr="00037A46">
              <w:rPr>
                <w:bCs/>
              </w:rPr>
              <w:t>13.900</w:t>
            </w:r>
          </w:p>
        </w:tc>
        <w:tc>
          <w:tcPr>
            <w:tcW w:w="1276" w:type="dxa"/>
            <w:noWrap/>
            <w:vAlign w:val="bottom"/>
          </w:tcPr>
          <w:p w14:paraId="4F7E6F70" w14:textId="77777777" w:rsidR="003A11FB" w:rsidRPr="00037A46" w:rsidRDefault="003A11FB" w:rsidP="003A11FB">
            <w:pPr>
              <w:spacing w:before="0" w:after="0"/>
              <w:ind w:left="0"/>
              <w:jc w:val="right"/>
              <w:rPr>
                <w:bCs/>
              </w:rPr>
            </w:pPr>
            <w:r w:rsidRPr="00037A46">
              <w:rPr>
                <w:bCs/>
              </w:rPr>
              <w:t>14.450</w:t>
            </w:r>
          </w:p>
        </w:tc>
        <w:tc>
          <w:tcPr>
            <w:tcW w:w="1275" w:type="dxa"/>
            <w:noWrap/>
            <w:vAlign w:val="bottom"/>
          </w:tcPr>
          <w:p w14:paraId="40860C61" w14:textId="77777777" w:rsidR="003A11FB" w:rsidRPr="00037A46" w:rsidRDefault="003A11FB" w:rsidP="003A11FB">
            <w:pPr>
              <w:spacing w:before="0" w:after="0"/>
              <w:ind w:left="0"/>
              <w:jc w:val="right"/>
              <w:rPr>
                <w:bCs/>
              </w:rPr>
            </w:pPr>
            <w:r w:rsidRPr="00037A46">
              <w:rPr>
                <w:bCs/>
              </w:rPr>
              <w:t>15.100</w:t>
            </w:r>
          </w:p>
        </w:tc>
      </w:tr>
      <w:tr w:rsidR="003A11FB" w:rsidRPr="00037A46" w14:paraId="1DDA41F2" w14:textId="77777777">
        <w:trPr>
          <w:trHeight w:val="315"/>
          <w:jc w:val="center"/>
        </w:trPr>
        <w:tc>
          <w:tcPr>
            <w:tcW w:w="1291" w:type="dxa"/>
            <w:shd w:val="clear" w:color="auto" w:fill="C0C0C0"/>
            <w:noWrap/>
            <w:vAlign w:val="bottom"/>
          </w:tcPr>
          <w:p w14:paraId="19E42786" w14:textId="77777777" w:rsidR="003A11FB" w:rsidRPr="00037A46" w:rsidRDefault="003A11FB" w:rsidP="003A11FB">
            <w:pPr>
              <w:spacing w:before="0" w:after="0"/>
              <w:jc w:val="right"/>
              <w:rPr>
                <w:b/>
                <w:bCs/>
              </w:rPr>
            </w:pPr>
            <w:r w:rsidRPr="00037A46">
              <w:rPr>
                <w:b/>
                <w:bCs/>
              </w:rPr>
              <w:t>12</w:t>
            </w:r>
          </w:p>
        </w:tc>
        <w:tc>
          <w:tcPr>
            <w:tcW w:w="1276" w:type="dxa"/>
            <w:noWrap/>
            <w:vAlign w:val="bottom"/>
          </w:tcPr>
          <w:p w14:paraId="60CD0D3B" w14:textId="77777777" w:rsidR="003A11FB" w:rsidRPr="00037A46" w:rsidRDefault="003A11FB" w:rsidP="003A11FB">
            <w:pPr>
              <w:spacing w:before="0" w:after="0"/>
              <w:ind w:left="0"/>
              <w:jc w:val="right"/>
              <w:rPr>
                <w:bCs/>
              </w:rPr>
            </w:pPr>
            <w:r w:rsidRPr="00037A46">
              <w:rPr>
                <w:bCs/>
              </w:rPr>
              <w:t>13.900</w:t>
            </w:r>
          </w:p>
        </w:tc>
        <w:tc>
          <w:tcPr>
            <w:tcW w:w="1276" w:type="dxa"/>
            <w:noWrap/>
            <w:vAlign w:val="bottom"/>
          </w:tcPr>
          <w:p w14:paraId="35816A33" w14:textId="77777777" w:rsidR="003A11FB" w:rsidRPr="00037A46" w:rsidRDefault="003A11FB" w:rsidP="003A11FB">
            <w:pPr>
              <w:spacing w:before="0" w:after="0"/>
              <w:ind w:left="0"/>
              <w:jc w:val="right"/>
              <w:rPr>
                <w:bCs/>
              </w:rPr>
            </w:pPr>
            <w:r w:rsidRPr="00037A46">
              <w:rPr>
                <w:bCs/>
              </w:rPr>
              <w:t>14.450</w:t>
            </w:r>
          </w:p>
        </w:tc>
        <w:tc>
          <w:tcPr>
            <w:tcW w:w="1275" w:type="dxa"/>
            <w:noWrap/>
            <w:vAlign w:val="bottom"/>
          </w:tcPr>
          <w:p w14:paraId="40D3F13B" w14:textId="77777777" w:rsidR="003A11FB" w:rsidRPr="00037A46" w:rsidRDefault="003A11FB" w:rsidP="003A11FB">
            <w:pPr>
              <w:spacing w:before="0" w:after="0"/>
              <w:ind w:left="0"/>
              <w:jc w:val="right"/>
              <w:rPr>
                <w:bCs/>
              </w:rPr>
            </w:pPr>
            <w:r w:rsidRPr="00037A46">
              <w:rPr>
                <w:bCs/>
              </w:rPr>
              <w:t>15.100</w:t>
            </w:r>
          </w:p>
        </w:tc>
      </w:tr>
      <w:tr w:rsidR="003A11FB" w:rsidRPr="00037A46" w14:paraId="3B49D23A" w14:textId="77777777">
        <w:trPr>
          <w:trHeight w:val="315"/>
          <w:jc w:val="center"/>
        </w:trPr>
        <w:tc>
          <w:tcPr>
            <w:tcW w:w="1291" w:type="dxa"/>
            <w:shd w:val="clear" w:color="auto" w:fill="C0C0C0"/>
            <w:noWrap/>
            <w:vAlign w:val="bottom"/>
          </w:tcPr>
          <w:p w14:paraId="5920AEC3" w14:textId="77777777" w:rsidR="003A11FB" w:rsidRPr="00037A46" w:rsidRDefault="003A11FB" w:rsidP="003A11FB">
            <w:pPr>
              <w:spacing w:before="0" w:after="0"/>
              <w:jc w:val="right"/>
              <w:rPr>
                <w:b/>
                <w:bCs/>
              </w:rPr>
            </w:pPr>
            <w:r w:rsidRPr="00037A46">
              <w:rPr>
                <w:b/>
                <w:bCs/>
              </w:rPr>
              <w:t>13</w:t>
            </w:r>
          </w:p>
        </w:tc>
        <w:tc>
          <w:tcPr>
            <w:tcW w:w="1276" w:type="dxa"/>
            <w:noWrap/>
            <w:vAlign w:val="bottom"/>
          </w:tcPr>
          <w:p w14:paraId="55DD647A" w14:textId="77777777" w:rsidR="003A11FB" w:rsidRPr="00037A46" w:rsidRDefault="003A11FB" w:rsidP="003A11FB">
            <w:pPr>
              <w:spacing w:before="0" w:after="0"/>
              <w:ind w:left="0"/>
              <w:jc w:val="right"/>
              <w:rPr>
                <w:bCs/>
              </w:rPr>
            </w:pPr>
            <w:r w:rsidRPr="00037A46">
              <w:rPr>
                <w:bCs/>
              </w:rPr>
              <w:t>14.000</w:t>
            </w:r>
          </w:p>
        </w:tc>
        <w:tc>
          <w:tcPr>
            <w:tcW w:w="1276" w:type="dxa"/>
            <w:noWrap/>
            <w:vAlign w:val="bottom"/>
          </w:tcPr>
          <w:p w14:paraId="29647CE8" w14:textId="77777777" w:rsidR="003A11FB" w:rsidRPr="00037A46" w:rsidRDefault="003A11FB" w:rsidP="003A11FB">
            <w:pPr>
              <w:spacing w:before="0" w:after="0"/>
              <w:ind w:left="0"/>
              <w:jc w:val="right"/>
              <w:rPr>
                <w:bCs/>
              </w:rPr>
            </w:pPr>
            <w:r w:rsidRPr="00037A46">
              <w:rPr>
                <w:bCs/>
              </w:rPr>
              <w:t>14.600</w:t>
            </w:r>
          </w:p>
        </w:tc>
        <w:tc>
          <w:tcPr>
            <w:tcW w:w="1275" w:type="dxa"/>
            <w:noWrap/>
            <w:vAlign w:val="bottom"/>
          </w:tcPr>
          <w:p w14:paraId="0F1888EE" w14:textId="77777777" w:rsidR="003A11FB" w:rsidRPr="00037A46" w:rsidRDefault="003A11FB" w:rsidP="003A11FB">
            <w:pPr>
              <w:spacing w:before="0" w:after="0"/>
              <w:ind w:left="0"/>
              <w:jc w:val="right"/>
              <w:rPr>
                <w:bCs/>
              </w:rPr>
            </w:pPr>
            <w:r w:rsidRPr="00037A46">
              <w:rPr>
                <w:bCs/>
              </w:rPr>
              <w:t>15.250</w:t>
            </w:r>
          </w:p>
        </w:tc>
      </w:tr>
      <w:tr w:rsidR="003A11FB" w:rsidRPr="00037A46" w14:paraId="48A750D9" w14:textId="77777777">
        <w:trPr>
          <w:trHeight w:val="315"/>
          <w:jc w:val="center"/>
        </w:trPr>
        <w:tc>
          <w:tcPr>
            <w:tcW w:w="1291" w:type="dxa"/>
            <w:shd w:val="clear" w:color="auto" w:fill="C0C0C0"/>
            <w:noWrap/>
            <w:vAlign w:val="bottom"/>
          </w:tcPr>
          <w:p w14:paraId="1A12C4A7" w14:textId="77777777" w:rsidR="003A11FB" w:rsidRPr="00037A46" w:rsidRDefault="003A11FB" w:rsidP="003A11FB">
            <w:pPr>
              <w:spacing w:before="0" w:after="0"/>
              <w:jc w:val="right"/>
              <w:rPr>
                <w:b/>
                <w:bCs/>
              </w:rPr>
            </w:pPr>
            <w:r w:rsidRPr="00037A46">
              <w:rPr>
                <w:b/>
                <w:bCs/>
              </w:rPr>
              <w:t>14</w:t>
            </w:r>
          </w:p>
        </w:tc>
        <w:tc>
          <w:tcPr>
            <w:tcW w:w="1276" w:type="dxa"/>
            <w:noWrap/>
            <w:vAlign w:val="bottom"/>
          </w:tcPr>
          <w:p w14:paraId="5D0EFC61" w14:textId="77777777" w:rsidR="003A11FB" w:rsidRPr="00037A46" w:rsidRDefault="003A11FB" w:rsidP="003A11FB">
            <w:pPr>
              <w:spacing w:before="0" w:after="0"/>
              <w:ind w:left="0"/>
              <w:jc w:val="right"/>
              <w:rPr>
                <w:bCs/>
              </w:rPr>
            </w:pPr>
            <w:r w:rsidRPr="00037A46">
              <w:rPr>
                <w:bCs/>
              </w:rPr>
              <w:t>14.000</w:t>
            </w:r>
          </w:p>
        </w:tc>
        <w:tc>
          <w:tcPr>
            <w:tcW w:w="1276" w:type="dxa"/>
            <w:noWrap/>
            <w:vAlign w:val="bottom"/>
          </w:tcPr>
          <w:p w14:paraId="22F4FA8B" w14:textId="77777777" w:rsidR="003A11FB" w:rsidRPr="00037A46" w:rsidRDefault="003A11FB" w:rsidP="003A11FB">
            <w:pPr>
              <w:spacing w:before="0" w:after="0"/>
              <w:ind w:left="0"/>
              <w:jc w:val="right"/>
              <w:rPr>
                <w:bCs/>
              </w:rPr>
            </w:pPr>
            <w:r w:rsidRPr="00037A46">
              <w:rPr>
                <w:bCs/>
              </w:rPr>
              <w:t>14.600</w:t>
            </w:r>
          </w:p>
        </w:tc>
        <w:tc>
          <w:tcPr>
            <w:tcW w:w="1275" w:type="dxa"/>
            <w:noWrap/>
            <w:vAlign w:val="bottom"/>
          </w:tcPr>
          <w:p w14:paraId="2B3C7027" w14:textId="77777777" w:rsidR="003A11FB" w:rsidRPr="00037A46" w:rsidRDefault="003A11FB" w:rsidP="003A11FB">
            <w:pPr>
              <w:spacing w:before="0" w:after="0"/>
              <w:ind w:left="0"/>
              <w:jc w:val="right"/>
              <w:rPr>
                <w:bCs/>
              </w:rPr>
            </w:pPr>
            <w:r w:rsidRPr="00037A46">
              <w:rPr>
                <w:bCs/>
              </w:rPr>
              <w:t>15.250</w:t>
            </w:r>
          </w:p>
        </w:tc>
      </w:tr>
      <w:tr w:rsidR="003A11FB" w:rsidRPr="00037A46" w14:paraId="68302F3A" w14:textId="77777777">
        <w:trPr>
          <w:trHeight w:val="315"/>
          <w:jc w:val="center"/>
        </w:trPr>
        <w:tc>
          <w:tcPr>
            <w:tcW w:w="1291" w:type="dxa"/>
            <w:shd w:val="clear" w:color="auto" w:fill="C0C0C0"/>
            <w:noWrap/>
            <w:vAlign w:val="bottom"/>
          </w:tcPr>
          <w:p w14:paraId="55D57603" w14:textId="77777777" w:rsidR="003A11FB" w:rsidRPr="00037A46" w:rsidRDefault="003A11FB" w:rsidP="003A11FB">
            <w:pPr>
              <w:spacing w:before="0" w:after="0"/>
              <w:jc w:val="right"/>
              <w:rPr>
                <w:b/>
                <w:bCs/>
              </w:rPr>
            </w:pPr>
            <w:r w:rsidRPr="00037A46">
              <w:rPr>
                <w:b/>
                <w:bCs/>
              </w:rPr>
              <w:t>15</w:t>
            </w:r>
          </w:p>
        </w:tc>
        <w:tc>
          <w:tcPr>
            <w:tcW w:w="1276" w:type="dxa"/>
            <w:noWrap/>
            <w:vAlign w:val="bottom"/>
          </w:tcPr>
          <w:p w14:paraId="791D417B" w14:textId="77777777" w:rsidR="003A11FB" w:rsidRPr="00037A46" w:rsidRDefault="003A11FB" w:rsidP="003A11FB">
            <w:pPr>
              <w:spacing w:before="0" w:after="0"/>
              <w:ind w:left="0"/>
              <w:jc w:val="right"/>
              <w:rPr>
                <w:bCs/>
              </w:rPr>
            </w:pPr>
            <w:r w:rsidRPr="00037A46">
              <w:rPr>
                <w:bCs/>
              </w:rPr>
              <w:t>14.100</w:t>
            </w:r>
          </w:p>
        </w:tc>
        <w:tc>
          <w:tcPr>
            <w:tcW w:w="1276" w:type="dxa"/>
            <w:noWrap/>
            <w:vAlign w:val="bottom"/>
          </w:tcPr>
          <w:p w14:paraId="7265F734" w14:textId="77777777" w:rsidR="003A11FB" w:rsidRPr="00037A46" w:rsidRDefault="003A11FB" w:rsidP="003A11FB">
            <w:pPr>
              <w:spacing w:before="0" w:after="0"/>
              <w:ind w:left="0"/>
              <w:jc w:val="right"/>
              <w:rPr>
                <w:bCs/>
              </w:rPr>
            </w:pPr>
            <w:r w:rsidRPr="00037A46">
              <w:rPr>
                <w:bCs/>
              </w:rPr>
              <w:t>14.750</w:t>
            </w:r>
          </w:p>
        </w:tc>
        <w:tc>
          <w:tcPr>
            <w:tcW w:w="1275" w:type="dxa"/>
            <w:noWrap/>
            <w:vAlign w:val="bottom"/>
          </w:tcPr>
          <w:p w14:paraId="4CC978E8" w14:textId="77777777" w:rsidR="003A11FB" w:rsidRPr="00037A46" w:rsidRDefault="003A11FB" w:rsidP="003A11FB">
            <w:pPr>
              <w:spacing w:before="0" w:after="0"/>
              <w:ind w:left="0"/>
              <w:jc w:val="right"/>
              <w:rPr>
                <w:bCs/>
              </w:rPr>
            </w:pPr>
            <w:r w:rsidRPr="00037A46">
              <w:rPr>
                <w:bCs/>
              </w:rPr>
              <w:t>15.400</w:t>
            </w:r>
          </w:p>
        </w:tc>
      </w:tr>
      <w:tr w:rsidR="003A11FB" w:rsidRPr="00037A46" w14:paraId="5D0EC84F" w14:textId="77777777">
        <w:trPr>
          <w:trHeight w:val="315"/>
          <w:jc w:val="center"/>
        </w:trPr>
        <w:tc>
          <w:tcPr>
            <w:tcW w:w="1291" w:type="dxa"/>
            <w:shd w:val="clear" w:color="auto" w:fill="C0C0C0"/>
            <w:noWrap/>
            <w:vAlign w:val="bottom"/>
          </w:tcPr>
          <w:p w14:paraId="1B90A0D6" w14:textId="77777777" w:rsidR="003A11FB" w:rsidRPr="00037A46" w:rsidRDefault="003A11FB" w:rsidP="003A11FB">
            <w:pPr>
              <w:spacing w:before="0" w:after="0"/>
              <w:jc w:val="right"/>
              <w:rPr>
                <w:b/>
                <w:bCs/>
              </w:rPr>
            </w:pPr>
            <w:r w:rsidRPr="00037A46">
              <w:rPr>
                <w:b/>
                <w:bCs/>
              </w:rPr>
              <w:t>16</w:t>
            </w:r>
          </w:p>
        </w:tc>
        <w:tc>
          <w:tcPr>
            <w:tcW w:w="1276" w:type="dxa"/>
            <w:noWrap/>
            <w:vAlign w:val="bottom"/>
          </w:tcPr>
          <w:p w14:paraId="1676E047" w14:textId="77777777" w:rsidR="003A11FB" w:rsidRPr="00037A46" w:rsidRDefault="003A11FB" w:rsidP="003A11FB">
            <w:pPr>
              <w:spacing w:before="0" w:after="0"/>
              <w:ind w:left="0"/>
              <w:jc w:val="right"/>
              <w:rPr>
                <w:bCs/>
              </w:rPr>
            </w:pPr>
            <w:r w:rsidRPr="00037A46">
              <w:rPr>
                <w:bCs/>
              </w:rPr>
              <w:t>14.100</w:t>
            </w:r>
          </w:p>
        </w:tc>
        <w:tc>
          <w:tcPr>
            <w:tcW w:w="1276" w:type="dxa"/>
            <w:noWrap/>
            <w:vAlign w:val="bottom"/>
          </w:tcPr>
          <w:p w14:paraId="6986AF8D" w14:textId="77777777" w:rsidR="003A11FB" w:rsidRPr="00037A46" w:rsidRDefault="003A11FB" w:rsidP="003A11FB">
            <w:pPr>
              <w:spacing w:before="0" w:after="0"/>
              <w:ind w:left="0"/>
              <w:jc w:val="right"/>
              <w:rPr>
                <w:bCs/>
              </w:rPr>
            </w:pPr>
            <w:r w:rsidRPr="00037A46">
              <w:rPr>
                <w:bCs/>
              </w:rPr>
              <w:t>14.750</w:t>
            </w:r>
          </w:p>
        </w:tc>
        <w:tc>
          <w:tcPr>
            <w:tcW w:w="1275" w:type="dxa"/>
            <w:noWrap/>
            <w:vAlign w:val="bottom"/>
          </w:tcPr>
          <w:p w14:paraId="6F09910E" w14:textId="77777777" w:rsidR="003A11FB" w:rsidRPr="00037A46" w:rsidRDefault="003A11FB" w:rsidP="003A11FB">
            <w:pPr>
              <w:spacing w:before="0" w:after="0"/>
              <w:ind w:left="0"/>
              <w:jc w:val="right"/>
              <w:rPr>
                <w:bCs/>
              </w:rPr>
            </w:pPr>
            <w:r w:rsidRPr="00037A46">
              <w:rPr>
                <w:bCs/>
              </w:rPr>
              <w:t>15.400</w:t>
            </w:r>
          </w:p>
        </w:tc>
      </w:tr>
      <w:tr w:rsidR="003A11FB" w:rsidRPr="00037A46" w14:paraId="1DFE9CBA" w14:textId="77777777">
        <w:trPr>
          <w:trHeight w:val="315"/>
          <w:jc w:val="center"/>
        </w:trPr>
        <w:tc>
          <w:tcPr>
            <w:tcW w:w="1291" w:type="dxa"/>
            <w:shd w:val="clear" w:color="auto" w:fill="C0C0C0"/>
            <w:noWrap/>
            <w:vAlign w:val="bottom"/>
          </w:tcPr>
          <w:p w14:paraId="1B277337" w14:textId="77777777" w:rsidR="003A11FB" w:rsidRPr="00037A46" w:rsidRDefault="003A11FB" w:rsidP="003A11FB">
            <w:pPr>
              <w:spacing w:before="0" w:after="0"/>
              <w:jc w:val="right"/>
              <w:rPr>
                <w:b/>
                <w:bCs/>
              </w:rPr>
            </w:pPr>
            <w:r w:rsidRPr="00037A46">
              <w:rPr>
                <w:b/>
                <w:bCs/>
              </w:rPr>
              <w:t>17</w:t>
            </w:r>
          </w:p>
        </w:tc>
        <w:tc>
          <w:tcPr>
            <w:tcW w:w="1276" w:type="dxa"/>
            <w:noWrap/>
            <w:vAlign w:val="bottom"/>
          </w:tcPr>
          <w:p w14:paraId="537BC9C4" w14:textId="77777777" w:rsidR="003A11FB" w:rsidRPr="00037A46" w:rsidRDefault="003A11FB" w:rsidP="003A11FB">
            <w:pPr>
              <w:spacing w:before="0" w:after="0"/>
              <w:ind w:left="0"/>
              <w:jc w:val="right"/>
              <w:rPr>
                <w:bCs/>
              </w:rPr>
            </w:pPr>
            <w:r w:rsidRPr="00037A46">
              <w:rPr>
                <w:bCs/>
              </w:rPr>
              <w:t>14.250</w:t>
            </w:r>
          </w:p>
        </w:tc>
        <w:tc>
          <w:tcPr>
            <w:tcW w:w="1276" w:type="dxa"/>
            <w:noWrap/>
            <w:vAlign w:val="bottom"/>
          </w:tcPr>
          <w:p w14:paraId="4EF8344D" w14:textId="77777777" w:rsidR="003A11FB" w:rsidRPr="00037A46" w:rsidRDefault="003A11FB" w:rsidP="003A11FB">
            <w:pPr>
              <w:spacing w:before="0" w:after="0"/>
              <w:ind w:left="0"/>
              <w:jc w:val="right"/>
              <w:rPr>
                <w:bCs/>
              </w:rPr>
            </w:pPr>
            <w:r w:rsidRPr="00037A46">
              <w:rPr>
                <w:bCs/>
              </w:rPr>
              <w:t>14.850</w:t>
            </w:r>
          </w:p>
        </w:tc>
        <w:tc>
          <w:tcPr>
            <w:tcW w:w="1275" w:type="dxa"/>
            <w:noWrap/>
            <w:vAlign w:val="bottom"/>
          </w:tcPr>
          <w:p w14:paraId="22FB4E7B" w14:textId="77777777" w:rsidR="003A11FB" w:rsidRPr="00037A46" w:rsidRDefault="003A11FB" w:rsidP="003A11FB">
            <w:pPr>
              <w:spacing w:before="0" w:after="0"/>
              <w:ind w:left="0"/>
              <w:jc w:val="right"/>
              <w:rPr>
                <w:bCs/>
              </w:rPr>
            </w:pPr>
            <w:r w:rsidRPr="00037A46">
              <w:rPr>
                <w:bCs/>
              </w:rPr>
              <w:t>15.550</w:t>
            </w:r>
          </w:p>
        </w:tc>
      </w:tr>
      <w:tr w:rsidR="003A11FB" w:rsidRPr="00037A46" w14:paraId="19FCD962" w14:textId="77777777">
        <w:trPr>
          <w:trHeight w:val="315"/>
          <w:jc w:val="center"/>
        </w:trPr>
        <w:tc>
          <w:tcPr>
            <w:tcW w:w="1291" w:type="dxa"/>
            <w:shd w:val="clear" w:color="auto" w:fill="C0C0C0"/>
            <w:noWrap/>
            <w:vAlign w:val="bottom"/>
          </w:tcPr>
          <w:p w14:paraId="4BCF4F74" w14:textId="77777777" w:rsidR="003A11FB" w:rsidRPr="00037A46" w:rsidRDefault="003A11FB" w:rsidP="003A11FB">
            <w:pPr>
              <w:spacing w:before="0" w:after="0"/>
              <w:jc w:val="right"/>
              <w:rPr>
                <w:b/>
                <w:bCs/>
              </w:rPr>
            </w:pPr>
            <w:r w:rsidRPr="00037A46">
              <w:rPr>
                <w:b/>
                <w:bCs/>
              </w:rPr>
              <w:t>18</w:t>
            </w:r>
          </w:p>
        </w:tc>
        <w:tc>
          <w:tcPr>
            <w:tcW w:w="1276" w:type="dxa"/>
            <w:noWrap/>
            <w:vAlign w:val="bottom"/>
          </w:tcPr>
          <w:p w14:paraId="6B2804B5" w14:textId="77777777" w:rsidR="003A11FB" w:rsidRPr="00037A46" w:rsidRDefault="003A11FB" w:rsidP="003A11FB">
            <w:pPr>
              <w:spacing w:before="0" w:after="0"/>
              <w:ind w:left="0"/>
              <w:jc w:val="right"/>
              <w:rPr>
                <w:bCs/>
              </w:rPr>
            </w:pPr>
            <w:r w:rsidRPr="00037A46">
              <w:rPr>
                <w:bCs/>
              </w:rPr>
              <w:t>14.250</w:t>
            </w:r>
          </w:p>
        </w:tc>
        <w:tc>
          <w:tcPr>
            <w:tcW w:w="1276" w:type="dxa"/>
            <w:noWrap/>
            <w:vAlign w:val="bottom"/>
          </w:tcPr>
          <w:p w14:paraId="79497F59" w14:textId="77777777" w:rsidR="003A11FB" w:rsidRPr="00037A46" w:rsidRDefault="003A11FB" w:rsidP="003A11FB">
            <w:pPr>
              <w:spacing w:before="0" w:after="0"/>
              <w:ind w:left="0"/>
              <w:jc w:val="right"/>
              <w:rPr>
                <w:bCs/>
              </w:rPr>
            </w:pPr>
            <w:r w:rsidRPr="00037A46">
              <w:rPr>
                <w:bCs/>
              </w:rPr>
              <w:t>14.850</w:t>
            </w:r>
          </w:p>
        </w:tc>
        <w:tc>
          <w:tcPr>
            <w:tcW w:w="1275" w:type="dxa"/>
            <w:noWrap/>
            <w:vAlign w:val="bottom"/>
          </w:tcPr>
          <w:p w14:paraId="13A7733E" w14:textId="77777777" w:rsidR="003A11FB" w:rsidRPr="00037A46" w:rsidRDefault="003A11FB" w:rsidP="003A11FB">
            <w:pPr>
              <w:spacing w:before="0" w:after="0"/>
              <w:ind w:left="0"/>
              <w:jc w:val="right"/>
              <w:rPr>
                <w:bCs/>
              </w:rPr>
            </w:pPr>
            <w:r w:rsidRPr="00037A46">
              <w:rPr>
                <w:bCs/>
              </w:rPr>
              <w:t>15.550</w:t>
            </w:r>
          </w:p>
        </w:tc>
      </w:tr>
      <w:tr w:rsidR="003A11FB" w:rsidRPr="00037A46" w14:paraId="5FB1780E" w14:textId="77777777">
        <w:trPr>
          <w:trHeight w:val="315"/>
          <w:jc w:val="center"/>
        </w:trPr>
        <w:tc>
          <w:tcPr>
            <w:tcW w:w="1291" w:type="dxa"/>
            <w:shd w:val="clear" w:color="auto" w:fill="C0C0C0"/>
            <w:noWrap/>
            <w:vAlign w:val="bottom"/>
          </w:tcPr>
          <w:p w14:paraId="142C3F80" w14:textId="77777777" w:rsidR="003A11FB" w:rsidRPr="00037A46" w:rsidRDefault="003A11FB" w:rsidP="003A11FB">
            <w:pPr>
              <w:spacing w:before="0" w:after="0"/>
              <w:jc w:val="right"/>
              <w:rPr>
                <w:b/>
                <w:bCs/>
              </w:rPr>
            </w:pPr>
            <w:r w:rsidRPr="00037A46">
              <w:rPr>
                <w:b/>
                <w:bCs/>
              </w:rPr>
              <w:t>19</w:t>
            </w:r>
          </w:p>
        </w:tc>
        <w:tc>
          <w:tcPr>
            <w:tcW w:w="1276" w:type="dxa"/>
            <w:noWrap/>
            <w:vAlign w:val="bottom"/>
          </w:tcPr>
          <w:p w14:paraId="008CBC23" w14:textId="77777777" w:rsidR="003A11FB" w:rsidRPr="00037A46" w:rsidRDefault="003A11FB" w:rsidP="003A11FB">
            <w:pPr>
              <w:spacing w:before="0" w:after="0"/>
              <w:ind w:left="0"/>
              <w:jc w:val="right"/>
              <w:rPr>
                <w:bCs/>
              </w:rPr>
            </w:pPr>
            <w:r w:rsidRPr="00037A46">
              <w:rPr>
                <w:bCs/>
              </w:rPr>
              <w:t>14.400</w:t>
            </w:r>
          </w:p>
        </w:tc>
        <w:tc>
          <w:tcPr>
            <w:tcW w:w="1276" w:type="dxa"/>
            <w:noWrap/>
            <w:vAlign w:val="bottom"/>
          </w:tcPr>
          <w:p w14:paraId="321A4BC1" w14:textId="77777777" w:rsidR="003A11FB" w:rsidRPr="00037A46" w:rsidRDefault="003A11FB" w:rsidP="003A11FB">
            <w:pPr>
              <w:spacing w:before="0" w:after="0"/>
              <w:ind w:left="0"/>
              <w:jc w:val="right"/>
              <w:rPr>
                <w:bCs/>
              </w:rPr>
            </w:pPr>
            <w:r w:rsidRPr="00037A46">
              <w:rPr>
                <w:bCs/>
              </w:rPr>
              <w:t>15.000</w:t>
            </w:r>
          </w:p>
        </w:tc>
        <w:tc>
          <w:tcPr>
            <w:tcW w:w="1275" w:type="dxa"/>
            <w:noWrap/>
            <w:vAlign w:val="bottom"/>
          </w:tcPr>
          <w:p w14:paraId="35D8F811" w14:textId="77777777" w:rsidR="003A11FB" w:rsidRPr="00037A46" w:rsidRDefault="003A11FB" w:rsidP="003A11FB">
            <w:pPr>
              <w:spacing w:before="0" w:after="0"/>
              <w:ind w:left="0"/>
              <w:jc w:val="right"/>
              <w:rPr>
                <w:bCs/>
              </w:rPr>
            </w:pPr>
            <w:r w:rsidRPr="00037A46">
              <w:rPr>
                <w:bCs/>
              </w:rPr>
              <w:t>15.700</w:t>
            </w:r>
          </w:p>
        </w:tc>
      </w:tr>
      <w:tr w:rsidR="003A11FB" w:rsidRPr="00037A46" w14:paraId="78DE5C08" w14:textId="77777777">
        <w:trPr>
          <w:trHeight w:val="315"/>
          <w:jc w:val="center"/>
        </w:trPr>
        <w:tc>
          <w:tcPr>
            <w:tcW w:w="1291" w:type="dxa"/>
            <w:shd w:val="clear" w:color="auto" w:fill="C0C0C0"/>
            <w:noWrap/>
            <w:vAlign w:val="bottom"/>
          </w:tcPr>
          <w:p w14:paraId="3657AB5F" w14:textId="77777777" w:rsidR="003A11FB" w:rsidRPr="00037A46" w:rsidRDefault="003A11FB" w:rsidP="003A11FB">
            <w:pPr>
              <w:spacing w:before="0" w:after="0"/>
              <w:jc w:val="right"/>
              <w:rPr>
                <w:b/>
                <w:bCs/>
              </w:rPr>
            </w:pPr>
            <w:r w:rsidRPr="00037A46">
              <w:rPr>
                <w:b/>
                <w:bCs/>
              </w:rPr>
              <w:t>20</w:t>
            </w:r>
          </w:p>
        </w:tc>
        <w:tc>
          <w:tcPr>
            <w:tcW w:w="1276" w:type="dxa"/>
            <w:noWrap/>
            <w:vAlign w:val="bottom"/>
          </w:tcPr>
          <w:p w14:paraId="5C561FC5" w14:textId="77777777" w:rsidR="003A11FB" w:rsidRPr="00037A46" w:rsidRDefault="003A11FB" w:rsidP="003A11FB">
            <w:pPr>
              <w:spacing w:before="0" w:after="0"/>
              <w:ind w:left="0"/>
              <w:jc w:val="right"/>
              <w:rPr>
                <w:bCs/>
              </w:rPr>
            </w:pPr>
            <w:r w:rsidRPr="00037A46">
              <w:rPr>
                <w:bCs/>
              </w:rPr>
              <w:t>14.400</w:t>
            </w:r>
          </w:p>
        </w:tc>
        <w:tc>
          <w:tcPr>
            <w:tcW w:w="1276" w:type="dxa"/>
            <w:noWrap/>
            <w:vAlign w:val="bottom"/>
          </w:tcPr>
          <w:p w14:paraId="6F0DB49C" w14:textId="77777777" w:rsidR="003A11FB" w:rsidRPr="00037A46" w:rsidRDefault="003A11FB" w:rsidP="003A11FB">
            <w:pPr>
              <w:spacing w:before="0" w:after="0"/>
              <w:ind w:left="0"/>
              <w:jc w:val="right"/>
              <w:rPr>
                <w:bCs/>
              </w:rPr>
            </w:pPr>
            <w:r w:rsidRPr="00037A46">
              <w:rPr>
                <w:bCs/>
              </w:rPr>
              <w:t>15.000</w:t>
            </w:r>
          </w:p>
        </w:tc>
        <w:tc>
          <w:tcPr>
            <w:tcW w:w="1275" w:type="dxa"/>
            <w:noWrap/>
            <w:vAlign w:val="bottom"/>
          </w:tcPr>
          <w:p w14:paraId="7BD6C206" w14:textId="77777777" w:rsidR="003A11FB" w:rsidRPr="00037A46" w:rsidRDefault="003A11FB" w:rsidP="003A11FB">
            <w:pPr>
              <w:spacing w:before="0" w:after="0"/>
              <w:ind w:left="0"/>
              <w:jc w:val="right"/>
              <w:rPr>
                <w:bCs/>
              </w:rPr>
            </w:pPr>
            <w:r w:rsidRPr="00037A46">
              <w:rPr>
                <w:bCs/>
              </w:rPr>
              <w:t>15.700</w:t>
            </w:r>
          </w:p>
        </w:tc>
      </w:tr>
      <w:tr w:rsidR="003A11FB" w:rsidRPr="00037A46" w14:paraId="196126BB" w14:textId="77777777">
        <w:trPr>
          <w:trHeight w:val="315"/>
          <w:jc w:val="center"/>
        </w:trPr>
        <w:tc>
          <w:tcPr>
            <w:tcW w:w="1291" w:type="dxa"/>
            <w:shd w:val="clear" w:color="auto" w:fill="C0C0C0"/>
            <w:noWrap/>
            <w:vAlign w:val="bottom"/>
          </w:tcPr>
          <w:p w14:paraId="057DA8DA" w14:textId="77777777" w:rsidR="003A11FB" w:rsidRPr="00037A46" w:rsidRDefault="003A11FB" w:rsidP="003A11FB">
            <w:pPr>
              <w:spacing w:before="0" w:after="0"/>
              <w:jc w:val="right"/>
              <w:rPr>
                <w:b/>
                <w:bCs/>
              </w:rPr>
            </w:pPr>
            <w:r w:rsidRPr="00037A46">
              <w:rPr>
                <w:b/>
                <w:bCs/>
              </w:rPr>
              <w:t>21</w:t>
            </w:r>
          </w:p>
        </w:tc>
        <w:tc>
          <w:tcPr>
            <w:tcW w:w="1276" w:type="dxa"/>
            <w:noWrap/>
            <w:vAlign w:val="bottom"/>
          </w:tcPr>
          <w:p w14:paraId="40C3761B" w14:textId="77777777" w:rsidR="003A11FB" w:rsidRPr="00037A46" w:rsidRDefault="003A11FB" w:rsidP="003A11FB">
            <w:pPr>
              <w:spacing w:before="0" w:after="0"/>
              <w:ind w:left="0"/>
              <w:jc w:val="right"/>
              <w:rPr>
                <w:bCs/>
              </w:rPr>
            </w:pPr>
            <w:r w:rsidRPr="00037A46">
              <w:rPr>
                <w:bCs/>
              </w:rPr>
              <w:t>14.550</w:t>
            </w:r>
          </w:p>
        </w:tc>
        <w:tc>
          <w:tcPr>
            <w:tcW w:w="1276" w:type="dxa"/>
            <w:noWrap/>
            <w:vAlign w:val="bottom"/>
          </w:tcPr>
          <w:p w14:paraId="2596CB84" w14:textId="77777777" w:rsidR="003A11FB" w:rsidRPr="00037A46" w:rsidRDefault="003A11FB" w:rsidP="003A11FB">
            <w:pPr>
              <w:spacing w:before="0" w:after="0"/>
              <w:ind w:left="0"/>
              <w:jc w:val="right"/>
              <w:rPr>
                <w:bCs/>
              </w:rPr>
            </w:pPr>
            <w:r w:rsidRPr="00037A46">
              <w:rPr>
                <w:bCs/>
              </w:rPr>
              <w:t>15.150</w:t>
            </w:r>
          </w:p>
        </w:tc>
        <w:tc>
          <w:tcPr>
            <w:tcW w:w="1275" w:type="dxa"/>
            <w:noWrap/>
            <w:vAlign w:val="bottom"/>
          </w:tcPr>
          <w:p w14:paraId="250A5B66" w14:textId="77777777" w:rsidR="003A11FB" w:rsidRPr="00037A46" w:rsidRDefault="003A11FB" w:rsidP="003A11FB">
            <w:pPr>
              <w:spacing w:before="0" w:after="0"/>
              <w:ind w:left="0"/>
              <w:jc w:val="right"/>
              <w:rPr>
                <w:bCs/>
              </w:rPr>
            </w:pPr>
            <w:r w:rsidRPr="00037A46">
              <w:rPr>
                <w:bCs/>
              </w:rPr>
              <w:t>15.850</w:t>
            </w:r>
          </w:p>
        </w:tc>
      </w:tr>
      <w:tr w:rsidR="003A11FB" w:rsidRPr="00037A46" w14:paraId="281C60F3" w14:textId="77777777">
        <w:trPr>
          <w:trHeight w:val="315"/>
          <w:jc w:val="center"/>
        </w:trPr>
        <w:tc>
          <w:tcPr>
            <w:tcW w:w="1291" w:type="dxa"/>
            <w:shd w:val="clear" w:color="auto" w:fill="C0C0C0"/>
            <w:noWrap/>
            <w:vAlign w:val="bottom"/>
          </w:tcPr>
          <w:p w14:paraId="3F17A322" w14:textId="77777777" w:rsidR="003A11FB" w:rsidRPr="00037A46" w:rsidRDefault="003A11FB" w:rsidP="003A11FB">
            <w:pPr>
              <w:spacing w:before="0" w:after="0"/>
              <w:jc w:val="right"/>
              <w:rPr>
                <w:b/>
                <w:bCs/>
              </w:rPr>
            </w:pPr>
            <w:r w:rsidRPr="00037A46">
              <w:rPr>
                <w:b/>
                <w:bCs/>
              </w:rPr>
              <w:t>22</w:t>
            </w:r>
          </w:p>
        </w:tc>
        <w:tc>
          <w:tcPr>
            <w:tcW w:w="1276" w:type="dxa"/>
            <w:noWrap/>
            <w:vAlign w:val="bottom"/>
          </w:tcPr>
          <w:p w14:paraId="08DA28F8" w14:textId="77777777" w:rsidR="003A11FB" w:rsidRPr="00037A46" w:rsidRDefault="003A11FB" w:rsidP="003A11FB">
            <w:pPr>
              <w:spacing w:before="0" w:after="0"/>
              <w:ind w:left="0"/>
              <w:jc w:val="right"/>
              <w:rPr>
                <w:bCs/>
              </w:rPr>
            </w:pPr>
            <w:r w:rsidRPr="00037A46">
              <w:rPr>
                <w:bCs/>
              </w:rPr>
              <w:t>14.550</w:t>
            </w:r>
          </w:p>
        </w:tc>
        <w:tc>
          <w:tcPr>
            <w:tcW w:w="1276" w:type="dxa"/>
            <w:noWrap/>
            <w:vAlign w:val="bottom"/>
          </w:tcPr>
          <w:p w14:paraId="34626EDD" w14:textId="77777777" w:rsidR="003A11FB" w:rsidRPr="00037A46" w:rsidRDefault="003A11FB" w:rsidP="003A11FB">
            <w:pPr>
              <w:spacing w:before="0" w:after="0"/>
              <w:ind w:left="0"/>
              <w:jc w:val="right"/>
              <w:rPr>
                <w:bCs/>
              </w:rPr>
            </w:pPr>
            <w:r w:rsidRPr="00037A46">
              <w:rPr>
                <w:bCs/>
              </w:rPr>
              <w:t>15.150</w:t>
            </w:r>
          </w:p>
        </w:tc>
        <w:tc>
          <w:tcPr>
            <w:tcW w:w="1275" w:type="dxa"/>
            <w:noWrap/>
            <w:vAlign w:val="bottom"/>
          </w:tcPr>
          <w:p w14:paraId="3F43D3AD" w14:textId="77777777" w:rsidR="003A11FB" w:rsidRPr="00037A46" w:rsidRDefault="003A11FB" w:rsidP="003A11FB">
            <w:pPr>
              <w:spacing w:before="0" w:after="0"/>
              <w:ind w:left="0"/>
              <w:jc w:val="right"/>
              <w:rPr>
                <w:bCs/>
              </w:rPr>
            </w:pPr>
            <w:r w:rsidRPr="00037A46">
              <w:rPr>
                <w:bCs/>
              </w:rPr>
              <w:t>15.850</w:t>
            </w:r>
          </w:p>
        </w:tc>
      </w:tr>
      <w:tr w:rsidR="003A11FB" w:rsidRPr="00037A46" w14:paraId="09F252DA" w14:textId="77777777">
        <w:trPr>
          <w:trHeight w:val="315"/>
          <w:jc w:val="center"/>
        </w:trPr>
        <w:tc>
          <w:tcPr>
            <w:tcW w:w="1291" w:type="dxa"/>
            <w:shd w:val="clear" w:color="auto" w:fill="C0C0C0"/>
            <w:noWrap/>
            <w:vAlign w:val="bottom"/>
          </w:tcPr>
          <w:p w14:paraId="63C02098" w14:textId="77777777" w:rsidR="003A11FB" w:rsidRPr="00037A46" w:rsidRDefault="003A11FB" w:rsidP="003A11FB">
            <w:pPr>
              <w:spacing w:before="0" w:after="0"/>
              <w:jc w:val="right"/>
              <w:rPr>
                <w:b/>
                <w:bCs/>
              </w:rPr>
            </w:pPr>
            <w:r w:rsidRPr="00037A46">
              <w:rPr>
                <w:b/>
                <w:bCs/>
              </w:rPr>
              <w:t>23</w:t>
            </w:r>
          </w:p>
        </w:tc>
        <w:tc>
          <w:tcPr>
            <w:tcW w:w="1276" w:type="dxa"/>
            <w:noWrap/>
            <w:vAlign w:val="bottom"/>
          </w:tcPr>
          <w:p w14:paraId="5CAF4AA6" w14:textId="77777777" w:rsidR="003A11FB" w:rsidRPr="00037A46" w:rsidRDefault="003A11FB" w:rsidP="003A11FB">
            <w:pPr>
              <w:spacing w:before="0" w:after="0"/>
              <w:ind w:left="0"/>
              <w:jc w:val="right"/>
              <w:rPr>
                <w:bCs/>
              </w:rPr>
            </w:pPr>
            <w:r w:rsidRPr="00037A46">
              <w:rPr>
                <w:bCs/>
              </w:rPr>
              <w:t>14.700</w:t>
            </w:r>
          </w:p>
        </w:tc>
        <w:tc>
          <w:tcPr>
            <w:tcW w:w="1276" w:type="dxa"/>
            <w:noWrap/>
            <w:vAlign w:val="bottom"/>
          </w:tcPr>
          <w:p w14:paraId="4BCF9D91" w14:textId="77777777" w:rsidR="003A11FB" w:rsidRPr="00037A46" w:rsidRDefault="003A11FB" w:rsidP="003A11FB">
            <w:pPr>
              <w:spacing w:before="0" w:after="0"/>
              <w:ind w:left="0"/>
              <w:jc w:val="right"/>
              <w:rPr>
                <w:bCs/>
              </w:rPr>
            </w:pPr>
            <w:r w:rsidRPr="00037A46">
              <w:rPr>
                <w:bCs/>
              </w:rPr>
              <w:t>15.300</w:t>
            </w:r>
          </w:p>
        </w:tc>
        <w:tc>
          <w:tcPr>
            <w:tcW w:w="1275" w:type="dxa"/>
            <w:noWrap/>
            <w:vAlign w:val="bottom"/>
          </w:tcPr>
          <w:p w14:paraId="76DCA6A7" w14:textId="77777777" w:rsidR="003A11FB" w:rsidRPr="00037A46" w:rsidRDefault="003A11FB" w:rsidP="003A11FB">
            <w:pPr>
              <w:spacing w:before="0" w:after="0"/>
              <w:ind w:left="0"/>
              <w:jc w:val="right"/>
              <w:rPr>
                <w:bCs/>
              </w:rPr>
            </w:pPr>
            <w:r w:rsidRPr="00037A46">
              <w:rPr>
                <w:bCs/>
              </w:rPr>
              <w:t>16.000</w:t>
            </w:r>
          </w:p>
        </w:tc>
      </w:tr>
      <w:tr w:rsidR="003A11FB" w:rsidRPr="00037A46" w14:paraId="34D13CFB" w14:textId="77777777">
        <w:trPr>
          <w:trHeight w:val="315"/>
          <w:jc w:val="center"/>
        </w:trPr>
        <w:tc>
          <w:tcPr>
            <w:tcW w:w="1291" w:type="dxa"/>
            <w:shd w:val="clear" w:color="auto" w:fill="C0C0C0"/>
            <w:noWrap/>
            <w:vAlign w:val="bottom"/>
          </w:tcPr>
          <w:p w14:paraId="3061242D" w14:textId="77777777" w:rsidR="003A11FB" w:rsidRPr="00037A46" w:rsidRDefault="003A11FB" w:rsidP="003A11FB">
            <w:pPr>
              <w:spacing w:before="0" w:after="0"/>
              <w:jc w:val="right"/>
              <w:rPr>
                <w:b/>
                <w:bCs/>
              </w:rPr>
            </w:pPr>
            <w:r w:rsidRPr="00037A46">
              <w:rPr>
                <w:b/>
                <w:bCs/>
              </w:rPr>
              <w:t>24</w:t>
            </w:r>
          </w:p>
        </w:tc>
        <w:tc>
          <w:tcPr>
            <w:tcW w:w="1276" w:type="dxa"/>
            <w:noWrap/>
            <w:vAlign w:val="bottom"/>
          </w:tcPr>
          <w:p w14:paraId="19B5A7EB" w14:textId="77777777" w:rsidR="003A11FB" w:rsidRPr="00037A46" w:rsidRDefault="003A11FB" w:rsidP="003A11FB">
            <w:pPr>
              <w:spacing w:before="0" w:after="0"/>
              <w:ind w:left="0"/>
              <w:jc w:val="right"/>
              <w:rPr>
                <w:bCs/>
              </w:rPr>
            </w:pPr>
            <w:r w:rsidRPr="00037A46">
              <w:rPr>
                <w:bCs/>
              </w:rPr>
              <w:t>14.700</w:t>
            </w:r>
          </w:p>
        </w:tc>
        <w:tc>
          <w:tcPr>
            <w:tcW w:w="1276" w:type="dxa"/>
            <w:noWrap/>
            <w:vAlign w:val="bottom"/>
          </w:tcPr>
          <w:p w14:paraId="68F7A67B" w14:textId="77777777" w:rsidR="003A11FB" w:rsidRPr="00037A46" w:rsidRDefault="003A11FB" w:rsidP="003A11FB">
            <w:pPr>
              <w:spacing w:before="0" w:after="0"/>
              <w:ind w:left="0"/>
              <w:jc w:val="right"/>
              <w:rPr>
                <w:bCs/>
              </w:rPr>
            </w:pPr>
            <w:r w:rsidRPr="00037A46">
              <w:rPr>
                <w:bCs/>
              </w:rPr>
              <w:t>15.300</w:t>
            </w:r>
          </w:p>
        </w:tc>
        <w:tc>
          <w:tcPr>
            <w:tcW w:w="1275" w:type="dxa"/>
            <w:noWrap/>
            <w:vAlign w:val="bottom"/>
          </w:tcPr>
          <w:p w14:paraId="7FBA9ACA" w14:textId="77777777" w:rsidR="003A11FB" w:rsidRPr="00037A46" w:rsidRDefault="003A11FB" w:rsidP="003A11FB">
            <w:pPr>
              <w:spacing w:before="0" w:after="0"/>
              <w:ind w:left="0"/>
              <w:jc w:val="right"/>
              <w:rPr>
                <w:bCs/>
              </w:rPr>
            </w:pPr>
            <w:r w:rsidRPr="00037A46">
              <w:rPr>
                <w:bCs/>
              </w:rPr>
              <w:t>16.000</w:t>
            </w:r>
          </w:p>
        </w:tc>
      </w:tr>
      <w:tr w:rsidR="003A11FB" w:rsidRPr="00037A46" w14:paraId="29363B82" w14:textId="77777777">
        <w:trPr>
          <w:trHeight w:val="315"/>
          <w:jc w:val="center"/>
        </w:trPr>
        <w:tc>
          <w:tcPr>
            <w:tcW w:w="1291" w:type="dxa"/>
            <w:shd w:val="clear" w:color="auto" w:fill="C0C0C0"/>
            <w:noWrap/>
            <w:vAlign w:val="bottom"/>
          </w:tcPr>
          <w:p w14:paraId="5A1D3DED" w14:textId="77777777" w:rsidR="003A11FB" w:rsidRPr="00037A46" w:rsidRDefault="003A11FB" w:rsidP="003A11FB">
            <w:pPr>
              <w:spacing w:before="0" w:after="0"/>
              <w:jc w:val="right"/>
              <w:rPr>
                <w:b/>
                <w:bCs/>
              </w:rPr>
            </w:pPr>
            <w:r w:rsidRPr="00037A46">
              <w:rPr>
                <w:b/>
                <w:bCs/>
              </w:rPr>
              <w:t>25</w:t>
            </w:r>
          </w:p>
        </w:tc>
        <w:tc>
          <w:tcPr>
            <w:tcW w:w="1276" w:type="dxa"/>
            <w:noWrap/>
            <w:vAlign w:val="bottom"/>
          </w:tcPr>
          <w:p w14:paraId="2EDD97A6" w14:textId="77777777" w:rsidR="003A11FB" w:rsidRPr="00037A46" w:rsidRDefault="003A11FB" w:rsidP="003A11FB">
            <w:pPr>
              <w:spacing w:before="0" w:after="0"/>
              <w:ind w:left="0"/>
              <w:jc w:val="right"/>
              <w:rPr>
                <w:bCs/>
              </w:rPr>
            </w:pPr>
            <w:r w:rsidRPr="00037A46">
              <w:rPr>
                <w:bCs/>
              </w:rPr>
              <w:t>14.850</w:t>
            </w:r>
          </w:p>
        </w:tc>
        <w:tc>
          <w:tcPr>
            <w:tcW w:w="1276" w:type="dxa"/>
            <w:noWrap/>
            <w:vAlign w:val="bottom"/>
          </w:tcPr>
          <w:p w14:paraId="060F7A06" w14:textId="77777777" w:rsidR="003A11FB" w:rsidRPr="00037A46" w:rsidRDefault="003A11FB" w:rsidP="003A11FB">
            <w:pPr>
              <w:spacing w:before="0" w:after="0"/>
              <w:ind w:left="0"/>
              <w:jc w:val="right"/>
              <w:rPr>
                <w:bCs/>
              </w:rPr>
            </w:pPr>
            <w:r w:rsidRPr="00037A46">
              <w:rPr>
                <w:bCs/>
              </w:rPr>
              <w:t>15.450</w:t>
            </w:r>
          </w:p>
        </w:tc>
        <w:tc>
          <w:tcPr>
            <w:tcW w:w="1275" w:type="dxa"/>
            <w:noWrap/>
            <w:vAlign w:val="bottom"/>
          </w:tcPr>
          <w:p w14:paraId="1AC8ECEF" w14:textId="77777777" w:rsidR="003A11FB" w:rsidRPr="00037A46" w:rsidRDefault="003A11FB" w:rsidP="003A11FB">
            <w:pPr>
              <w:spacing w:before="0" w:after="0"/>
              <w:ind w:left="0"/>
              <w:jc w:val="right"/>
              <w:rPr>
                <w:bCs/>
              </w:rPr>
            </w:pPr>
            <w:r w:rsidRPr="00037A46">
              <w:rPr>
                <w:bCs/>
              </w:rPr>
              <w:t>16.150</w:t>
            </w:r>
          </w:p>
        </w:tc>
      </w:tr>
      <w:tr w:rsidR="003A11FB" w:rsidRPr="00037A46" w14:paraId="03934E48" w14:textId="77777777">
        <w:trPr>
          <w:trHeight w:val="315"/>
          <w:jc w:val="center"/>
        </w:trPr>
        <w:tc>
          <w:tcPr>
            <w:tcW w:w="1291" w:type="dxa"/>
            <w:shd w:val="clear" w:color="auto" w:fill="C0C0C0"/>
            <w:noWrap/>
            <w:vAlign w:val="bottom"/>
          </w:tcPr>
          <w:p w14:paraId="2095A3EC" w14:textId="77777777" w:rsidR="003A11FB" w:rsidRPr="00037A46" w:rsidRDefault="003A11FB" w:rsidP="003A11FB">
            <w:pPr>
              <w:spacing w:before="0" w:after="0"/>
              <w:jc w:val="right"/>
              <w:rPr>
                <w:b/>
                <w:bCs/>
              </w:rPr>
            </w:pPr>
            <w:r w:rsidRPr="00037A46">
              <w:rPr>
                <w:b/>
                <w:bCs/>
              </w:rPr>
              <w:t>26</w:t>
            </w:r>
          </w:p>
        </w:tc>
        <w:tc>
          <w:tcPr>
            <w:tcW w:w="1276" w:type="dxa"/>
            <w:noWrap/>
            <w:vAlign w:val="bottom"/>
          </w:tcPr>
          <w:p w14:paraId="27BE6955" w14:textId="77777777" w:rsidR="003A11FB" w:rsidRPr="00037A46" w:rsidRDefault="003A11FB" w:rsidP="003A11FB">
            <w:pPr>
              <w:spacing w:before="0" w:after="0"/>
              <w:ind w:left="0"/>
              <w:jc w:val="right"/>
              <w:rPr>
                <w:bCs/>
              </w:rPr>
            </w:pPr>
            <w:r w:rsidRPr="00037A46">
              <w:rPr>
                <w:bCs/>
              </w:rPr>
              <w:t>14.850</w:t>
            </w:r>
          </w:p>
        </w:tc>
        <w:tc>
          <w:tcPr>
            <w:tcW w:w="1276" w:type="dxa"/>
            <w:noWrap/>
            <w:vAlign w:val="bottom"/>
          </w:tcPr>
          <w:p w14:paraId="4EDB9820" w14:textId="77777777" w:rsidR="003A11FB" w:rsidRPr="00037A46" w:rsidRDefault="003A11FB" w:rsidP="003A11FB">
            <w:pPr>
              <w:spacing w:before="0" w:after="0"/>
              <w:ind w:left="0"/>
              <w:jc w:val="right"/>
              <w:rPr>
                <w:bCs/>
              </w:rPr>
            </w:pPr>
            <w:r w:rsidRPr="00037A46">
              <w:rPr>
                <w:bCs/>
              </w:rPr>
              <w:t>15.450</w:t>
            </w:r>
          </w:p>
        </w:tc>
        <w:tc>
          <w:tcPr>
            <w:tcW w:w="1275" w:type="dxa"/>
            <w:noWrap/>
            <w:vAlign w:val="bottom"/>
          </w:tcPr>
          <w:p w14:paraId="5967F0F2" w14:textId="77777777" w:rsidR="003A11FB" w:rsidRPr="00037A46" w:rsidRDefault="003A11FB" w:rsidP="003A11FB">
            <w:pPr>
              <w:spacing w:before="0" w:after="0"/>
              <w:ind w:left="0"/>
              <w:jc w:val="right"/>
              <w:rPr>
                <w:bCs/>
              </w:rPr>
            </w:pPr>
            <w:r w:rsidRPr="00037A46">
              <w:rPr>
                <w:bCs/>
              </w:rPr>
              <w:t>16.150</w:t>
            </w:r>
          </w:p>
        </w:tc>
      </w:tr>
      <w:tr w:rsidR="003A11FB" w:rsidRPr="00037A46" w14:paraId="2ECE8107" w14:textId="77777777">
        <w:trPr>
          <w:trHeight w:val="330"/>
          <w:jc w:val="center"/>
        </w:trPr>
        <w:tc>
          <w:tcPr>
            <w:tcW w:w="1291" w:type="dxa"/>
            <w:shd w:val="clear" w:color="auto" w:fill="C0C0C0"/>
            <w:noWrap/>
            <w:vAlign w:val="bottom"/>
          </w:tcPr>
          <w:p w14:paraId="452ED5E1" w14:textId="77777777" w:rsidR="003A11FB" w:rsidRPr="00037A46" w:rsidRDefault="003A11FB" w:rsidP="003A11FB">
            <w:pPr>
              <w:spacing w:before="0" w:after="0"/>
              <w:jc w:val="right"/>
              <w:rPr>
                <w:b/>
                <w:bCs/>
              </w:rPr>
            </w:pPr>
            <w:r w:rsidRPr="00037A46">
              <w:rPr>
                <w:b/>
                <w:bCs/>
              </w:rPr>
              <w:t>27</w:t>
            </w:r>
          </w:p>
        </w:tc>
        <w:tc>
          <w:tcPr>
            <w:tcW w:w="1276" w:type="dxa"/>
            <w:noWrap/>
            <w:vAlign w:val="bottom"/>
          </w:tcPr>
          <w:p w14:paraId="30CFFBA5" w14:textId="77777777" w:rsidR="003A11FB" w:rsidRPr="00037A46" w:rsidRDefault="003A11FB" w:rsidP="003A11FB">
            <w:pPr>
              <w:spacing w:before="0" w:after="0"/>
              <w:ind w:left="0"/>
              <w:jc w:val="right"/>
              <w:rPr>
                <w:bCs/>
              </w:rPr>
            </w:pPr>
            <w:r w:rsidRPr="00037A46">
              <w:rPr>
                <w:bCs/>
              </w:rPr>
              <w:t>15.000</w:t>
            </w:r>
          </w:p>
        </w:tc>
        <w:tc>
          <w:tcPr>
            <w:tcW w:w="1276" w:type="dxa"/>
            <w:noWrap/>
            <w:vAlign w:val="bottom"/>
          </w:tcPr>
          <w:p w14:paraId="35F5B9CA" w14:textId="77777777" w:rsidR="003A11FB" w:rsidRPr="00037A46" w:rsidRDefault="003A11FB" w:rsidP="003A11FB">
            <w:pPr>
              <w:spacing w:before="0" w:after="0"/>
              <w:ind w:left="0"/>
              <w:jc w:val="right"/>
              <w:rPr>
                <w:bCs/>
              </w:rPr>
            </w:pPr>
            <w:r w:rsidRPr="00037A46">
              <w:rPr>
                <w:bCs/>
              </w:rPr>
              <w:t>15.650</w:t>
            </w:r>
          </w:p>
        </w:tc>
        <w:tc>
          <w:tcPr>
            <w:tcW w:w="1275" w:type="dxa"/>
            <w:noWrap/>
            <w:vAlign w:val="bottom"/>
          </w:tcPr>
          <w:p w14:paraId="2EE553D9" w14:textId="77777777" w:rsidR="003A11FB" w:rsidRPr="00037A46" w:rsidRDefault="003A11FB" w:rsidP="003A11FB">
            <w:pPr>
              <w:spacing w:before="0" w:after="0"/>
              <w:ind w:left="0"/>
              <w:jc w:val="right"/>
              <w:rPr>
                <w:bCs/>
              </w:rPr>
            </w:pPr>
            <w:r w:rsidRPr="00037A46">
              <w:rPr>
                <w:bCs/>
              </w:rPr>
              <w:t>16.550</w:t>
            </w:r>
          </w:p>
        </w:tc>
      </w:tr>
    </w:tbl>
    <w:p w14:paraId="02903BC5" w14:textId="40526F0F" w:rsidR="003A11FB" w:rsidRDefault="00520105" w:rsidP="00520105">
      <w:pPr>
        <w:tabs>
          <w:tab w:val="left" w:pos="2160"/>
        </w:tabs>
        <w:rPr>
          <w:lang w:val="nl-BE"/>
        </w:rPr>
      </w:pPr>
      <w:bookmarkStart w:id="299" w:name="_Toc210794516"/>
      <w:bookmarkStart w:id="300" w:name="OLE_LINK37"/>
      <w:bookmarkStart w:id="301" w:name="OLE_LINK38"/>
      <w:r>
        <w:rPr>
          <w:lang w:val="nl-BE"/>
        </w:rPr>
        <w:tab/>
      </w:r>
    </w:p>
    <w:p w14:paraId="79D1AF91" w14:textId="77777777" w:rsidR="00520105" w:rsidRDefault="00520105" w:rsidP="008935E3">
      <w:pPr>
        <w:tabs>
          <w:tab w:val="left" w:pos="2160"/>
        </w:tabs>
        <w:ind w:left="0"/>
        <w:rPr>
          <w:lang w:val="nl-BE"/>
        </w:rPr>
      </w:pPr>
    </w:p>
    <w:p w14:paraId="0C067D5F" w14:textId="77777777" w:rsidR="00D12454" w:rsidRDefault="00D12454" w:rsidP="00520105">
      <w:pPr>
        <w:tabs>
          <w:tab w:val="left" w:pos="2160"/>
        </w:tabs>
        <w:rPr>
          <w:lang w:val="nl-BE"/>
        </w:rPr>
        <w:sectPr w:rsidR="00D12454">
          <w:headerReference w:type="default" r:id="rId13"/>
          <w:footerReference w:type="default" r:id="rId14"/>
          <w:pgSz w:w="11907" w:h="16840" w:code="9"/>
          <w:pgMar w:top="1701" w:right="1440" w:bottom="1701" w:left="1440" w:header="794" w:footer="794" w:gutter="0"/>
          <w:cols w:space="708"/>
          <w:noEndnote/>
        </w:sectPr>
      </w:pPr>
    </w:p>
    <w:p w14:paraId="73B39055" w14:textId="77777777" w:rsidR="00530BA6" w:rsidRDefault="00530BA6" w:rsidP="00520105">
      <w:pPr>
        <w:tabs>
          <w:tab w:val="left" w:pos="2160"/>
        </w:tabs>
        <w:rPr>
          <w:lang w:val="nl-BE"/>
        </w:rPr>
      </w:pPr>
    </w:p>
    <w:tbl>
      <w:tblPr>
        <w:tblW w:w="12606" w:type="dxa"/>
        <w:jc w:val="center"/>
        <w:tblBorders>
          <w:top w:val="single" w:sz="8" w:space="0" w:color="auto"/>
          <w:left w:val="single" w:sz="8" w:space="0" w:color="auto"/>
          <w:bottom w:val="single" w:sz="8" w:space="0" w:color="auto"/>
          <w:right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163"/>
        <w:gridCol w:w="1539"/>
        <w:gridCol w:w="1276"/>
        <w:gridCol w:w="1399"/>
        <w:gridCol w:w="1417"/>
        <w:gridCol w:w="1418"/>
        <w:gridCol w:w="1559"/>
        <w:gridCol w:w="1418"/>
        <w:gridCol w:w="1417"/>
      </w:tblGrid>
      <w:tr w:rsidR="002106E4" w:rsidRPr="00037A46" w14:paraId="41C5D27C" w14:textId="39F5759D" w:rsidTr="00391903">
        <w:trPr>
          <w:trHeight w:val="749"/>
          <w:jc w:val="center"/>
        </w:trPr>
        <w:tc>
          <w:tcPr>
            <w:tcW w:w="1163" w:type="dxa"/>
            <w:tcBorders>
              <w:top w:val="single" w:sz="8" w:space="0" w:color="auto"/>
              <w:bottom w:val="single" w:sz="8" w:space="0" w:color="auto"/>
            </w:tcBorders>
            <w:shd w:val="clear" w:color="auto" w:fill="E3E3E3"/>
            <w:vAlign w:val="center"/>
          </w:tcPr>
          <w:p w14:paraId="3D229B59" w14:textId="77777777" w:rsidR="002106E4" w:rsidRPr="00037A46" w:rsidRDefault="002106E4" w:rsidP="002106E4">
            <w:pPr>
              <w:spacing w:before="0" w:after="0"/>
              <w:ind w:hanging="764"/>
              <w:jc w:val="center"/>
              <w:rPr>
                <w:b/>
                <w:bCs/>
                <w:lang w:val="en-US"/>
              </w:rPr>
            </w:pPr>
            <w:r w:rsidRPr="00037A46">
              <w:br w:type="page"/>
            </w:r>
            <w:proofErr w:type="spellStart"/>
            <w:r w:rsidRPr="00037A46">
              <w:rPr>
                <w:b/>
                <w:bCs/>
                <w:lang w:val="en-US"/>
              </w:rPr>
              <w:t>salaris</w:t>
            </w:r>
            <w:proofErr w:type="spellEnd"/>
            <w:r w:rsidRPr="00037A46">
              <w:rPr>
                <w:b/>
                <w:bCs/>
                <w:lang w:val="en-US"/>
              </w:rPr>
              <w:t>-</w:t>
            </w:r>
          </w:p>
          <w:p w14:paraId="73AE8CF4" w14:textId="77777777" w:rsidR="002106E4" w:rsidRPr="00037A46" w:rsidRDefault="002106E4" w:rsidP="002106E4">
            <w:pPr>
              <w:spacing w:before="0" w:after="0"/>
              <w:ind w:left="87"/>
              <w:jc w:val="center"/>
              <w:rPr>
                <w:b/>
                <w:bCs/>
                <w:lang w:val="en-US"/>
              </w:rPr>
            </w:pPr>
            <w:proofErr w:type="spellStart"/>
            <w:r w:rsidRPr="00037A46">
              <w:rPr>
                <w:b/>
                <w:bCs/>
                <w:lang w:val="en-US"/>
              </w:rPr>
              <w:t>schalen</w:t>
            </w:r>
            <w:proofErr w:type="spellEnd"/>
            <w:r w:rsidRPr="00037A46">
              <w:rPr>
                <w:b/>
                <w:bCs/>
                <w:lang w:val="en-US"/>
              </w:rPr>
              <w:t xml:space="preserve"> </w:t>
            </w:r>
          </w:p>
        </w:tc>
        <w:tc>
          <w:tcPr>
            <w:tcW w:w="1539" w:type="dxa"/>
            <w:tcBorders>
              <w:top w:val="single" w:sz="8" w:space="0" w:color="auto"/>
              <w:bottom w:val="single" w:sz="8" w:space="0" w:color="auto"/>
            </w:tcBorders>
            <w:shd w:val="clear" w:color="auto" w:fill="C0C0C0"/>
            <w:vAlign w:val="center"/>
          </w:tcPr>
          <w:p w14:paraId="0A6274DD" w14:textId="2899577B" w:rsidR="002106E4" w:rsidRPr="00037A46" w:rsidRDefault="002106E4" w:rsidP="002106E4">
            <w:pPr>
              <w:spacing w:before="0" w:after="0"/>
              <w:ind w:left="214"/>
              <w:jc w:val="right"/>
              <w:rPr>
                <w:b/>
                <w:bCs/>
                <w:lang w:val="en-US"/>
              </w:rPr>
            </w:pPr>
            <w:r>
              <w:rPr>
                <w:b/>
                <w:bCs/>
                <w:lang w:val="en-US"/>
              </w:rPr>
              <w:t>CAT 4</w:t>
            </w:r>
          </w:p>
        </w:tc>
        <w:tc>
          <w:tcPr>
            <w:tcW w:w="1276" w:type="dxa"/>
            <w:tcBorders>
              <w:top w:val="single" w:sz="8" w:space="0" w:color="auto"/>
              <w:bottom w:val="single" w:sz="8" w:space="0" w:color="auto"/>
            </w:tcBorders>
            <w:shd w:val="clear" w:color="auto" w:fill="C0C0C0"/>
            <w:vAlign w:val="center"/>
          </w:tcPr>
          <w:p w14:paraId="7E29FE73" w14:textId="3483E9D1" w:rsidR="002106E4" w:rsidRPr="00037A46" w:rsidRDefault="002106E4" w:rsidP="002106E4">
            <w:pPr>
              <w:spacing w:before="0" w:after="0"/>
              <w:ind w:left="156"/>
              <w:jc w:val="right"/>
              <w:rPr>
                <w:b/>
                <w:bCs/>
                <w:lang w:val="en-US"/>
              </w:rPr>
            </w:pPr>
            <w:r>
              <w:rPr>
                <w:b/>
                <w:bCs/>
                <w:lang w:val="en-US"/>
              </w:rPr>
              <w:t>CAT 5</w:t>
            </w:r>
          </w:p>
        </w:tc>
        <w:tc>
          <w:tcPr>
            <w:tcW w:w="1399" w:type="dxa"/>
            <w:tcBorders>
              <w:top w:val="single" w:sz="8" w:space="0" w:color="auto"/>
              <w:bottom w:val="single" w:sz="8" w:space="0" w:color="auto"/>
              <w:right w:val="single" w:sz="4" w:space="0" w:color="auto"/>
            </w:tcBorders>
            <w:shd w:val="clear" w:color="auto" w:fill="C0C0C0"/>
            <w:vAlign w:val="center"/>
          </w:tcPr>
          <w:p w14:paraId="2C137C83" w14:textId="00468D88" w:rsidR="002106E4" w:rsidRPr="00037A46" w:rsidRDefault="002106E4" w:rsidP="002106E4">
            <w:pPr>
              <w:spacing w:before="0" w:after="0"/>
              <w:ind w:left="113"/>
              <w:jc w:val="right"/>
              <w:rPr>
                <w:b/>
                <w:bCs/>
                <w:lang w:val="en-US"/>
              </w:rPr>
            </w:pPr>
            <w:r>
              <w:rPr>
                <w:b/>
                <w:bCs/>
                <w:lang w:val="en-US"/>
              </w:rPr>
              <w:t>CAT 6</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F0B937" w14:textId="0EF2932E" w:rsidR="002106E4" w:rsidRDefault="002106E4" w:rsidP="002106E4">
            <w:pPr>
              <w:spacing w:before="0" w:after="0"/>
              <w:ind w:left="113"/>
              <w:jc w:val="right"/>
              <w:rPr>
                <w:b/>
                <w:bCs/>
                <w:lang w:val="en-US"/>
              </w:rPr>
            </w:pPr>
            <w:r>
              <w:rPr>
                <w:b/>
                <w:bCs/>
                <w:lang w:val="en-US"/>
              </w:rPr>
              <w:t>CAT 7</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6FDA33" w14:textId="0370A608" w:rsidR="002106E4" w:rsidRDefault="002106E4" w:rsidP="002106E4">
            <w:pPr>
              <w:spacing w:before="0" w:after="0"/>
              <w:ind w:left="113"/>
              <w:jc w:val="right"/>
              <w:rPr>
                <w:b/>
                <w:bCs/>
                <w:lang w:val="en-US"/>
              </w:rPr>
            </w:pPr>
            <w:r>
              <w:rPr>
                <w:b/>
                <w:bCs/>
                <w:lang w:val="en-US"/>
              </w:rPr>
              <w:t>CAT 8</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AB6602" w14:textId="2C9E1101" w:rsidR="002106E4" w:rsidRDefault="002106E4" w:rsidP="002106E4">
            <w:pPr>
              <w:spacing w:before="0" w:after="0"/>
              <w:ind w:left="113"/>
              <w:jc w:val="right"/>
              <w:rPr>
                <w:b/>
                <w:bCs/>
                <w:lang w:val="en-US"/>
              </w:rPr>
            </w:pPr>
            <w:r>
              <w:rPr>
                <w:b/>
                <w:bCs/>
                <w:lang w:val="en-US"/>
              </w:rPr>
              <w:t>CAT 9</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8D8161" w14:textId="7F38159D" w:rsidR="002106E4" w:rsidRDefault="002106E4" w:rsidP="002106E4">
            <w:pPr>
              <w:spacing w:before="0" w:after="0"/>
              <w:ind w:left="113"/>
              <w:jc w:val="right"/>
              <w:rPr>
                <w:b/>
                <w:bCs/>
                <w:lang w:val="en-US"/>
              </w:rPr>
            </w:pPr>
            <w:r>
              <w:rPr>
                <w:b/>
                <w:bCs/>
                <w:lang w:val="en-US"/>
              </w:rPr>
              <w:t>CAT 10</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ADEC24" w14:textId="6D35081E" w:rsidR="002106E4" w:rsidRDefault="002106E4" w:rsidP="002106E4">
            <w:pPr>
              <w:spacing w:before="0" w:after="0"/>
              <w:ind w:left="113"/>
              <w:jc w:val="right"/>
              <w:rPr>
                <w:b/>
                <w:bCs/>
                <w:lang w:val="en-US"/>
              </w:rPr>
            </w:pPr>
            <w:r>
              <w:rPr>
                <w:b/>
                <w:bCs/>
                <w:lang w:val="en-US"/>
              </w:rPr>
              <w:t>CAT 11</w:t>
            </w:r>
          </w:p>
        </w:tc>
      </w:tr>
      <w:tr w:rsidR="002106E4" w:rsidRPr="00037A46" w14:paraId="464ED2E9" w14:textId="6348EE54" w:rsidTr="00391903">
        <w:trPr>
          <w:trHeight w:val="315"/>
          <w:jc w:val="center"/>
        </w:trPr>
        <w:tc>
          <w:tcPr>
            <w:tcW w:w="1163" w:type="dxa"/>
            <w:tcBorders>
              <w:top w:val="single" w:sz="8" w:space="0" w:color="auto"/>
              <w:bottom w:val="nil"/>
            </w:tcBorders>
            <w:shd w:val="clear" w:color="auto" w:fill="C0C0C0"/>
            <w:noWrap/>
            <w:vAlign w:val="bottom"/>
          </w:tcPr>
          <w:p w14:paraId="5D28B716" w14:textId="77777777" w:rsidR="002106E4" w:rsidRPr="00037A46" w:rsidRDefault="002106E4" w:rsidP="002106E4">
            <w:pPr>
              <w:spacing w:before="0" w:after="0"/>
              <w:ind w:hanging="764"/>
              <w:rPr>
                <w:b/>
                <w:bCs/>
              </w:rPr>
            </w:pPr>
            <w:r w:rsidRPr="00037A46">
              <w:rPr>
                <w:b/>
                <w:bCs/>
              </w:rPr>
              <w:t>minimum</w:t>
            </w:r>
          </w:p>
        </w:tc>
        <w:tc>
          <w:tcPr>
            <w:tcW w:w="1539" w:type="dxa"/>
            <w:tcBorders>
              <w:top w:val="single" w:sz="8" w:space="0" w:color="auto"/>
              <w:bottom w:val="nil"/>
            </w:tcBorders>
            <w:noWrap/>
            <w:vAlign w:val="bottom"/>
          </w:tcPr>
          <w:p w14:paraId="7E04B13D" w14:textId="3414E236" w:rsidR="002106E4" w:rsidRPr="00037A46" w:rsidRDefault="002106E4" w:rsidP="002106E4">
            <w:pPr>
              <w:spacing w:before="0" w:after="0"/>
              <w:ind w:left="214"/>
              <w:jc w:val="right"/>
              <w:rPr>
                <w:bCs/>
              </w:rPr>
            </w:pPr>
            <w:r w:rsidRPr="00843561">
              <w:rPr>
                <w:rFonts w:cs="Arial"/>
                <w:bCs/>
                <w:lang w:val="en-US"/>
              </w:rPr>
              <w:t>13</w:t>
            </w:r>
            <w:r>
              <w:rPr>
                <w:rFonts w:cs="Arial"/>
                <w:bCs/>
                <w:lang w:val="en-US"/>
              </w:rPr>
              <w:t>.</w:t>
            </w:r>
            <w:r w:rsidRPr="00843561">
              <w:rPr>
                <w:rFonts w:cs="Arial"/>
                <w:bCs/>
                <w:lang w:val="en-US"/>
              </w:rPr>
              <w:t>652</w:t>
            </w:r>
            <w:r w:rsidRPr="00843561">
              <w:rPr>
                <w:rFonts w:cs="Arial"/>
                <w:color w:val="000000"/>
              </w:rPr>
              <w:t>,21</w:t>
            </w:r>
          </w:p>
        </w:tc>
        <w:tc>
          <w:tcPr>
            <w:tcW w:w="1276" w:type="dxa"/>
            <w:tcBorders>
              <w:top w:val="single" w:sz="8" w:space="0" w:color="auto"/>
              <w:bottom w:val="nil"/>
            </w:tcBorders>
            <w:noWrap/>
            <w:vAlign w:val="bottom"/>
          </w:tcPr>
          <w:p w14:paraId="151060BB" w14:textId="7A2CBFC5" w:rsidR="002106E4" w:rsidRPr="00037A46" w:rsidRDefault="002106E4" w:rsidP="002106E4">
            <w:pPr>
              <w:spacing w:before="0" w:after="0"/>
              <w:ind w:left="156"/>
              <w:jc w:val="right"/>
              <w:rPr>
                <w:bCs/>
              </w:rPr>
            </w:pPr>
            <w:r w:rsidRPr="00843561">
              <w:rPr>
                <w:rFonts w:cs="Arial"/>
                <w:color w:val="000000"/>
              </w:rPr>
              <w:t>13</w:t>
            </w:r>
            <w:r>
              <w:rPr>
                <w:rFonts w:cs="Arial"/>
                <w:color w:val="000000"/>
              </w:rPr>
              <w:t>.</w:t>
            </w:r>
            <w:r w:rsidRPr="00843561">
              <w:rPr>
                <w:rFonts w:cs="Arial"/>
                <w:color w:val="000000"/>
              </w:rPr>
              <w:t>725,4</w:t>
            </w:r>
          </w:p>
        </w:tc>
        <w:tc>
          <w:tcPr>
            <w:tcW w:w="1399" w:type="dxa"/>
            <w:tcBorders>
              <w:top w:val="single" w:sz="8" w:space="0" w:color="auto"/>
              <w:bottom w:val="nil"/>
            </w:tcBorders>
            <w:noWrap/>
            <w:vAlign w:val="bottom"/>
          </w:tcPr>
          <w:p w14:paraId="305BAB3E" w14:textId="3D6EE2B2" w:rsidR="002106E4" w:rsidRPr="00037A46" w:rsidRDefault="002106E4" w:rsidP="002106E4">
            <w:pPr>
              <w:spacing w:before="0" w:after="0"/>
              <w:ind w:left="113"/>
              <w:jc w:val="right"/>
              <w:rPr>
                <w:bCs/>
              </w:rPr>
            </w:pPr>
            <w:r w:rsidRPr="00843561">
              <w:rPr>
                <w:rFonts w:cs="Arial"/>
                <w:color w:val="000000"/>
              </w:rPr>
              <w:t>13</w:t>
            </w:r>
            <w:r>
              <w:rPr>
                <w:rFonts w:cs="Arial"/>
                <w:color w:val="000000"/>
              </w:rPr>
              <w:t>.</w:t>
            </w:r>
            <w:r w:rsidRPr="00843561">
              <w:rPr>
                <w:rFonts w:cs="Arial"/>
                <w:color w:val="000000"/>
              </w:rPr>
              <w:t>931,03</w:t>
            </w:r>
          </w:p>
        </w:tc>
        <w:tc>
          <w:tcPr>
            <w:tcW w:w="1417" w:type="dxa"/>
            <w:tcBorders>
              <w:top w:val="single" w:sz="4" w:space="0" w:color="auto"/>
              <w:bottom w:val="nil"/>
            </w:tcBorders>
            <w:vAlign w:val="bottom"/>
          </w:tcPr>
          <w:p w14:paraId="4F7C9978" w14:textId="41A439C3" w:rsidR="002106E4" w:rsidRPr="00843561" w:rsidRDefault="002106E4" w:rsidP="002106E4">
            <w:pPr>
              <w:spacing w:before="0" w:after="0"/>
              <w:ind w:left="113"/>
              <w:jc w:val="right"/>
              <w:rPr>
                <w:rFonts w:cs="Arial"/>
                <w:color w:val="000000"/>
              </w:rPr>
            </w:pPr>
            <w:r w:rsidRPr="008935E3">
              <w:rPr>
                <w:rFonts w:cs="Arial"/>
                <w:color w:val="000000"/>
              </w:rPr>
              <w:t>14</w:t>
            </w:r>
            <w:r>
              <w:rPr>
                <w:rFonts w:cs="Arial"/>
                <w:color w:val="000000"/>
              </w:rPr>
              <w:t>.</w:t>
            </w:r>
            <w:r w:rsidRPr="008935E3">
              <w:rPr>
                <w:rFonts w:cs="Arial"/>
                <w:color w:val="000000"/>
              </w:rPr>
              <w:t>213,7</w:t>
            </w:r>
          </w:p>
        </w:tc>
        <w:tc>
          <w:tcPr>
            <w:tcW w:w="1418" w:type="dxa"/>
            <w:tcBorders>
              <w:top w:val="single" w:sz="4" w:space="0" w:color="auto"/>
              <w:bottom w:val="nil"/>
            </w:tcBorders>
            <w:vAlign w:val="bottom"/>
          </w:tcPr>
          <w:p w14:paraId="1310AE53" w14:textId="6E7CF76C" w:rsidR="002106E4" w:rsidRPr="00843561" w:rsidRDefault="002106E4" w:rsidP="002106E4">
            <w:pPr>
              <w:spacing w:before="0" w:after="0"/>
              <w:ind w:left="113"/>
              <w:jc w:val="right"/>
              <w:rPr>
                <w:rFonts w:cs="Arial"/>
                <w:color w:val="000000"/>
              </w:rPr>
            </w:pPr>
            <w:r>
              <w:rPr>
                <w:rFonts w:cs="Arial"/>
                <w:color w:val="000000"/>
              </w:rPr>
              <w:t>14.536,77</w:t>
            </w:r>
          </w:p>
        </w:tc>
        <w:tc>
          <w:tcPr>
            <w:tcW w:w="1559" w:type="dxa"/>
            <w:tcBorders>
              <w:top w:val="single" w:sz="4" w:space="0" w:color="auto"/>
              <w:bottom w:val="nil"/>
            </w:tcBorders>
            <w:vAlign w:val="bottom"/>
          </w:tcPr>
          <w:p w14:paraId="071E1F7C" w14:textId="17C6469F" w:rsidR="002106E4" w:rsidRPr="00843561" w:rsidRDefault="002106E4" w:rsidP="002106E4">
            <w:pPr>
              <w:spacing w:before="0" w:after="0"/>
              <w:ind w:left="113"/>
              <w:jc w:val="right"/>
              <w:rPr>
                <w:rFonts w:cs="Arial"/>
                <w:color w:val="000000"/>
              </w:rPr>
            </w:pPr>
            <w:r>
              <w:rPr>
                <w:rFonts w:cs="Arial"/>
                <w:color w:val="000000"/>
              </w:rPr>
              <w:t>14.940,53</w:t>
            </w:r>
          </w:p>
        </w:tc>
        <w:tc>
          <w:tcPr>
            <w:tcW w:w="1418" w:type="dxa"/>
            <w:tcBorders>
              <w:top w:val="single" w:sz="4" w:space="0" w:color="auto"/>
              <w:bottom w:val="nil"/>
            </w:tcBorders>
            <w:vAlign w:val="bottom"/>
          </w:tcPr>
          <w:p w14:paraId="58B0C31D" w14:textId="17838E39" w:rsidR="002106E4" w:rsidRPr="00843561" w:rsidRDefault="002106E4" w:rsidP="002106E4">
            <w:pPr>
              <w:spacing w:before="0" w:after="0"/>
              <w:ind w:left="113"/>
              <w:jc w:val="right"/>
              <w:rPr>
                <w:rFonts w:cs="Arial"/>
                <w:color w:val="000000"/>
              </w:rPr>
            </w:pPr>
            <w:r>
              <w:rPr>
                <w:rFonts w:cs="Arial"/>
                <w:color w:val="000000"/>
              </w:rPr>
              <w:t>15.425,12</w:t>
            </w:r>
          </w:p>
        </w:tc>
        <w:tc>
          <w:tcPr>
            <w:tcW w:w="1417" w:type="dxa"/>
            <w:tcBorders>
              <w:top w:val="single" w:sz="4" w:space="0" w:color="auto"/>
              <w:bottom w:val="nil"/>
            </w:tcBorders>
            <w:vAlign w:val="bottom"/>
          </w:tcPr>
          <w:p w14:paraId="7FEBF0C4" w14:textId="26854C0E" w:rsidR="002106E4" w:rsidRDefault="002106E4" w:rsidP="002106E4">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030,79</w:t>
            </w:r>
          </w:p>
        </w:tc>
      </w:tr>
      <w:tr w:rsidR="002106E4" w:rsidRPr="00037A46" w14:paraId="321221AD" w14:textId="198090C2" w:rsidTr="00391903">
        <w:trPr>
          <w:trHeight w:val="315"/>
          <w:jc w:val="center"/>
        </w:trPr>
        <w:tc>
          <w:tcPr>
            <w:tcW w:w="1163" w:type="dxa"/>
            <w:tcBorders>
              <w:top w:val="nil"/>
              <w:bottom w:val="single" w:sz="8" w:space="0" w:color="auto"/>
            </w:tcBorders>
            <w:shd w:val="clear" w:color="auto" w:fill="C0C0C0"/>
            <w:noWrap/>
            <w:vAlign w:val="bottom"/>
          </w:tcPr>
          <w:p w14:paraId="58FE0664" w14:textId="77777777" w:rsidR="002106E4" w:rsidRPr="00037A46" w:rsidRDefault="002106E4" w:rsidP="002106E4">
            <w:pPr>
              <w:spacing w:before="0" w:after="0"/>
              <w:ind w:hanging="764"/>
              <w:rPr>
                <w:b/>
                <w:bCs/>
              </w:rPr>
            </w:pPr>
            <w:r w:rsidRPr="00037A46">
              <w:rPr>
                <w:b/>
                <w:bCs/>
              </w:rPr>
              <w:t>maximum</w:t>
            </w:r>
          </w:p>
        </w:tc>
        <w:tc>
          <w:tcPr>
            <w:tcW w:w="1539" w:type="dxa"/>
            <w:tcBorders>
              <w:top w:val="nil"/>
              <w:bottom w:val="single" w:sz="8" w:space="0" w:color="auto"/>
            </w:tcBorders>
            <w:noWrap/>
            <w:vAlign w:val="bottom"/>
          </w:tcPr>
          <w:p w14:paraId="24480AB0" w14:textId="42029661" w:rsidR="002106E4" w:rsidRPr="00037A46" w:rsidRDefault="002106E4" w:rsidP="002106E4">
            <w:pPr>
              <w:spacing w:before="0" w:after="0"/>
              <w:ind w:left="214"/>
              <w:jc w:val="right"/>
              <w:rPr>
                <w:bCs/>
              </w:rPr>
            </w:pPr>
            <w:r w:rsidRPr="00843561">
              <w:rPr>
                <w:rFonts w:cs="Arial"/>
                <w:color w:val="000000"/>
              </w:rPr>
              <w:t>16</w:t>
            </w:r>
            <w:r>
              <w:rPr>
                <w:rFonts w:cs="Arial"/>
                <w:color w:val="000000"/>
              </w:rPr>
              <w:t>.</w:t>
            </w:r>
            <w:r w:rsidRPr="00843561">
              <w:rPr>
                <w:rFonts w:cs="Arial"/>
                <w:color w:val="000000"/>
              </w:rPr>
              <w:t>844,94</w:t>
            </w:r>
          </w:p>
        </w:tc>
        <w:tc>
          <w:tcPr>
            <w:tcW w:w="1276" w:type="dxa"/>
            <w:tcBorders>
              <w:top w:val="nil"/>
              <w:bottom w:val="single" w:sz="8" w:space="0" w:color="auto"/>
            </w:tcBorders>
            <w:noWrap/>
            <w:vAlign w:val="bottom"/>
          </w:tcPr>
          <w:p w14:paraId="7ACECC0A" w14:textId="28BD2D7F" w:rsidR="002106E4" w:rsidRPr="00037A46" w:rsidRDefault="002106E4" w:rsidP="002106E4">
            <w:pPr>
              <w:spacing w:before="0" w:after="0"/>
              <w:ind w:left="156"/>
              <w:jc w:val="right"/>
              <w:rPr>
                <w:bCs/>
              </w:rPr>
            </w:pPr>
            <w:r w:rsidRPr="00843561">
              <w:rPr>
                <w:rFonts w:cs="Arial"/>
                <w:color w:val="000000"/>
              </w:rPr>
              <w:t>17</w:t>
            </w:r>
            <w:r>
              <w:rPr>
                <w:rFonts w:cs="Arial"/>
                <w:color w:val="000000"/>
              </w:rPr>
              <w:t>.</w:t>
            </w:r>
            <w:r w:rsidRPr="00843561">
              <w:rPr>
                <w:rFonts w:cs="Arial"/>
                <w:color w:val="000000"/>
              </w:rPr>
              <w:t>283,77</w:t>
            </w:r>
          </w:p>
        </w:tc>
        <w:tc>
          <w:tcPr>
            <w:tcW w:w="1399" w:type="dxa"/>
            <w:tcBorders>
              <w:top w:val="nil"/>
              <w:bottom w:val="single" w:sz="8" w:space="0" w:color="auto"/>
            </w:tcBorders>
            <w:noWrap/>
            <w:vAlign w:val="bottom"/>
          </w:tcPr>
          <w:p w14:paraId="6A768E1F" w14:textId="66598F41" w:rsidR="002106E4" w:rsidRPr="00037A46" w:rsidRDefault="002106E4" w:rsidP="002106E4">
            <w:pPr>
              <w:spacing w:before="0" w:after="0"/>
              <w:ind w:left="113"/>
              <w:jc w:val="right"/>
              <w:rPr>
                <w:bCs/>
              </w:rPr>
            </w:pPr>
            <w:r w:rsidRPr="00843561">
              <w:rPr>
                <w:rFonts w:cs="Arial"/>
                <w:color w:val="000000"/>
              </w:rPr>
              <w:t>17</w:t>
            </w:r>
            <w:r>
              <w:rPr>
                <w:rFonts w:cs="Arial"/>
                <w:color w:val="000000"/>
              </w:rPr>
              <w:t>.</w:t>
            </w:r>
            <w:r w:rsidRPr="00843561">
              <w:rPr>
                <w:rFonts w:cs="Arial"/>
                <w:color w:val="000000"/>
              </w:rPr>
              <w:t>759,3</w:t>
            </w:r>
          </w:p>
        </w:tc>
        <w:tc>
          <w:tcPr>
            <w:tcW w:w="1417" w:type="dxa"/>
            <w:tcBorders>
              <w:top w:val="nil"/>
              <w:bottom w:val="single" w:sz="4" w:space="0" w:color="auto"/>
            </w:tcBorders>
            <w:vAlign w:val="bottom"/>
          </w:tcPr>
          <w:p w14:paraId="14B541A3" w14:textId="15490ECE" w:rsidR="002106E4" w:rsidRPr="00843561" w:rsidRDefault="002106E4" w:rsidP="002106E4">
            <w:pPr>
              <w:spacing w:before="0" w:after="0"/>
              <w:ind w:left="113"/>
              <w:jc w:val="right"/>
              <w:rPr>
                <w:rFonts w:cs="Arial"/>
                <w:color w:val="000000"/>
              </w:rPr>
            </w:pPr>
            <w:r w:rsidRPr="008935E3">
              <w:rPr>
                <w:rFonts w:cs="Arial"/>
                <w:color w:val="000000"/>
              </w:rPr>
              <w:t>18</w:t>
            </w:r>
            <w:r>
              <w:rPr>
                <w:rFonts w:cs="Arial"/>
                <w:color w:val="000000"/>
              </w:rPr>
              <w:t>.</w:t>
            </w:r>
            <w:r w:rsidRPr="008935E3">
              <w:rPr>
                <w:rFonts w:cs="Arial"/>
                <w:color w:val="000000"/>
              </w:rPr>
              <w:t>332,33</w:t>
            </w:r>
          </w:p>
        </w:tc>
        <w:tc>
          <w:tcPr>
            <w:tcW w:w="1418" w:type="dxa"/>
            <w:tcBorders>
              <w:top w:val="nil"/>
              <w:bottom w:val="single" w:sz="4" w:space="0" w:color="auto"/>
            </w:tcBorders>
            <w:vAlign w:val="bottom"/>
          </w:tcPr>
          <w:p w14:paraId="4CEF9A27" w14:textId="26DF0DD2" w:rsidR="002106E4" w:rsidRPr="00843561" w:rsidRDefault="002106E4" w:rsidP="002106E4">
            <w:pPr>
              <w:spacing w:before="0" w:after="0"/>
              <w:ind w:left="113"/>
              <w:jc w:val="right"/>
              <w:rPr>
                <w:rFonts w:cs="Arial"/>
                <w:color w:val="000000"/>
              </w:rPr>
            </w:pPr>
            <w:r>
              <w:rPr>
                <w:rFonts w:cs="Arial"/>
                <w:color w:val="000000"/>
              </w:rPr>
              <w:t>19.222,77</w:t>
            </w:r>
          </w:p>
        </w:tc>
        <w:tc>
          <w:tcPr>
            <w:tcW w:w="1559" w:type="dxa"/>
            <w:tcBorders>
              <w:top w:val="nil"/>
              <w:bottom w:val="single" w:sz="4" w:space="0" w:color="auto"/>
            </w:tcBorders>
            <w:vAlign w:val="bottom"/>
          </w:tcPr>
          <w:p w14:paraId="0C2AEE37" w14:textId="2B4F84DB" w:rsidR="002106E4" w:rsidRPr="00843561" w:rsidRDefault="002106E4" w:rsidP="002106E4">
            <w:pPr>
              <w:spacing w:before="0" w:after="0"/>
              <w:ind w:left="113"/>
              <w:jc w:val="right"/>
              <w:rPr>
                <w:rFonts w:cs="Arial"/>
                <w:color w:val="000000"/>
              </w:rPr>
            </w:pPr>
            <w:r w:rsidRPr="00843561">
              <w:rPr>
                <w:rFonts w:cs="Arial"/>
                <w:color w:val="000000"/>
              </w:rPr>
              <w:t>1</w:t>
            </w:r>
            <w:r>
              <w:rPr>
                <w:rFonts w:cs="Arial"/>
                <w:color w:val="000000"/>
              </w:rPr>
              <w:t>9.495,64</w:t>
            </w:r>
          </w:p>
        </w:tc>
        <w:tc>
          <w:tcPr>
            <w:tcW w:w="1418" w:type="dxa"/>
            <w:tcBorders>
              <w:top w:val="nil"/>
              <w:bottom w:val="single" w:sz="4" w:space="0" w:color="auto"/>
            </w:tcBorders>
            <w:vAlign w:val="bottom"/>
          </w:tcPr>
          <w:p w14:paraId="215D8D52" w14:textId="29293E65" w:rsidR="002106E4" w:rsidRPr="00843561" w:rsidRDefault="002106E4" w:rsidP="002106E4">
            <w:pPr>
              <w:spacing w:before="0" w:after="0"/>
              <w:ind w:left="113"/>
              <w:jc w:val="right"/>
              <w:rPr>
                <w:rFonts w:cs="Arial"/>
                <w:color w:val="000000"/>
              </w:rPr>
            </w:pPr>
            <w:r>
              <w:rPr>
                <w:rFonts w:cs="Arial"/>
                <w:color w:val="000000"/>
              </w:rPr>
              <w:t>20.116,12</w:t>
            </w:r>
          </w:p>
        </w:tc>
        <w:tc>
          <w:tcPr>
            <w:tcW w:w="1417" w:type="dxa"/>
            <w:tcBorders>
              <w:top w:val="nil"/>
              <w:bottom w:val="single" w:sz="4" w:space="0" w:color="auto"/>
            </w:tcBorders>
            <w:vAlign w:val="bottom"/>
          </w:tcPr>
          <w:p w14:paraId="743E1833" w14:textId="62C370F4" w:rsidR="002106E4" w:rsidRDefault="002106E4" w:rsidP="002106E4">
            <w:pPr>
              <w:spacing w:before="0" w:after="0"/>
              <w:ind w:left="113"/>
              <w:jc w:val="right"/>
              <w:rPr>
                <w:rFonts w:cs="Arial"/>
                <w:color w:val="000000"/>
              </w:rPr>
            </w:pPr>
            <w:r w:rsidRPr="00843561">
              <w:rPr>
                <w:rFonts w:cs="Arial"/>
                <w:color w:val="000000"/>
              </w:rPr>
              <w:t>20</w:t>
            </w:r>
            <w:r>
              <w:rPr>
                <w:rFonts w:cs="Arial"/>
                <w:color w:val="000000"/>
              </w:rPr>
              <w:t>.</w:t>
            </w:r>
            <w:r w:rsidRPr="00843561">
              <w:rPr>
                <w:rFonts w:cs="Arial"/>
                <w:color w:val="000000"/>
              </w:rPr>
              <w:t>525,89</w:t>
            </w:r>
          </w:p>
        </w:tc>
      </w:tr>
      <w:tr w:rsidR="00795D56" w:rsidRPr="00037A46" w14:paraId="3A336A96" w14:textId="0D333F70" w:rsidTr="00391903">
        <w:trPr>
          <w:trHeight w:val="315"/>
          <w:jc w:val="center"/>
        </w:trPr>
        <w:tc>
          <w:tcPr>
            <w:tcW w:w="1163" w:type="dxa"/>
            <w:tcBorders>
              <w:top w:val="single" w:sz="8" w:space="0" w:color="auto"/>
            </w:tcBorders>
            <w:shd w:val="clear" w:color="auto" w:fill="C0C0C0"/>
            <w:noWrap/>
            <w:vAlign w:val="bottom"/>
          </w:tcPr>
          <w:p w14:paraId="45B0E61F" w14:textId="77777777" w:rsidR="00795D56" w:rsidRPr="00037A46" w:rsidRDefault="00795D56" w:rsidP="00795D56">
            <w:pPr>
              <w:spacing w:before="0" w:after="0"/>
              <w:ind w:hanging="764"/>
              <w:jc w:val="right"/>
              <w:rPr>
                <w:b/>
                <w:bCs/>
                <w:lang w:val="en-US"/>
              </w:rPr>
            </w:pPr>
            <w:r w:rsidRPr="00037A46">
              <w:rPr>
                <w:b/>
                <w:bCs/>
                <w:lang w:val="en-US"/>
              </w:rPr>
              <w:t>0</w:t>
            </w:r>
          </w:p>
        </w:tc>
        <w:tc>
          <w:tcPr>
            <w:tcW w:w="1539" w:type="dxa"/>
            <w:tcBorders>
              <w:top w:val="single" w:sz="4" w:space="0" w:color="auto"/>
              <w:left w:val="nil"/>
              <w:bottom w:val="nil"/>
              <w:right w:val="single" w:sz="4" w:space="0" w:color="auto"/>
            </w:tcBorders>
            <w:noWrap/>
            <w:vAlign w:val="bottom"/>
          </w:tcPr>
          <w:p w14:paraId="2E791D83" w14:textId="6E49E4D1" w:rsidR="00795D56" w:rsidRPr="00391903" w:rsidRDefault="00795D56" w:rsidP="00795D56">
            <w:pPr>
              <w:spacing w:before="0" w:after="0"/>
              <w:ind w:left="113"/>
              <w:jc w:val="right"/>
              <w:rPr>
                <w:rFonts w:cs="Arial"/>
                <w:color w:val="000000"/>
              </w:rPr>
            </w:pPr>
            <w:r w:rsidRPr="00391903">
              <w:rPr>
                <w:rFonts w:cs="Arial"/>
                <w:color w:val="000000"/>
              </w:rPr>
              <w:t>13.652</w:t>
            </w:r>
            <w:r w:rsidRPr="00843561">
              <w:rPr>
                <w:rFonts w:cs="Arial"/>
                <w:color w:val="000000"/>
              </w:rPr>
              <w:t>,21</w:t>
            </w:r>
          </w:p>
        </w:tc>
        <w:tc>
          <w:tcPr>
            <w:tcW w:w="1276" w:type="dxa"/>
            <w:tcBorders>
              <w:top w:val="single" w:sz="4" w:space="0" w:color="auto"/>
              <w:left w:val="single" w:sz="4" w:space="0" w:color="auto"/>
              <w:bottom w:val="nil"/>
              <w:right w:val="single" w:sz="4" w:space="0" w:color="auto"/>
            </w:tcBorders>
            <w:noWrap/>
            <w:vAlign w:val="bottom"/>
          </w:tcPr>
          <w:p w14:paraId="776DF3CB" w14:textId="07762EAF" w:rsidR="00795D56" w:rsidRPr="00391903" w:rsidRDefault="00795D56" w:rsidP="00795D56">
            <w:pPr>
              <w:spacing w:before="0" w:after="0"/>
              <w:ind w:left="113"/>
              <w:jc w:val="right"/>
              <w:rPr>
                <w:rFonts w:cs="Arial"/>
                <w:color w:val="000000"/>
              </w:rPr>
            </w:pPr>
            <w:r w:rsidRPr="00843561">
              <w:rPr>
                <w:rFonts w:cs="Arial"/>
                <w:color w:val="000000"/>
              </w:rPr>
              <w:t>13</w:t>
            </w:r>
            <w:r>
              <w:rPr>
                <w:rFonts w:cs="Arial"/>
                <w:color w:val="000000"/>
              </w:rPr>
              <w:t>.</w:t>
            </w:r>
            <w:r w:rsidRPr="00843561">
              <w:rPr>
                <w:rFonts w:cs="Arial"/>
                <w:color w:val="000000"/>
              </w:rPr>
              <w:t>725,4</w:t>
            </w:r>
          </w:p>
        </w:tc>
        <w:tc>
          <w:tcPr>
            <w:tcW w:w="1399" w:type="dxa"/>
            <w:tcBorders>
              <w:top w:val="single" w:sz="4" w:space="0" w:color="auto"/>
              <w:left w:val="single" w:sz="4" w:space="0" w:color="auto"/>
              <w:bottom w:val="nil"/>
              <w:right w:val="single" w:sz="4" w:space="0" w:color="auto"/>
            </w:tcBorders>
            <w:noWrap/>
            <w:vAlign w:val="bottom"/>
          </w:tcPr>
          <w:p w14:paraId="502E9E58" w14:textId="5BE9A359" w:rsidR="00795D56" w:rsidRPr="00391903" w:rsidRDefault="00795D56" w:rsidP="00795D56">
            <w:pPr>
              <w:spacing w:before="0" w:after="0"/>
              <w:ind w:left="113"/>
              <w:jc w:val="right"/>
              <w:rPr>
                <w:rFonts w:cs="Arial"/>
                <w:color w:val="000000"/>
              </w:rPr>
            </w:pPr>
            <w:r w:rsidRPr="00843561">
              <w:rPr>
                <w:rFonts w:cs="Arial"/>
                <w:color w:val="000000"/>
              </w:rPr>
              <w:t>13</w:t>
            </w:r>
            <w:r>
              <w:rPr>
                <w:rFonts w:cs="Arial"/>
                <w:color w:val="000000"/>
              </w:rPr>
              <w:t>.</w:t>
            </w:r>
            <w:r w:rsidRPr="00843561">
              <w:rPr>
                <w:rFonts w:cs="Arial"/>
                <w:color w:val="000000"/>
              </w:rPr>
              <w:t>931,03</w:t>
            </w:r>
          </w:p>
        </w:tc>
        <w:tc>
          <w:tcPr>
            <w:tcW w:w="1417" w:type="dxa"/>
            <w:tcBorders>
              <w:top w:val="single" w:sz="4" w:space="0" w:color="auto"/>
            </w:tcBorders>
            <w:vAlign w:val="bottom"/>
          </w:tcPr>
          <w:p w14:paraId="1076D586" w14:textId="04FA44F8" w:rsidR="00795D56" w:rsidRPr="00843561" w:rsidRDefault="00795D56" w:rsidP="00795D56">
            <w:pPr>
              <w:spacing w:before="0" w:after="0"/>
              <w:ind w:left="113"/>
              <w:jc w:val="right"/>
              <w:rPr>
                <w:rFonts w:cs="Arial"/>
                <w:color w:val="000000"/>
              </w:rPr>
            </w:pPr>
            <w:r w:rsidRPr="008935E3">
              <w:rPr>
                <w:rFonts w:cs="Arial"/>
                <w:color w:val="000000"/>
              </w:rPr>
              <w:t>14</w:t>
            </w:r>
            <w:r>
              <w:rPr>
                <w:rFonts w:cs="Arial"/>
                <w:color w:val="000000"/>
              </w:rPr>
              <w:t>.</w:t>
            </w:r>
            <w:r w:rsidRPr="008935E3">
              <w:rPr>
                <w:rFonts w:cs="Arial"/>
                <w:color w:val="000000"/>
              </w:rPr>
              <w:t>213,7</w:t>
            </w:r>
          </w:p>
        </w:tc>
        <w:tc>
          <w:tcPr>
            <w:tcW w:w="1418" w:type="dxa"/>
            <w:tcBorders>
              <w:top w:val="single" w:sz="4" w:space="0" w:color="auto"/>
            </w:tcBorders>
            <w:vAlign w:val="bottom"/>
          </w:tcPr>
          <w:p w14:paraId="6D90E14F" w14:textId="7737A1D5" w:rsidR="00795D56" w:rsidRPr="00843561" w:rsidRDefault="00795D56" w:rsidP="00795D56">
            <w:pPr>
              <w:spacing w:before="0" w:after="0"/>
              <w:ind w:left="113"/>
              <w:jc w:val="right"/>
              <w:rPr>
                <w:rFonts w:cs="Arial"/>
                <w:color w:val="000000"/>
              </w:rPr>
            </w:pPr>
            <w:r w:rsidRPr="00B65D25">
              <w:rPr>
                <w:rFonts w:cs="Arial"/>
                <w:color w:val="000000"/>
              </w:rPr>
              <w:t>14.536,77</w:t>
            </w:r>
          </w:p>
        </w:tc>
        <w:tc>
          <w:tcPr>
            <w:tcW w:w="1559" w:type="dxa"/>
            <w:tcBorders>
              <w:top w:val="single" w:sz="4" w:space="0" w:color="auto"/>
            </w:tcBorders>
            <w:vAlign w:val="bottom"/>
          </w:tcPr>
          <w:p w14:paraId="5D820568" w14:textId="61FBDBBF" w:rsidR="00795D56" w:rsidRPr="00843561" w:rsidRDefault="00795D56" w:rsidP="00795D56">
            <w:pPr>
              <w:spacing w:before="0" w:after="0"/>
              <w:ind w:left="113"/>
              <w:jc w:val="right"/>
              <w:rPr>
                <w:rFonts w:cs="Arial"/>
                <w:color w:val="000000"/>
              </w:rPr>
            </w:pPr>
            <w:r w:rsidRPr="00B65D25">
              <w:rPr>
                <w:rFonts w:cs="Arial"/>
                <w:color w:val="000000"/>
              </w:rPr>
              <w:t>14.940,53</w:t>
            </w:r>
          </w:p>
        </w:tc>
        <w:tc>
          <w:tcPr>
            <w:tcW w:w="1418" w:type="dxa"/>
            <w:tcBorders>
              <w:top w:val="single" w:sz="4" w:space="0" w:color="auto"/>
            </w:tcBorders>
            <w:vAlign w:val="bottom"/>
          </w:tcPr>
          <w:p w14:paraId="20B58FD3" w14:textId="2E4B781E" w:rsidR="00795D56" w:rsidRPr="00843561" w:rsidRDefault="00795D56" w:rsidP="00795D56">
            <w:pPr>
              <w:spacing w:before="0" w:after="0"/>
              <w:ind w:left="113"/>
              <w:jc w:val="right"/>
              <w:rPr>
                <w:rFonts w:cs="Arial"/>
                <w:color w:val="000000"/>
              </w:rPr>
            </w:pPr>
            <w:r w:rsidRPr="00391903">
              <w:rPr>
                <w:rFonts w:cs="Arial"/>
                <w:color w:val="000000"/>
              </w:rPr>
              <w:t>15.425,12</w:t>
            </w:r>
          </w:p>
        </w:tc>
        <w:tc>
          <w:tcPr>
            <w:tcW w:w="1417" w:type="dxa"/>
            <w:tcBorders>
              <w:top w:val="single" w:sz="4" w:space="0" w:color="auto"/>
            </w:tcBorders>
            <w:vAlign w:val="bottom"/>
          </w:tcPr>
          <w:p w14:paraId="0215562D" w14:textId="15F651FF" w:rsidR="00795D56" w:rsidRPr="00391903" w:rsidRDefault="00795D56" w:rsidP="00795D56">
            <w:pPr>
              <w:spacing w:before="0" w:after="0"/>
              <w:ind w:left="113"/>
              <w:jc w:val="right"/>
              <w:rPr>
                <w:rFonts w:cs="Arial"/>
                <w:color w:val="000000"/>
              </w:rPr>
            </w:pPr>
            <w:r w:rsidRPr="00795D56">
              <w:rPr>
                <w:rFonts w:cs="Arial"/>
                <w:color w:val="000000"/>
              </w:rPr>
              <w:t>16</w:t>
            </w:r>
            <w:r>
              <w:rPr>
                <w:rFonts w:cs="Arial"/>
                <w:color w:val="000000"/>
              </w:rPr>
              <w:t>.</w:t>
            </w:r>
            <w:r w:rsidRPr="00795D56">
              <w:rPr>
                <w:rFonts w:cs="Arial"/>
                <w:color w:val="000000"/>
              </w:rPr>
              <w:t>030,79</w:t>
            </w:r>
          </w:p>
        </w:tc>
      </w:tr>
      <w:tr w:rsidR="00795D56" w:rsidRPr="00037A46" w14:paraId="735F5D38" w14:textId="0797AF74" w:rsidTr="00391903">
        <w:trPr>
          <w:trHeight w:val="300"/>
          <w:jc w:val="center"/>
        </w:trPr>
        <w:tc>
          <w:tcPr>
            <w:tcW w:w="1163" w:type="dxa"/>
            <w:shd w:val="clear" w:color="auto" w:fill="C0C0C0"/>
            <w:noWrap/>
            <w:vAlign w:val="bottom"/>
          </w:tcPr>
          <w:p w14:paraId="618CD19C" w14:textId="77777777" w:rsidR="00795D56" w:rsidRPr="00037A46" w:rsidRDefault="00795D56" w:rsidP="00795D56">
            <w:pPr>
              <w:spacing w:before="0" w:after="0"/>
              <w:ind w:hanging="764"/>
              <w:jc w:val="right"/>
              <w:rPr>
                <w:b/>
                <w:bCs/>
                <w:lang w:val="en-US"/>
              </w:rPr>
            </w:pPr>
            <w:r w:rsidRPr="00037A46">
              <w:rPr>
                <w:b/>
                <w:bCs/>
                <w:lang w:val="en-US"/>
              </w:rPr>
              <w:t>1</w:t>
            </w:r>
          </w:p>
        </w:tc>
        <w:tc>
          <w:tcPr>
            <w:tcW w:w="1539" w:type="dxa"/>
            <w:tcBorders>
              <w:top w:val="nil"/>
              <w:left w:val="nil"/>
              <w:bottom w:val="nil"/>
              <w:right w:val="single" w:sz="4" w:space="0" w:color="auto"/>
            </w:tcBorders>
            <w:noWrap/>
            <w:vAlign w:val="bottom"/>
          </w:tcPr>
          <w:p w14:paraId="725234B2" w14:textId="23DC0EAD" w:rsidR="00795D56" w:rsidRPr="00391903" w:rsidRDefault="00795D56" w:rsidP="00795D56">
            <w:pPr>
              <w:spacing w:before="0" w:after="0"/>
              <w:ind w:left="113"/>
              <w:jc w:val="right"/>
              <w:rPr>
                <w:rFonts w:cs="Arial"/>
                <w:color w:val="000000"/>
              </w:rPr>
            </w:pPr>
            <w:r w:rsidRPr="00843561">
              <w:rPr>
                <w:rFonts w:cs="Arial"/>
                <w:color w:val="000000"/>
              </w:rPr>
              <w:t>13</w:t>
            </w:r>
            <w:r>
              <w:rPr>
                <w:rFonts w:cs="Arial"/>
                <w:color w:val="000000"/>
              </w:rPr>
              <w:t>.</w:t>
            </w:r>
            <w:r w:rsidRPr="00843561">
              <w:rPr>
                <w:rFonts w:cs="Arial"/>
                <w:color w:val="000000"/>
              </w:rPr>
              <w:t>902,71</w:t>
            </w:r>
          </w:p>
        </w:tc>
        <w:tc>
          <w:tcPr>
            <w:tcW w:w="1276" w:type="dxa"/>
            <w:tcBorders>
              <w:top w:val="nil"/>
              <w:left w:val="single" w:sz="4" w:space="0" w:color="auto"/>
              <w:bottom w:val="nil"/>
              <w:right w:val="single" w:sz="4" w:space="0" w:color="auto"/>
            </w:tcBorders>
            <w:noWrap/>
            <w:vAlign w:val="bottom"/>
          </w:tcPr>
          <w:p w14:paraId="56BC8780" w14:textId="7A86263F" w:rsidR="00795D56" w:rsidRPr="00391903" w:rsidRDefault="00795D56" w:rsidP="00795D56">
            <w:pPr>
              <w:spacing w:before="0" w:after="0"/>
              <w:ind w:left="113"/>
              <w:jc w:val="right"/>
              <w:rPr>
                <w:rFonts w:cs="Arial"/>
                <w:color w:val="000000"/>
              </w:rPr>
            </w:pPr>
            <w:r w:rsidRPr="00843561">
              <w:rPr>
                <w:rFonts w:cs="Arial"/>
                <w:color w:val="000000"/>
              </w:rPr>
              <w:t>14</w:t>
            </w:r>
            <w:r>
              <w:rPr>
                <w:rFonts w:cs="Arial"/>
                <w:color w:val="000000"/>
              </w:rPr>
              <w:t>.</w:t>
            </w:r>
            <w:r w:rsidRPr="00843561">
              <w:rPr>
                <w:rFonts w:cs="Arial"/>
                <w:color w:val="000000"/>
              </w:rPr>
              <w:t>028,13</w:t>
            </w:r>
          </w:p>
        </w:tc>
        <w:tc>
          <w:tcPr>
            <w:tcW w:w="1399" w:type="dxa"/>
            <w:tcBorders>
              <w:top w:val="nil"/>
              <w:left w:val="single" w:sz="4" w:space="0" w:color="auto"/>
              <w:bottom w:val="nil"/>
              <w:right w:val="single" w:sz="4" w:space="0" w:color="auto"/>
            </w:tcBorders>
            <w:noWrap/>
            <w:vAlign w:val="bottom"/>
          </w:tcPr>
          <w:p w14:paraId="19A716A3" w14:textId="2D2C7AE1" w:rsidR="00795D56" w:rsidRPr="00391903" w:rsidRDefault="00795D56" w:rsidP="00795D56">
            <w:pPr>
              <w:spacing w:before="0" w:after="0"/>
              <w:ind w:left="113"/>
              <w:jc w:val="right"/>
              <w:rPr>
                <w:rFonts w:cs="Arial"/>
                <w:color w:val="000000"/>
              </w:rPr>
            </w:pPr>
            <w:r w:rsidRPr="00843561">
              <w:rPr>
                <w:rFonts w:cs="Arial"/>
                <w:color w:val="000000"/>
              </w:rPr>
              <w:t>14</w:t>
            </w:r>
            <w:r>
              <w:rPr>
                <w:rFonts w:cs="Arial"/>
                <w:color w:val="000000"/>
              </w:rPr>
              <w:t>.</w:t>
            </w:r>
            <w:r w:rsidRPr="00843561">
              <w:rPr>
                <w:rFonts w:cs="Arial"/>
                <w:color w:val="000000"/>
              </w:rPr>
              <w:t>252,21</w:t>
            </w:r>
          </w:p>
        </w:tc>
        <w:tc>
          <w:tcPr>
            <w:tcW w:w="1417" w:type="dxa"/>
            <w:vAlign w:val="bottom"/>
          </w:tcPr>
          <w:p w14:paraId="669E7C2F" w14:textId="103488BB" w:rsidR="00795D56" w:rsidRPr="00843561" w:rsidRDefault="00795D56" w:rsidP="00795D56">
            <w:pPr>
              <w:spacing w:before="0" w:after="0"/>
              <w:ind w:left="113"/>
              <w:jc w:val="right"/>
              <w:rPr>
                <w:rFonts w:cs="Arial"/>
                <w:color w:val="000000"/>
              </w:rPr>
            </w:pPr>
            <w:r w:rsidRPr="008935E3">
              <w:rPr>
                <w:rFonts w:cs="Arial"/>
                <w:color w:val="000000"/>
              </w:rPr>
              <w:t>14</w:t>
            </w:r>
            <w:r>
              <w:rPr>
                <w:rFonts w:cs="Arial"/>
                <w:color w:val="000000"/>
              </w:rPr>
              <w:t>.</w:t>
            </w:r>
            <w:r w:rsidRPr="008935E3">
              <w:rPr>
                <w:rFonts w:cs="Arial"/>
                <w:color w:val="000000"/>
              </w:rPr>
              <w:t>554,54</w:t>
            </w:r>
          </w:p>
        </w:tc>
        <w:tc>
          <w:tcPr>
            <w:tcW w:w="1418" w:type="dxa"/>
            <w:vAlign w:val="bottom"/>
          </w:tcPr>
          <w:p w14:paraId="7BAF1B14" w14:textId="2C486A3B" w:rsidR="00795D56" w:rsidRPr="00843561" w:rsidRDefault="00795D56" w:rsidP="00795D56">
            <w:pPr>
              <w:spacing w:before="0" w:after="0"/>
              <w:ind w:left="113"/>
              <w:jc w:val="right"/>
              <w:rPr>
                <w:rFonts w:cs="Arial"/>
                <w:color w:val="000000"/>
              </w:rPr>
            </w:pPr>
            <w:r w:rsidRPr="00B65D25">
              <w:rPr>
                <w:rFonts w:cs="Arial"/>
                <w:color w:val="000000"/>
              </w:rPr>
              <w:t>14.894,31</w:t>
            </w:r>
          </w:p>
        </w:tc>
        <w:tc>
          <w:tcPr>
            <w:tcW w:w="1559" w:type="dxa"/>
            <w:vAlign w:val="bottom"/>
          </w:tcPr>
          <w:p w14:paraId="508EC75F" w14:textId="162A1019" w:rsidR="00795D56" w:rsidRPr="00843561" w:rsidRDefault="00795D56" w:rsidP="00795D56">
            <w:pPr>
              <w:spacing w:before="0" w:after="0"/>
              <w:ind w:left="113"/>
              <w:jc w:val="right"/>
              <w:rPr>
                <w:rFonts w:cs="Arial"/>
                <w:color w:val="000000"/>
              </w:rPr>
            </w:pPr>
            <w:r w:rsidRPr="00B65D25">
              <w:rPr>
                <w:rFonts w:cs="Arial"/>
                <w:color w:val="000000"/>
              </w:rPr>
              <w:t>15.306,59</w:t>
            </w:r>
          </w:p>
        </w:tc>
        <w:tc>
          <w:tcPr>
            <w:tcW w:w="1418" w:type="dxa"/>
            <w:vAlign w:val="bottom"/>
          </w:tcPr>
          <w:p w14:paraId="79D684E1" w14:textId="204BDF0F" w:rsidR="00795D56" w:rsidRPr="00843561" w:rsidRDefault="00795D56" w:rsidP="00795D56">
            <w:pPr>
              <w:spacing w:before="0" w:after="0"/>
              <w:ind w:left="113"/>
              <w:jc w:val="right"/>
              <w:rPr>
                <w:rFonts w:cs="Arial"/>
                <w:color w:val="000000"/>
              </w:rPr>
            </w:pPr>
            <w:r w:rsidRPr="00391903">
              <w:rPr>
                <w:rFonts w:cs="Arial"/>
                <w:color w:val="000000"/>
              </w:rPr>
              <w:t>15.801,31</w:t>
            </w:r>
          </w:p>
        </w:tc>
        <w:tc>
          <w:tcPr>
            <w:tcW w:w="1417" w:type="dxa"/>
            <w:vAlign w:val="bottom"/>
          </w:tcPr>
          <w:p w14:paraId="6132A3F9" w14:textId="0842A036" w:rsidR="00795D56" w:rsidRPr="00391903" w:rsidRDefault="00795D56" w:rsidP="00795D56">
            <w:pPr>
              <w:spacing w:before="0" w:after="0"/>
              <w:ind w:left="113"/>
              <w:jc w:val="right"/>
              <w:rPr>
                <w:rFonts w:cs="Arial"/>
                <w:color w:val="000000"/>
              </w:rPr>
            </w:pPr>
            <w:r w:rsidRPr="00795D56">
              <w:rPr>
                <w:rFonts w:cs="Arial"/>
                <w:color w:val="000000"/>
              </w:rPr>
              <w:t>16</w:t>
            </w:r>
            <w:r>
              <w:rPr>
                <w:rFonts w:cs="Arial"/>
                <w:color w:val="000000"/>
              </w:rPr>
              <w:t>.</w:t>
            </w:r>
            <w:r w:rsidRPr="00795D56">
              <w:rPr>
                <w:rFonts w:cs="Arial"/>
                <w:color w:val="000000"/>
              </w:rPr>
              <w:t>367,38</w:t>
            </w:r>
          </w:p>
        </w:tc>
      </w:tr>
      <w:tr w:rsidR="00795D56" w:rsidRPr="00037A46" w14:paraId="204947F1" w14:textId="6EC96614" w:rsidTr="00391903">
        <w:trPr>
          <w:trHeight w:val="300"/>
          <w:jc w:val="center"/>
        </w:trPr>
        <w:tc>
          <w:tcPr>
            <w:tcW w:w="1163" w:type="dxa"/>
            <w:shd w:val="clear" w:color="auto" w:fill="C0C0C0"/>
            <w:noWrap/>
            <w:vAlign w:val="bottom"/>
          </w:tcPr>
          <w:p w14:paraId="2C881DF6" w14:textId="77777777" w:rsidR="00795D56" w:rsidRPr="00037A46" w:rsidRDefault="00795D56" w:rsidP="00795D56">
            <w:pPr>
              <w:spacing w:before="0" w:after="0"/>
              <w:ind w:hanging="764"/>
              <w:jc w:val="right"/>
              <w:rPr>
                <w:b/>
                <w:bCs/>
                <w:lang w:val="en-US"/>
              </w:rPr>
            </w:pPr>
            <w:r w:rsidRPr="00037A46">
              <w:rPr>
                <w:b/>
                <w:bCs/>
                <w:lang w:val="en-US"/>
              </w:rPr>
              <w:t>2</w:t>
            </w:r>
          </w:p>
        </w:tc>
        <w:tc>
          <w:tcPr>
            <w:tcW w:w="1539" w:type="dxa"/>
            <w:tcBorders>
              <w:top w:val="nil"/>
              <w:left w:val="nil"/>
              <w:bottom w:val="nil"/>
              <w:right w:val="single" w:sz="4" w:space="0" w:color="auto"/>
            </w:tcBorders>
            <w:noWrap/>
            <w:vAlign w:val="bottom"/>
          </w:tcPr>
          <w:p w14:paraId="7CF24081" w14:textId="4C2BDA4A" w:rsidR="00795D56" w:rsidRPr="00391903" w:rsidRDefault="00795D56" w:rsidP="00795D56">
            <w:pPr>
              <w:spacing w:before="0" w:after="0"/>
              <w:ind w:left="113"/>
              <w:jc w:val="right"/>
              <w:rPr>
                <w:rFonts w:cs="Arial"/>
                <w:color w:val="000000"/>
              </w:rPr>
            </w:pPr>
            <w:r w:rsidRPr="00843561">
              <w:rPr>
                <w:rFonts w:cs="Arial"/>
                <w:color w:val="000000"/>
              </w:rPr>
              <w:t>14</w:t>
            </w:r>
            <w:r>
              <w:rPr>
                <w:rFonts w:cs="Arial"/>
                <w:color w:val="000000"/>
              </w:rPr>
              <w:t>.</w:t>
            </w:r>
            <w:r w:rsidRPr="00843561">
              <w:rPr>
                <w:rFonts w:cs="Arial"/>
                <w:color w:val="000000"/>
              </w:rPr>
              <w:t>138,62</w:t>
            </w:r>
          </w:p>
        </w:tc>
        <w:tc>
          <w:tcPr>
            <w:tcW w:w="1276" w:type="dxa"/>
            <w:tcBorders>
              <w:top w:val="nil"/>
              <w:left w:val="single" w:sz="4" w:space="0" w:color="auto"/>
              <w:bottom w:val="nil"/>
              <w:right w:val="single" w:sz="4" w:space="0" w:color="auto"/>
            </w:tcBorders>
            <w:noWrap/>
            <w:vAlign w:val="bottom"/>
          </w:tcPr>
          <w:p w14:paraId="74A18268" w14:textId="2D503ECE" w:rsidR="00795D56" w:rsidRPr="00391903" w:rsidRDefault="00795D56" w:rsidP="00795D56">
            <w:pPr>
              <w:spacing w:before="0" w:after="0"/>
              <w:ind w:left="113"/>
              <w:jc w:val="right"/>
              <w:rPr>
                <w:rFonts w:cs="Arial"/>
                <w:color w:val="000000"/>
              </w:rPr>
            </w:pPr>
            <w:r w:rsidRPr="00843561">
              <w:rPr>
                <w:rFonts w:cs="Arial"/>
                <w:color w:val="000000"/>
              </w:rPr>
              <w:t>14</w:t>
            </w:r>
            <w:r>
              <w:rPr>
                <w:rFonts w:cs="Arial"/>
                <w:color w:val="000000"/>
              </w:rPr>
              <w:t>.</w:t>
            </w:r>
            <w:r w:rsidRPr="00843561">
              <w:rPr>
                <w:rFonts w:cs="Arial"/>
                <w:color w:val="000000"/>
              </w:rPr>
              <w:t>264,11</w:t>
            </w:r>
          </w:p>
        </w:tc>
        <w:tc>
          <w:tcPr>
            <w:tcW w:w="1399" w:type="dxa"/>
            <w:tcBorders>
              <w:top w:val="nil"/>
              <w:left w:val="single" w:sz="4" w:space="0" w:color="auto"/>
              <w:bottom w:val="nil"/>
              <w:right w:val="single" w:sz="4" w:space="0" w:color="auto"/>
            </w:tcBorders>
            <w:noWrap/>
            <w:vAlign w:val="bottom"/>
          </w:tcPr>
          <w:p w14:paraId="7314BF32" w14:textId="1E72D2A5" w:rsidR="00795D56" w:rsidRPr="00391903" w:rsidRDefault="00795D56" w:rsidP="00795D56">
            <w:pPr>
              <w:spacing w:before="0" w:after="0"/>
              <w:ind w:left="113"/>
              <w:jc w:val="right"/>
              <w:rPr>
                <w:rFonts w:cs="Arial"/>
                <w:color w:val="000000"/>
              </w:rPr>
            </w:pPr>
            <w:r w:rsidRPr="00843561">
              <w:rPr>
                <w:rFonts w:cs="Arial"/>
                <w:color w:val="000000"/>
              </w:rPr>
              <w:t>14</w:t>
            </w:r>
            <w:r>
              <w:rPr>
                <w:rFonts w:cs="Arial"/>
                <w:color w:val="000000"/>
              </w:rPr>
              <w:t>.</w:t>
            </w:r>
            <w:r w:rsidRPr="00843561">
              <w:rPr>
                <w:rFonts w:cs="Arial"/>
                <w:color w:val="000000"/>
              </w:rPr>
              <w:t>505,76</w:t>
            </w:r>
          </w:p>
        </w:tc>
        <w:tc>
          <w:tcPr>
            <w:tcW w:w="1417" w:type="dxa"/>
            <w:vAlign w:val="bottom"/>
          </w:tcPr>
          <w:p w14:paraId="01C65E70" w14:textId="4A6E2EF9" w:rsidR="00795D56" w:rsidRPr="00843561" w:rsidRDefault="00795D56" w:rsidP="00795D56">
            <w:pPr>
              <w:spacing w:before="0" w:after="0"/>
              <w:ind w:left="113"/>
              <w:jc w:val="right"/>
              <w:rPr>
                <w:rFonts w:cs="Arial"/>
                <w:color w:val="000000"/>
              </w:rPr>
            </w:pPr>
            <w:r w:rsidRPr="008935E3">
              <w:rPr>
                <w:rFonts w:cs="Arial"/>
                <w:color w:val="000000"/>
              </w:rPr>
              <w:t>14</w:t>
            </w:r>
            <w:r>
              <w:rPr>
                <w:rFonts w:cs="Arial"/>
                <w:color w:val="000000"/>
              </w:rPr>
              <w:t>.</w:t>
            </w:r>
            <w:r w:rsidRPr="008935E3">
              <w:rPr>
                <w:rFonts w:cs="Arial"/>
                <w:color w:val="000000"/>
              </w:rPr>
              <w:t>826,87</w:t>
            </w:r>
          </w:p>
        </w:tc>
        <w:tc>
          <w:tcPr>
            <w:tcW w:w="1418" w:type="dxa"/>
            <w:vAlign w:val="bottom"/>
          </w:tcPr>
          <w:p w14:paraId="558A6211" w14:textId="71202B07" w:rsidR="00795D56" w:rsidRPr="00843561" w:rsidRDefault="00795D56" w:rsidP="00795D56">
            <w:pPr>
              <w:spacing w:before="0" w:after="0"/>
              <w:ind w:left="113"/>
              <w:jc w:val="right"/>
              <w:rPr>
                <w:rFonts w:cs="Arial"/>
                <w:color w:val="000000"/>
              </w:rPr>
            </w:pPr>
            <w:r w:rsidRPr="00B65D25">
              <w:rPr>
                <w:rFonts w:cs="Arial"/>
                <w:color w:val="000000"/>
              </w:rPr>
              <w:t>15.182,59</w:t>
            </w:r>
          </w:p>
        </w:tc>
        <w:tc>
          <w:tcPr>
            <w:tcW w:w="1559" w:type="dxa"/>
            <w:vAlign w:val="bottom"/>
          </w:tcPr>
          <w:p w14:paraId="1EAD03AB" w14:textId="66B848A0" w:rsidR="00795D56" w:rsidRPr="00843561" w:rsidRDefault="00795D56" w:rsidP="00795D56">
            <w:pPr>
              <w:spacing w:before="0" w:after="0"/>
              <w:ind w:left="113"/>
              <w:jc w:val="right"/>
              <w:rPr>
                <w:rFonts w:cs="Arial"/>
                <w:color w:val="000000"/>
              </w:rPr>
            </w:pPr>
            <w:r w:rsidRPr="00B65D25">
              <w:rPr>
                <w:rFonts w:cs="Arial"/>
                <w:color w:val="000000"/>
              </w:rPr>
              <w:t>15.602,91</w:t>
            </w:r>
          </w:p>
        </w:tc>
        <w:tc>
          <w:tcPr>
            <w:tcW w:w="1418" w:type="dxa"/>
            <w:vAlign w:val="bottom"/>
          </w:tcPr>
          <w:p w14:paraId="6E88960E" w14:textId="19B8F2DB" w:rsidR="00795D56" w:rsidRPr="00843561" w:rsidRDefault="00795D56" w:rsidP="00795D56">
            <w:pPr>
              <w:spacing w:before="0" w:after="0"/>
              <w:ind w:left="113"/>
              <w:jc w:val="right"/>
              <w:rPr>
                <w:rFonts w:cs="Arial"/>
                <w:color w:val="000000"/>
              </w:rPr>
            </w:pPr>
            <w:r w:rsidRPr="00391903">
              <w:rPr>
                <w:rFonts w:cs="Arial"/>
                <w:color w:val="000000"/>
              </w:rPr>
              <w:t>16.107,22</w:t>
            </w:r>
          </w:p>
        </w:tc>
        <w:tc>
          <w:tcPr>
            <w:tcW w:w="1417" w:type="dxa"/>
            <w:vAlign w:val="bottom"/>
          </w:tcPr>
          <w:p w14:paraId="3F5E0DFE" w14:textId="7F08E971" w:rsidR="00795D56" w:rsidRPr="00391903" w:rsidRDefault="00795D56" w:rsidP="00795D56">
            <w:pPr>
              <w:spacing w:before="0" w:after="0"/>
              <w:ind w:left="113"/>
              <w:jc w:val="right"/>
              <w:rPr>
                <w:rFonts w:cs="Arial"/>
                <w:color w:val="000000"/>
              </w:rPr>
            </w:pPr>
            <w:r w:rsidRPr="00795D56">
              <w:rPr>
                <w:rFonts w:cs="Arial"/>
                <w:color w:val="000000"/>
              </w:rPr>
              <w:t>16</w:t>
            </w:r>
            <w:r>
              <w:rPr>
                <w:rFonts w:cs="Arial"/>
                <w:color w:val="000000"/>
              </w:rPr>
              <w:t>.</w:t>
            </w:r>
            <w:r w:rsidRPr="00795D56">
              <w:rPr>
                <w:rFonts w:cs="Arial"/>
                <w:color w:val="000000"/>
              </w:rPr>
              <w:t>685,39</w:t>
            </w:r>
          </w:p>
        </w:tc>
      </w:tr>
      <w:tr w:rsidR="00795D56" w:rsidRPr="00037A46" w14:paraId="2D934B18" w14:textId="164BA583" w:rsidTr="00391903">
        <w:trPr>
          <w:trHeight w:val="300"/>
          <w:jc w:val="center"/>
        </w:trPr>
        <w:tc>
          <w:tcPr>
            <w:tcW w:w="1163" w:type="dxa"/>
            <w:shd w:val="clear" w:color="auto" w:fill="C0C0C0"/>
            <w:noWrap/>
            <w:vAlign w:val="bottom"/>
          </w:tcPr>
          <w:p w14:paraId="3659A6BE" w14:textId="77777777" w:rsidR="00795D56" w:rsidRPr="00037A46" w:rsidRDefault="00795D56" w:rsidP="00795D56">
            <w:pPr>
              <w:spacing w:before="0" w:after="0"/>
              <w:ind w:hanging="764"/>
              <w:jc w:val="right"/>
              <w:rPr>
                <w:b/>
                <w:bCs/>
                <w:lang w:val="en-US"/>
              </w:rPr>
            </w:pPr>
            <w:r w:rsidRPr="00037A46">
              <w:rPr>
                <w:b/>
                <w:bCs/>
                <w:lang w:val="en-US"/>
              </w:rPr>
              <w:t>3</w:t>
            </w:r>
          </w:p>
        </w:tc>
        <w:tc>
          <w:tcPr>
            <w:tcW w:w="1539" w:type="dxa"/>
            <w:tcBorders>
              <w:top w:val="nil"/>
              <w:left w:val="nil"/>
              <w:bottom w:val="nil"/>
              <w:right w:val="single" w:sz="4" w:space="0" w:color="auto"/>
            </w:tcBorders>
            <w:noWrap/>
            <w:vAlign w:val="bottom"/>
          </w:tcPr>
          <w:p w14:paraId="285E97B9" w14:textId="496221BF" w:rsidR="00795D56" w:rsidRPr="00391903" w:rsidRDefault="00795D56" w:rsidP="00795D56">
            <w:pPr>
              <w:spacing w:before="0" w:after="0"/>
              <w:ind w:left="113"/>
              <w:jc w:val="right"/>
              <w:rPr>
                <w:rFonts w:cs="Arial"/>
                <w:color w:val="000000"/>
              </w:rPr>
            </w:pPr>
            <w:r w:rsidRPr="00843561">
              <w:rPr>
                <w:rFonts w:cs="Arial"/>
                <w:color w:val="000000"/>
              </w:rPr>
              <w:t>14</w:t>
            </w:r>
            <w:r>
              <w:rPr>
                <w:rFonts w:cs="Arial"/>
                <w:color w:val="000000"/>
              </w:rPr>
              <w:t>.</w:t>
            </w:r>
            <w:r w:rsidRPr="00843561">
              <w:rPr>
                <w:rFonts w:cs="Arial"/>
                <w:color w:val="000000"/>
              </w:rPr>
              <w:t>360,6</w:t>
            </w:r>
          </w:p>
        </w:tc>
        <w:tc>
          <w:tcPr>
            <w:tcW w:w="1276" w:type="dxa"/>
            <w:tcBorders>
              <w:top w:val="nil"/>
              <w:left w:val="single" w:sz="4" w:space="0" w:color="auto"/>
              <w:bottom w:val="nil"/>
              <w:right w:val="single" w:sz="4" w:space="0" w:color="auto"/>
            </w:tcBorders>
            <w:noWrap/>
            <w:vAlign w:val="bottom"/>
          </w:tcPr>
          <w:p w14:paraId="4FEF5FBC" w14:textId="2C32A0D1" w:rsidR="00795D56" w:rsidRPr="00391903" w:rsidRDefault="00795D56" w:rsidP="00795D56">
            <w:pPr>
              <w:spacing w:before="0" w:after="0"/>
              <w:ind w:left="113"/>
              <w:jc w:val="right"/>
              <w:rPr>
                <w:rFonts w:cs="Arial"/>
                <w:color w:val="000000"/>
              </w:rPr>
            </w:pPr>
            <w:r w:rsidRPr="00843561">
              <w:rPr>
                <w:rFonts w:cs="Arial"/>
                <w:color w:val="000000"/>
              </w:rPr>
              <w:t>14</w:t>
            </w:r>
            <w:r>
              <w:rPr>
                <w:rFonts w:cs="Arial"/>
                <w:color w:val="000000"/>
              </w:rPr>
              <w:t>.</w:t>
            </w:r>
            <w:r w:rsidRPr="00843561">
              <w:rPr>
                <w:rFonts w:cs="Arial"/>
                <w:color w:val="000000"/>
              </w:rPr>
              <w:t>486,09</w:t>
            </w:r>
          </w:p>
        </w:tc>
        <w:tc>
          <w:tcPr>
            <w:tcW w:w="1399" w:type="dxa"/>
            <w:tcBorders>
              <w:top w:val="nil"/>
              <w:left w:val="single" w:sz="4" w:space="0" w:color="auto"/>
              <w:bottom w:val="nil"/>
              <w:right w:val="single" w:sz="4" w:space="0" w:color="auto"/>
            </w:tcBorders>
            <w:noWrap/>
            <w:vAlign w:val="bottom"/>
          </w:tcPr>
          <w:p w14:paraId="2D388CBC" w14:textId="3607D3AB" w:rsidR="00795D56" w:rsidRPr="00391903" w:rsidRDefault="00795D56" w:rsidP="00795D56">
            <w:pPr>
              <w:spacing w:before="0" w:after="0"/>
              <w:ind w:left="113"/>
              <w:jc w:val="right"/>
              <w:rPr>
                <w:rFonts w:cs="Arial"/>
                <w:color w:val="000000"/>
              </w:rPr>
            </w:pPr>
            <w:r w:rsidRPr="00843561">
              <w:rPr>
                <w:rFonts w:cs="Arial"/>
                <w:color w:val="000000"/>
              </w:rPr>
              <w:t>14</w:t>
            </w:r>
            <w:r>
              <w:rPr>
                <w:rFonts w:cs="Arial"/>
                <w:color w:val="000000"/>
              </w:rPr>
              <w:t>.</w:t>
            </w:r>
            <w:r w:rsidRPr="00843561">
              <w:rPr>
                <w:rFonts w:cs="Arial"/>
                <w:color w:val="000000"/>
              </w:rPr>
              <w:t>744,36</w:t>
            </w:r>
          </w:p>
        </w:tc>
        <w:tc>
          <w:tcPr>
            <w:tcW w:w="1417" w:type="dxa"/>
            <w:vAlign w:val="bottom"/>
          </w:tcPr>
          <w:p w14:paraId="4CFB5217" w14:textId="000CD36A" w:rsidR="00795D56" w:rsidRPr="00843561" w:rsidRDefault="00795D56" w:rsidP="00795D56">
            <w:pPr>
              <w:spacing w:before="0" w:after="0"/>
              <w:ind w:left="113"/>
              <w:jc w:val="right"/>
              <w:rPr>
                <w:rFonts w:cs="Arial"/>
                <w:color w:val="000000"/>
              </w:rPr>
            </w:pPr>
            <w:r w:rsidRPr="008935E3">
              <w:rPr>
                <w:rFonts w:cs="Arial"/>
                <w:color w:val="000000"/>
              </w:rPr>
              <w:t>15</w:t>
            </w:r>
            <w:r>
              <w:rPr>
                <w:rFonts w:cs="Arial"/>
                <w:color w:val="000000"/>
              </w:rPr>
              <w:t>.</w:t>
            </w:r>
            <w:r w:rsidRPr="008935E3">
              <w:rPr>
                <w:rFonts w:cs="Arial"/>
                <w:color w:val="000000"/>
              </w:rPr>
              <w:t>083,52</w:t>
            </w:r>
          </w:p>
        </w:tc>
        <w:tc>
          <w:tcPr>
            <w:tcW w:w="1418" w:type="dxa"/>
            <w:vAlign w:val="bottom"/>
          </w:tcPr>
          <w:p w14:paraId="29B397AC" w14:textId="61F689A3" w:rsidR="00795D56" w:rsidRPr="00843561" w:rsidRDefault="00795D56" w:rsidP="00795D56">
            <w:pPr>
              <w:spacing w:before="0" w:after="0"/>
              <w:ind w:left="113"/>
              <w:jc w:val="right"/>
              <w:rPr>
                <w:rFonts w:cs="Arial"/>
                <w:color w:val="000000"/>
              </w:rPr>
            </w:pPr>
            <w:r w:rsidRPr="00B65D25">
              <w:rPr>
                <w:rFonts w:cs="Arial"/>
                <w:color w:val="000000"/>
              </w:rPr>
              <w:t>15.454,44</w:t>
            </w:r>
          </w:p>
        </w:tc>
        <w:tc>
          <w:tcPr>
            <w:tcW w:w="1559" w:type="dxa"/>
            <w:vAlign w:val="bottom"/>
          </w:tcPr>
          <w:p w14:paraId="367EA09C" w14:textId="46C70F25" w:rsidR="00795D56" w:rsidRPr="00843561" w:rsidRDefault="00795D56" w:rsidP="00795D56">
            <w:pPr>
              <w:spacing w:before="0" w:after="0"/>
              <w:ind w:left="113"/>
              <w:jc w:val="right"/>
              <w:rPr>
                <w:rFonts w:cs="Arial"/>
                <w:color w:val="000000"/>
              </w:rPr>
            </w:pPr>
            <w:r w:rsidRPr="00B65D25">
              <w:rPr>
                <w:rFonts w:cs="Arial"/>
                <w:color w:val="000000"/>
              </w:rPr>
              <w:t>15.882,26</w:t>
            </w:r>
          </w:p>
        </w:tc>
        <w:tc>
          <w:tcPr>
            <w:tcW w:w="1418" w:type="dxa"/>
            <w:vAlign w:val="bottom"/>
          </w:tcPr>
          <w:p w14:paraId="350F7D2F" w14:textId="29106894" w:rsidR="00795D56" w:rsidRPr="00843561" w:rsidRDefault="00795D56" w:rsidP="00795D56">
            <w:pPr>
              <w:spacing w:before="0" w:after="0"/>
              <w:ind w:left="113"/>
              <w:jc w:val="right"/>
              <w:rPr>
                <w:rFonts w:cs="Arial"/>
                <w:color w:val="000000"/>
              </w:rPr>
            </w:pPr>
            <w:r w:rsidRPr="00391903">
              <w:rPr>
                <w:rFonts w:cs="Arial"/>
                <w:color w:val="000000"/>
              </w:rPr>
              <w:t>16.395,77</w:t>
            </w:r>
          </w:p>
        </w:tc>
        <w:tc>
          <w:tcPr>
            <w:tcW w:w="1417" w:type="dxa"/>
            <w:vAlign w:val="bottom"/>
          </w:tcPr>
          <w:p w14:paraId="6F195D11" w14:textId="13F08C3D" w:rsidR="00795D56" w:rsidRPr="00391903" w:rsidRDefault="00795D56" w:rsidP="00795D56">
            <w:pPr>
              <w:spacing w:before="0" w:after="0"/>
              <w:ind w:left="113"/>
              <w:jc w:val="right"/>
              <w:rPr>
                <w:rFonts w:cs="Arial"/>
                <w:color w:val="000000"/>
              </w:rPr>
            </w:pPr>
            <w:r w:rsidRPr="00795D56">
              <w:rPr>
                <w:rFonts w:cs="Arial"/>
                <w:color w:val="000000"/>
              </w:rPr>
              <w:t>16</w:t>
            </w:r>
            <w:r>
              <w:rPr>
                <w:rFonts w:cs="Arial"/>
                <w:color w:val="000000"/>
              </w:rPr>
              <w:t>.</w:t>
            </w:r>
            <w:r w:rsidRPr="00795D56">
              <w:rPr>
                <w:rFonts w:cs="Arial"/>
                <w:color w:val="000000"/>
              </w:rPr>
              <w:t>985,22</w:t>
            </w:r>
          </w:p>
        </w:tc>
      </w:tr>
      <w:tr w:rsidR="00795D56" w:rsidRPr="00037A46" w14:paraId="29782069" w14:textId="3B144425" w:rsidTr="00391903">
        <w:trPr>
          <w:trHeight w:val="300"/>
          <w:jc w:val="center"/>
        </w:trPr>
        <w:tc>
          <w:tcPr>
            <w:tcW w:w="1163" w:type="dxa"/>
            <w:shd w:val="clear" w:color="auto" w:fill="C0C0C0"/>
            <w:noWrap/>
            <w:vAlign w:val="bottom"/>
          </w:tcPr>
          <w:p w14:paraId="06B49ADC" w14:textId="77777777" w:rsidR="00795D56" w:rsidRPr="00037A46" w:rsidRDefault="00795D56" w:rsidP="00795D56">
            <w:pPr>
              <w:spacing w:before="0" w:after="0"/>
              <w:ind w:hanging="764"/>
              <w:jc w:val="right"/>
              <w:rPr>
                <w:b/>
                <w:bCs/>
                <w:lang w:val="en-US"/>
              </w:rPr>
            </w:pPr>
            <w:r w:rsidRPr="00037A46">
              <w:rPr>
                <w:b/>
                <w:bCs/>
                <w:lang w:val="en-US"/>
              </w:rPr>
              <w:t>4</w:t>
            </w:r>
          </w:p>
        </w:tc>
        <w:tc>
          <w:tcPr>
            <w:tcW w:w="1539" w:type="dxa"/>
            <w:tcBorders>
              <w:top w:val="nil"/>
              <w:left w:val="nil"/>
              <w:bottom w:val="nil"/>
              <w:right w:val="single" w:sz="4" w:space="0" w:color="auto"/>
            </w:tcBorders>
            <w:noWrap/>
            <w:vAlign w:val="bottom"/>
          </w:tcPr>
          <w:p w14:paraId="59A593CE" w14:textId="54B5868F" w:rsidR="00795D56" w:rsidRPr="00391903" w:rsidRDefault="00795D56" w:rsidP="00795D56">
            <w:pPr>
              <w:spacing w:before="0" w:after="0"/>
              <w:ind w:left="113"/>
              <w:jc w:val="right"/>
              <w:rPr>
                <w:rFonts w:cs="Arial"/>
                <w:color w:val="000000"/>
              </w:rPr>
            </w:pPr>
            <w:r w:rsidRPr="00843561">
              <w:rPr>
                <w:rFonts w:cs="Arial"/>
                <w:color w:val="000000"/>
              </w:rPr>
              <w:t>14</w:t>
            </w:r>
            <w:r>
              <w:rPr>
                <w:rFonts w:cs="Arial"/>
                <w:color w:val="000000"/>
              </w:rPr>
              <w:t>.</w:t>
            </w:r>
            <w:r w:rsidRPr="00843561">
              <w:rPr>
                <w:rFonts w:cs="Arial"/>
                <w:color w:val="000000"/>
              </w:rPr>
              <w:t>569,14</w:t>
            </w:r>
          </w:p>
        </w:tc>
        <w:tc>
          <w:tcPr>
            <w:tcW w:w="1276" w:type="dxa"/>
            <w:tcBorders>
              <w:top w:val="nil"/>
              <w:left w:val="single" w:sz="4" w:space="0" w:color="auto"/>
              <w:bottom w:val="nil"/>
              <w:right w:val="single" w:sz="4" w:space="0" w:color="auto"/>
            </w:tcBorders>
            <w:noWrap/>
            <w:vAlign w:val="bottom"/>
          </w:tcPr>
          <w:p w14:paraId="40243448" w14:textId="2B2B0384" w:rsidR="00795D56" w:rsidRPr="00391903" w:rsidRDefault="00795D56" w:rsidP="00795D56">
            <w:pPr>
              <w:spacing w:before="0" w:after="0"/>
              <w:ind w:left="113"/>
              <w:jc w:val="right"/>
              <w:rPr>
                <w:rFonts w:cs="Arial"/>
                <w:color w:val="000000"/>
              </w:rPr>
            </w:pPr>
            <w:r w:rsidRPr="00843561">
              <w:rPr>
                <w:rFonts w:cs="Arial"/>
                <w:color w:val="000000"/>
              </w:rPr>
              <w:t>14</w:t>
            </w:r>
            <w:r>
              <w:rPr>
                <w:rFonts w:cs="Arial"/>
                <w:color w:val="000000"/>
              </w:rPr>
              <w:t>.</w:t>
            </w:r>
            <w:r w:rsidRPr="00843561">
              <w:rPr>
                <w:rFonts w:cs="Arial"/>
                <w:color w:val="000000"/>
              </w:rPr>
              <w:t>694,56</w:t>
            </w:r>
          </w:p>
        </w:tc>
        <w:tc>
          <w:tcPr>
            <w:tcW w:w="1399" w:type="dxa"/>
            <w:tcBorders>
              <w:top w:val="nil"/>
              <w:left w:val="single" w:sz="4" w:space="0" w:color="auto"/>
              <w:bottom w:val="nil"/>
              <w:right w:val="single" w:sz="4" w:space="0" w:color="auto"/>
            </w:tcBorders>
            <w:noWrap/>
            <w:vAlign w:val="bottom"/>
          </w:tcPr>
          <w:p w14:paraId="47F67DF4" w14:textId="655004C9" w:rsidR="00795D56" w:rsidRPr="00391903" w:rsidRDefault="00795D56" w:rsidP="00795D56">
            <w:pPr>
              <w:spacing w:before="0" w:after="0"/>
              <w:ind w:left="113"/>
              <w:jc w:val="right"/>
              <w:rPr>
                <w:rFonts w:cs="Arial"/>
                <w:color w:val="000000"/>
              </w:rPr>
            </w:pPr>
            <w:r w:rsidRPr="00843561">
              <w:rPr>
                <w:rFonts w:cs="Arial"/>
                <w:color w:val="000000"/>
              </w:rPr>
              <w:t>14</w:t>
            </w:r>
            <w:r>
              <w:rPr>
                <w:rFonts w:cs="Arial"/>
                <w:color w:val="000000"/>
              </w:rPr>
              <w:t>.</w:t>
            </w:r>
            <w:r w:rsidRPr="00843561">
              <w:rPr>
                <w:rFonts w:cs="Arial"/>
                <w:color w:val="000000"/>
              </w:rPr>
              <w:t>968,85</w:t>
            </w:r>
          </w:p>
        </w:tc>
        <w:tc>
          <w:tcPr>
            <w:tcW w:w="1417" w:type="dxa"/>
            <w:vAlign w:val="bottom"/>
          </w:tcPr>
          <w:p w14:paraId="06FCE424" w14:textId="07172B87" w:rsidR="00795D56" w:rsidRPr="00843561" w:rsidRDefault="00795D56" w:rsidP="00795D56">
            <w:pPr>
              <w:spacing w:before="0" w:after="0"/>
              <w:ind w:left="113"/>
              <w:jc w:val="right"/>
              <w:rPr>
                <w:rFonts w:cs="Arial"/>
                <w:color w:val="000000"/>
              </w:rPr>
            </w:pPr>
            <w:r w:rsidRPr="008935E3">
              <w:rPr>
                <w:rFonts w:cs="Arial"/>
                <w:color w:val="000000"/>
              </w:rPr>
              <w:t>15</w:t>
            </w:r>
            <w:r>
              <w:rPr>
                <w:rFonts w:cs="Arial"/>
                <w:color w:val="000000"/>
              </w:rPr>
              <w:t>.</w:t>
            </w:r>
            <w:r w:rsidRPr="008935E3">
              <w:rPr>
                <w:rFonts w:cs="Arial"/>
                <w:color w:val="000000"/>
              </w:rPr>
              <w:t>324,97</w:t>
            </w:r>
          </w:p>
        </w:tc>
        <w:tc>
          <w:tcPr>
            <w:tcW w:w="1418" w:type="dxa"/>
            <w:vAlign w:val="bottom"/>
          </w:tcPr>
          <w:p w14:paraId="2DF6F803" w14:textId="4A0B0BAE" w:rsidR="00795D56" w:rsidRPr="00843561" w:rsidRDefault="00795D56" w:rsidP="00795D56">
            <w:pPr>
              <w:spacing w:before="0" w:after="0"/>
              <w:ind w:left="113"/>
              <w:jc w:val="right"/>
              <w:rPr>
                <w:rFonts w:cs="Arial"/>
                <w:color w:val="000000"/>
              </w:rPr>
            </w:pPr>
            <w:r w:rsidRPr="00B65D25">
              <w:rPr>
                <w:rFonts w:cs="Arial"/>
                <w:color w:val="000000"/>
              </w:rPr>
              <w:t>15.710,49</w:t>
            </w:r>
          </w:p>
        </w:tc>
        <w:tc>
          <w:tcPr>
            <w:tcW w:w="1559" w:type="dxa"/>
            <w:vAlign w:val="bottom"/>
          </w:tcPr>
          <w:p w14:paraId="7A4C4978" w14:textId="5D9CE34B" w:rsidR="00795D56" w:rsidRPr="00843561" w:rsidRDefault="00795D56" w:rsidP="00795D56">
            <w:pPr>
              <w:spacing w:before="0" w:after="0"/>
              <w:ind w:left="113"/>
              <w:jc w:val="right"/>
              <w:rPr>
                <w:rFonts w:cs="Arial"/>
                <w:color w:val="000000"/>
              </w:rPr>
            </w:pPr>
            <w:r w:rsidRPr="00B65D25">
              <w:rPr>
                <w:rFonts w:cs="Arial"/>
                <w:color w:val="000000"/>
              </w:rPr>
              <w:t>16.145,4</w:t>
            </w:r>
          </w:p>
        </w:tc>
        <w:tc>
          <w:tcPr>
            <w:tcW w:w="1418" w:type="dxa"/>
            <w:vAlign w:val="bottom"/>
          </w:tcPr>
          <w:p w14:paraId="3DE81BE2" w14:textId="586A84FC" w:rsidR="00795D56" w:rsidRPr="00843561" w:rsidRDefault="00795D56" w:rsidP="00795D56">
            <w:pPr>
              <w:spacing w:before="0" w:after="0"/>
              <w:ind w:left="113"/>
              <w:jc w:val="right"/>
              <w:rPr>
                <w:rFonts w:cs="Arial"/>
                <w:color w:val="000000"/>
              </w:rPr>
            </w:pPr>
            <w:r w:rsidRPr="00391903">
              <w:rPr>
                <w:rFonts w:cs="Arial"/>
                <w:color w:val="000000"/>
              </w:rPr>
              <w:t>16.667,35</w:t>
            </w:r>
          </w:p>
        </w:tc>
        <w:tc>
          <w:tcPr>
            <w:tcW w:w="1417" w:type="dxa"/>
            <w:vAlign w:val="bottom"/>
          </w:tcPr>
          <w:p w14:paraId="138719BC" w14:textId="0E40C120" w:rsidR="00795D56" w:rsidRPr="00391903" w:rsidRDefault="00795D56" w:rsidP="00795D56">
            <w:pPr>
              <w:spacing w:before="0" w:after="0"/>
              <w:ind w:left="113"/>
              <w:jc w:val="right"/>
              <w:rPr>
                <w:rFonts w:cs="Arial"/>
                <w:color w:val="000000"/>
              </w:rPr>
            </w:pPr>
            <w:r w:rsidRPr="00795D56">
              <w:rPr>
                <w:rFonts w:cs="Arial"/>
                <w:color w:val="000000"/>
              </w:rPr>
              <w:t>17</w:t>
            </w:r>
            <w:r>
              <w:rPr>
                <w:rFonts w:cs="Arial"/>
                <w:color w:val="000000"/>
              </w:rPr>
              <w:t>.</w:t>
            </w:r>
            <w:r w:rsidRPr="00795D56">
              <w:rPr>
                <w:rFonts w:cs="Arial"/>
                <w:color w:val="000000"/>
              </w:rPr>
              <w:t>267,55</w:t>
            </w:r>
          </w:p>
        </w:tc>
      </w:tr>
      <w:tr w:rsidR="00795D56" w:rsidRPr="00037A46" w14:paraId="4E41E184" w14:textId="40F2F00D" w:rsidTr="00391903">
        <w:trPr>
          <w:trHeight w:val="300"/>
          <w:jc w:val="center"/>
        </w:trPr>
        <w:tc>
          <w:tcPr>
            <w:tcW w:w="1163" w:type="dxa"/>
            <w:shd w:val="clear" w:color="auto" w:fill="C0C0C0"/>
            <w:noWrap/>
            <w:vAlign w:val="bottom"/>
          </w:tcPr>
          <w:p w14:paraId="00803371" w14:textId="77777777" w:rsidR="00795D56" w:rsidRPr="00037A46" w:rsidRDefault="00795D56" w:rsidP="00795D56">
            <w:pPr>
              <w:spacing w:before="0" w:after="0"/>
              <w:ind w:hanging="764"/>
              <w:jc w:val="right"/>
              <w:rPr>
                <w:b/>
                <w:bCs/>
                <w:lang w:val="en-US"/>
              </w:rPr>
            </w:pPr>
            <w:r w:rsidRPr="00037A46">
              <w:rPr>
                <w:b/>
                <w:bCs/>
                <w:lang w:val="en-US"/>
              </w:rPr>
              <w:t>5</w:t>
            </w:r>
          </w:p>
        </w:tc>
        <w:tc>
          <w:tcPr>
            <w:tcW w:w="1539" w:type="dxa"/>
            <w:tcBorders>
              <w:top w:val="nil"/>
              <w:left w:val="nil"/>
              <w:bottom w:val="nil"/>
              <w:right w:val="single" w:sz="4" w:space="0" w:color="auto"/>
            </w:tcBorders>
            <w:noWrap/>
            <w:vAlign w:val="bottom"/>
          </w:tcPr>
          <w:p w14:paraId="51421A9D" w14:textId="52F8048C" w:rsidR="00795D56" w:rsidRPr="00391903" w:rsidRDefault="00795D56" w:rsidP="00795D56">
            <w:pPr>
              <w:spacing w:before="0" w:after="0"/>
              <w:ind w:left="113"/>
              <w:jc w:val="right"/>
              <w:rPr>
                <w:rFonts w:cs="Arial"/>
                <w:color w:val="000000"/>
              </w:rPr>
            </w:pPr>
            <w:r w:rsidRPr="00843561">
              <w:rPr>
                <w:rFonts w:cs="Arial"/>
                <w:color w:val="000000"/>
              </w:rPr>
              <w:t>14</w:t>
            </w:r>
            <w:r>
              <w:rPr>
                <w:rFonts w:cs="Arial"/>
                <w:color w:val="000000"/>
              </w:rPr>
              <w:t>.</w:t>
            </w:r>
            <w:r w:rsidRPr="00843561">
              <w:rPr>
                <w:rFonts w:cs="Arial"/>
                <w:color w:val="000000"/>
              </w:rPr>
              <w:t>764,84</w:t>
            </w:r>
          </w:p>
        </w:tc>
        <w:tc>
          <w:tcPr>
            <w:tcW w:w="1276" w:type="dxa"/>
            <w:tcBorders>
              <w:top w:val="nil"/>
              <w:left w:val="single" w:sz="4" w:space="0" w:color="auto"/>
              <w:bottom w:val="nil"/>
              <w:right w:val="single" w:sz="4" w:space="0" w:color="auto"/>
            </w:tcBorders>
            <w:noWrap/>
            <w:vAlign w:val="bottom"/>
          </w:tcPr>
          <w:p w14:paraId="7003EB73" w14:textId="6CFFC4BA" w:rsidR="00795D56" w:rsidRPr="00391903" w:rsidRDefault="00795D56" w:rsidP="00795D56">
            <w:pPr>
              <w:spacing w:before="0" w:after="0"/>
              <w:ind w:left="113"/>
              <w:jc w:val="right"/>
              <w:rPr>
                <w:rFonts w:cs="Arial"/>
                <w:color w:val="000000"/>
              </w:rPr>
            </w:pPr>
            <w:r w:rsidRPr="00843561">
              <w:rPr>
                <w:rFonts w:cs="Arial"/>
                <w:color w:val="000000"/>
              </w:rPr>
              <w:t>14</w:t>
            </w:r>
            <w:r>
              <w:rPr>
                <w:rFonts w:cs="Arial"/>
                <w:color w:val="000000"/>
              </w:rPr>
              <w:t>.</w:t>
            </w:r>
            <w:r w:rsidRPr="00843561">
              <w:rPr>
                <w:rFonts w:cs="Arial"/>
                <w:color w:val="000000"/>
              </w:rPr>
              <w:t>890,26</w:t>
            </w:r>
          </w:p>
        </w:tc>
        <w:tc>
          <w:tcPr>
            <w:tcW w:w="1399" w:type="dxa"/>
            <w:tcBorders>
              <w:top w:val="nil"/>
              <w:left w:val="single" w:sz="4" w:space="0" w:color="auto"/>
              <w:bottom w:val="nil"/>
              <w:right w:val="single" w:sz="4" w:space="0" w:color="auto"/>
            </w:tcBorders>
            <w:noWrap/>
            <w:vAlign w:val="bottom"/>
          </w:tcPr>
          <w:p w14:paraId="616C8E17" w14:textId="49D47FAA"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179,61</w:t>
            </w:r>
          </w:p>
        </w:tc>
        <w:tc>
          <w:tcPr>
            <w:tcW w:w="1417" w:type="dxa"/>
            <w:vAlign w:val="bottom"/>
          </w:tcPr>
          <w:p w14:paraId="6CC339C8" w14:textId="1EED9F5B" w:rsidR="00795D56" w:rsidRPr="00843561" w:rsidRDefault="00795D56" w:rsidP="00795D56">
            <w:pPr>
              <w:spacing w:before="0" w:after="0"/>
              <w:ind w:left="113"/>
              <w:jc w:val="right"/>
              <w:rPr>
                <w:rFonts w:cs="Arial"/>
                <w:color w:val="000000"/>
              </w:rPr>
            </w:pPr>
            <w:r w:rsidRPr="008935E3">
              <w:rPr>
                <w:rFonts w:cs="Arial"/>
                <w:color w:val="000000"/>
              </w:rPr>
              <w:t>15</w:t>
            </w:r>
            <w:r>
              <w:rPr>
                <w:rFonts w:cs="Arial"/>
                <w:color w:val="000000"/>
              </w:rPr>
              <w:t>.</w:t>
            </w:r>
            <w:r w:rsidRPr="008935E3">
              <w:rPr>
                <w:rFonts w:cs="Arial"/>
                <w:color w:val="000000"/>
              </w:rPr>
              <w:t>552,02</w:t>
            </w:r>
          </w:p>
        </w:tc>
        <w:tc>
          <w:tcPr>
            <w:tcW w:w="1418" w:type="dxa"/>
            <w:vAlign w:val="bottom"/>
          </w:tcPr>
          <w:p w14:paraId="59A48EC8" w14:textId="24CBE768" w:rsidR="00795D56" w:rsidRPr="00843561" w:rsidRDefault="00795D56" w:rsidP="00795D56">
            <w:pPr>
              <w:spacing w:before="0" w:after="0"/>
              <w:ind w:left="113"/>
              <w:jc w:val="right"/>
              <w:rPr>
                <w:rFonts w:cs="Arial"/>
                <w:color w:val="000000"/>
              </w:rPr>
            </w:pPr>
            <w:r w:rsidRPr="00B65D25">
              <w:rPr>
                <w:rFonts w:cs="Arial"/>
                <w:color w:val="000000"/>
              </w:rPr>
              <w:t>15.951,19</w:t>
            </w:r>
          </w:p>
        </w:tc>
        <w:tc>
          <w:tcPr>
            <w:tcW w:w="1559" w:type="dxa"/>
            <w:vAlign w:val="bottom"/>
          </w:tcPr>
          <w:p w14:paraId="5DDA9F75" w14:textId="66C8A0D1" w:rsidR="00795D56" w:rsidRPr="00843561" w:rsidRDefault="00795D56" w:rsidP="00795D56">
            <w:pPr>
              <w:spacing w:before="0" w:after="0"/>
              <w:ind w:left="113"/>
              <w:jc w:val="right"/>
              <w:rPr>
                <w:rFonts w:cs="Arial"/>
                <w:color w:val="000000"/>
              </w:rPr>
            </w:pPr>
            <w:r w:rsidRPr="00B65D25">
              <w:rPr>
                <w:rFonts w:cs="Arial"/>
                <w:color w:val="000000"/>
              </w:rPr>
              <w:t>16.392,86</w:t>
            </w:r>
          </w:p>
        </w:tc>
        <w:tc>
          <w:tcPr>
            <w:tcW w:w="1418" w:type="dxa"/>
            <w:vAlign w:val="bottom"/>
          </w:tcPr>
          <w:p w14:paraId="04FB8EAF" w14:textId="097C9E81" w:rsidR="00795D56" w:rsidRPr="00843561" w:rsidRDefault="00795D56" w:rsidP="00795D56">
            <w:pPr>
              <w:spacing w:before="0" w:after="0"/>
              <w:ind w:left="113"/>
              <w:jc w:val="right"/>
              <w:rPr>
                <w:rFonts w:cs="Arial"/>
                <w:color w:val="000000"/>
              </w:rPr>
            </w:pPr>
            <w:r w:rsidRPr="00391903">
              <w:rPr>
                <w:rFonts w:cs="Arial"/>
                <w:color w:val="000000"/>
              </w:rPr>
              <w:t>16.922,78</w:t>
            </w:r>
          </w:p>
        </w:tc>
        <w:tc>
          <w:tcPr>
            <w:tcW w:w="1417" w:type="dxa"/>
            <w:vAlign w:val="bottom"/>
          </w:tcPr>
          <w:p w14:paraId="42F009C0" w14:textId="653DAE9B" w:rsidR="00795D56" w:rsidRPr="00391903" w:rsidRDefault="00795D56" w:rsidP="00795D56">
            <w:pPr>
              <w:spacing w:before="0" w:after="0"/>
              <w:ind w:left="113"/>
              <w:jc w:val="right"/>
              <w:rPr>
                <w:rFonts w:cs="Arial"/>
                <w:color w:val="000000"/>
              </w:rPr>
            </w:pPr>
            <w:r w:rsidRPr="00795D56">
              <w:rPr>
                <w:rFonts w:cs="Arial"/>
                <w:color w:val="000000"/>
              </w:rPr>
              <w:t>17</w:t>
            </w:r>
            <w:r>
              <w:rPr>
                <w:rFonts w:cs="Arial"/>
                <w:color w:val="000000"/>
              </w:rPr>
              <w:t>.</w:t>
            </w:r>
            <w:r w:rsidRPr="00795D56">
              <w:rPr>
                <w:rFonts w:cs="Arial"/>
                <w:color w:val="000000"/>
              </w:rPr>
              <w:t>532,92</w:t>
            </w:r>
          </w:p>
        </w:tc>
      </w:tr>
      <w:tr w:rsidR="00795D56" w:rsidRPr="00037A46" w14:paraId="0050B025" w14:textId="0DB2DB3A" w:rsidTr="00391903">
        <w:trPr>
          <w:trHeight w:val="300"/>
          <w:jc w:val="center"/>
        </w:trPr>
        <w:tc>
          <w:tcPr>
            <w:tcW w:w="1163" w:type="dxa"/>
            <w:shd w:val="clear" w:color="auto" w:fill="C0C0C0"/>
            <w:noWrap/>
            <w:vAlign w:val="bottom"/>
          </w:tcPr>
          <w:p w14:paraId="50756F6D" w14:textId="77777777" w:rsidR="00795D56" w:rsidRPr="00037A46" w:rsidRDefault="00795D56" w:rsidP="00795D56">
            <w:pPr>
              <w:spacing w:before="0" w:after="0"/>
              <w:ind w:hanging="764"/>
              <w:jc w:val="right"/>
              <w:rPr>
                <w:b/>
                <w:bCs/>
                <w:lang w:val="en-US"/>
              </w:rPr>
            </w:pPr>
            <w:r w:rsidRPr="00037A46">
              <w:rPr>
                <w:b/>
                <w:bCs/>
                <w:lang w:val="en-US"/>
              </w:rPr>
              <w:t>6</w:t>
            </w:r>
          </w:p>
        </w:tc>
        <w:tc>
          <w:tcPr>
            <w:tcW w:w="1539" w:type="dxa"/>
            <w:tcBorders>
              <w:top w:val="nil"/>
              <w:left w:val="nil"/>
              <w:bottom w:val="nil"/>
              <w:right w:val="single" w:sz="4" w:space="0" w:color="auto"/>
            </w:tcBorders>
            <w:noWrap/>
            <w:vAlign w:val="bottom"/>
          </w:tcPr>
          <w:p w14:paraId="444086B5" w14:textId="0FD35E95" w:rsidR="00795D56" w:rsidRPr="00391903" w:rsidRDefault="00795D56" w:rsidP="00795D56">
            <w:pPr>
              <w:spacing w:before="0" w:after="0"/>
              <w:ind w:left="113"/>
              <w:jc w:val="right"/>
              <w:rPr>
                <w:rFonts w:cs="Arial"/>
                <w:color w:val="000000"/>
              </w:rPr>
            </w:pPr>
            <w:r w:rsidRPr="00843561">
              <w:rPr>
                <w:rFonts w:cs="Arial"/>
                <w:color w:val="000000"/>
              </w:rPr>
              <w:t>14</w:t>
            </w:r>
            <w:r>
              <w:rPr>
                <w:rFonts w:cs="Arial"/>
                <w:color w:val="000000"/>
              </w:rPr>
              <w:t>.</w:t>
            </w:r>
            <w:r w:rsidRPr="00843561">
              <w:rPr>
                <w:rFonts w:cs="Arial"/>
                <w:color w:val="000000"/>
              </w:rPr>
              <w:t>948,24</w:t>
            </w:r>
          </w:p>
        </w:tc>
        <w:tc>
          <w:tcPr>
            <w:tcW w:w="1276" w:type="dxa"/>
            <w:tcBorders>
              <w:top w:val="nil"/>
              <w:left w:val="single" w:sz="4" w:space="0" w:color="auto"/>
              <w:bottom w:val="nil"/>
              <w:right w:val="single" w:sz="4" w:space="0" w:color="auto"/>
            </w:tcBorders>
            <w:noWrap/>
            <w:vAlign w:val="bottom"/>
          </w:tcPr>
          <w:p w14:paraId="7A7CACFC" w14:textId="2AF3FB63"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125,96</w:t>
            </w:r>
          </w:p>
        </w:tc>
        <w:tc>
          <w:tcPr>
            <w:tcW w:w="1399" w:type="dxa"/>
            <w:tcBorders>
              <w:top w:val="nil"/>
              <w:left w:val="single" w:sz="4" w:space="0" w:color="auto"/>
              <w:bottom w:val="nil"/>
              <w:right w:val="single" w:sz="4" w:space="0" w:color="auto"/>
            </w:tcBorders>
            <w:noWrap/>
            <w:vAlign w:val="bottom"/>
          </w:tcPr>
          <w:p w14:paraId="1C053A95" w14:textId="78328521"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429,58</w:t>
            </w:r>
          </w:p>
        </w:tc>
        <w:tc>
          <w:tcPr>
            <w:tcW w:w="1417" w:type="dxa"/>
            <w:vAlign w:val="bottom"/>
          </w:tcPr>
          <w:p w14:paraId="6683D36D" w14:textId="1D0727DE" w:rsidR="00795D56" w:rsidRPr="00843561" w:rsidRDefault="00795D56" w:rsidP="00795D56">
            <w:pPr>
              <w:spacing w:before="0" w:after="0"/>
              <w:ind w:left="113"/>
              <w:jc w:val="right"/>
              <w:rPr>
                <w:rFonts w:cs="Arial"/>
                <w:color w:val="000000"/>
              </w:rPr>
            </w:pPr>
            <w:r w:rsidRPr="008935E3">
              <w:rPr>
                <w:rFonts w:cs="Arial"/>
                <w:color w:val="000000"/>
              </w:rPr>
              <w:t>15</w:t>
            </w:r>
            <w:r>
              <w:rPr>
                <w:rFonts w:cs="Arial"/>
                <w:color w:val="000000"/>
              </w:rPr>
              <w:t>.</w:t>
            </w:r>
            <w:r w:rsidRPr="008935E3">
              <w:rPr>
                <w:rFonts w:cs="Arial"/>
                <w:color w:val="000000"/>
              </w:rPr>
              <w:t>817,32</w:t>
            </w:r>
          </w:p>
        </w:tc>
        <w:tc>
          <w:tcPr>
            <w:tcW w:w="1418" w:type="dxa"/>
            <w:vAlign w:val="bottom"/>
          </w:tcPr>
          <w:p w14:paraId="2878C411" w14:textId="3D79486A" w:rsidR="00795D56" w:rsidRPr="00843561" w:rsidRDefault="00795D56" w:rsidP="00795D56">
            <w:pPr>
              <w:spacing w:before="0" w:after="0"/>
              <w:ind w:left="113"/>
              <w:jc w:val="right"/>
              <w:rPr>
                <w:rFonts w:cs="Arial"/>
                <w:color w:val="000000"/>
              </w:rPr>
            </w:pPr>
            <w:r w:rsidRPr="00B65D25">
              <w:rPr>
                <w:rFonts w:cs="Arial"/>
                <w:color w:val="000000"/>
              </w:rPr>
              <w:t>16.229,6</w:t>
            </w:r>
          </w:p>
        </w:tc>
        <w:tc>
          <w:tcPr>
            <w:tcW w:w="1559" w:type="dxa"/>
            <w:vAlign w:val="bottom"/>
          </w:tcPr>
          <w:p w14:paraId="33B3305F" w14:textId="39CE5355" w:rsidR="00795D56" w:rsidRPr="00843561" w:rsidRDefault="00795D56" w:rsidP="00795D56">
            <w:pPr>
              <w:spacing w:before="0" w:after="0"/>
              <w:ind w:left="113"/>
              <w:jc w:val="right"/>
              <w:rPr>
                <w:rFonts w:cs="Arial"/>
                <w:color w:val="000000"/>
              </w:rPr>
            </w:pPr>
            <w:r w:rsidRPr="00B65D25">
              <w:rPr>
                <w:rFonts w:cs="Arial"/>
                <w:color w:val="000000"/>
              </w:rPr>
              <w:t>16.677,49</w:t>
            </w:r>
          </w:p>
        </w:tc>
        <w:tc>
          <w:tcPr>
            <w:tcW w:w="1418" w:type="dxa"/>
            <w:vAlign w:val="bottom"/>
          </w:tcPr>
          <w:p w14:paraId="558ADAEF" w14:textId="0CD95E02" w:rsidR="00795D56" w:rsidRPr="00843561" w:rsidRDefault="00795D56" w:rsidP="00795D56">
            <w:pPr>
              <w:spacing w:before="0" w:after="0"/>
              <w:ind w:left="113"/>
              <w:jc w:val="right"/>
              <w:rPr>
                <w:rFonts w:cs="Arial"/>
                <w:color w:val="000000"/>
              </w:rPr>
            </w:pPr>
            <w:r w:rsidRPr="00391903">
              <w:rPr>
                <w:rFonts w:cs="Arial"/>
                <w:color w:val="000000"/>
              </w:rPr>
              <w:t>17.215,05</w:t>
            </w:r>
          </w:p>
        </w:tc>
        <w:tc>
          <w:tcPr>
            <w:tcW w:w="1417" w:type="dxa"/>
            <w:vAlign w:val="bottom"/>
          </w:tcPr>
          <w:p w14:paraId="2190F6B2" w14:textId="0A60632D" w:rsidR="00795D56" w:rsidRPr="00391903" w:rsidRDefault="00795D56" w:rsidP="00795D56">
            <w:pPr>
              <w:spacing w:before="0" w:after="0"/>
              <w:ind w:left="113"/>
              <w:jc w:val="right"/>
              <w:rPr>
                <w:rFonts w:cs="Arial"/>
                <w:color w:val="000000"/>
              </w:rPr>
            </w:pPr>
            <w:r w:rsidRPr="00795D56">
              <w:rPr>
                <w:rFonts w:cs="Arial"/>
                <w:color w:val="000000"/>
              </w:rPr>
              <w:t>17</w:t>
            </w:r>
            <w:r>
              <w:rPr>
                <w:rFonts w:cs="Arial"/>
                <w:color w:val="000000"/>
              </w:rPr>
              <w:t>.</w:t>
            </w:r>
            <w:r w:rsidRPr="00795D56">
              <w:rPr>
                <w:rFonts w:cs="Arial"/>
                <w:color w:val="000000"/>
              </w:rPr>
              <w:t>782,27</w:t>
            </w:r>
          </w:p>
        </w:tc>
      </w:tr>
      <w:tr w:rsidR="00795D56" w:rsidRPr="00037A46" w14:paraId="1FCFD2F7" w14:textId="5154CE19" w:rsidTr="00391903">
        <w:trPr>
          <w:trHeight w:val="300"/>
          <w:jc w:val="center"/>
        </w:trPr>
        <w:tc>
          <w:tcPr>
            <w:tcW w:w="1163" w:type="dxa"/>
            <w:shd w:val="clear" w:color="auto" w:fill="C0C0C0"/>
            <w:noWrap/>
            <w:vAlign w:val="bottom"/>
          </w:tcPr>
          <w:p w14:paraId="32822E65" w14:textId="77777777" w:rsidR="00795D56" w:rsidRPr="00037A46" w:rsidRDefault="00795D56" w:rsidP="00795D56">
            <w:pPr>
              <w:spacing w:before="0" w:after="0"/>
              <w:ind w:hanging="764"/>
              <w:jc w:val="right"/>
              <w:rPr>
                <w:b/>
                <w:bCs/>
                <w:lang w:val="en-US"/>
              </w:rPr>
            </w:pPr>
            <w:r w:rsidRPr="00037A46">
              <w:rPr>
                <w:b/>
                <w:bCs/>
                <w:lang w:val="en-US"/>
              </w:rPr>
              <w:t>7</w:t>
            </w:r>
          </w:p>
        </w:tc>
        <w:tc>
          <w:tcPr>
            <w:tcW w:w="1539" w:type="dxa"/>
            <w:tcBorders>
              <w:top w:val="nil"/>
              <w:left w:val="nil"/>
              <w:bottom w:val="nil"/>
              <w:right w:val="single" w:sz="4" w:space="0" w:color="auto"/>
            </w:tcBorders>
            <w:noWrap/>
            <w:vAlign w:val="bottom"/>
          </w:tcPr>
          <w:p w14:paraId="473A9FF3" w14:textId="3AE026F0"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120,01</w:t>
            </w:r>
          </w:p>
        </w:tc>
        <w:tc>
          <w:tcPr>
            <w:tcW w:w="1276" w:type="dxa"/>
            <w:tcBorders>
              <w:top w:val="nil"/>
              <w:left w:val="single" w:sz="4" w:space="0" w:color="auto"/>
              <w:bottom w:val="nil"/>
              <w:right w:val="single" w:sz="4" w:space="0" w:color="auto"/>
            </w:tcBorders>
            <w:noWrap/>
            <w:vAlign w:val="bottom"/>
          </w:tcPr>
          <w:p w14:paraId="2F170B8A" w14:textId="4C0D07E0"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297,8</w:t>
            </w:r>
          </w:p>
        </w:tc>
        <w:tc>
          <w:tcPr>
            <w:tcW w:w="1399" w:type="dxa"/>
            <w:tcBorders>
              <w:top w:val="nil"/>
              <w:left w:val="single" w:sz="4" w:space="0" w:color="auto"/>
              <w:bottom w:val="nil"/>
              <w:right w:val="single" w:sz="4" w:space="0" w:color="auto"/>
            </w:tcBorders>
            <w:noWrap/>
            <w:vAlign w:val="bottom"/>
          </w:tcPr>
          <w:p w14:paraId="222273F1" w14:textId="452A442A"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614,87</w:t>
            </w:r>
          </w:p>
        </w:tc>
        <w:tc>
          <w:tcPr>
            <w:tcW w:w="1417" w:type="dxa"/>
            <w:vAlign w:val="bottom"/>
          </w:tcPr>
          <w:p w14:paraId="082CEA86" w14:textId="36912DB1" w:rsidR="00795D56" w:rsidRPr="00843561" w:rsidRDefault="00795D56" w:rsidP="00795D56">
            <w:pPr>
              <w:spacing w:before="0" w:after="0"/>
              <w:ind w:left="113"/>
              <w:jc w:val="right"/>
              <w:rPr>
                <w:rFonts w:cs="Arial"/>
                <w:color w:val="000000"/>
              </w:rPr>
            </w:pPr>
            <w:r w:rsidRPr="008935E3">
              <w:rPr>
                <w:rFonts w:cs="Arial"/>
                <w:color w:val="000000"/>
              </w:rPr>
              <w:t>16</w:t>
            </w:r>
            <w:r>
              <w:rPr>
                <w:rFonts w:cs="Arial"/>
                <w:color w:val="000000"/>
              </w:rPr>
              <w:t>.</w:t>
            </w:r>
            <w:r w:rsidRPr="008935E3">
              <w:rPr>
                <w:rFonts w:cs="Arial"/>
                <w:color w:val="000000"/>
              </w:rPr>
              <w:t>017,07</w:t>
            </w:r>
          </w:p>
        </w:tc>
        <w:tc>
          <w:tcPr>
            <w:tcW w:w="1418" w:type="dxa"/>
            <w:vAlign w:val="bottom"/>
          </w:tcPr>
          <w:p w14:paraId="602D8CB7" w14:textId="70DBD6DB" w:rsidR="00795D56" w:rsidRPr="00843561" w:rsidRDefault="00795D56" w:rsidP="00795D56">
            <w:pPr>
              <w:spacing w:before="0" w:after="0"/>
              <w:ind w:left="113"/>
              <w:jc w:val="right"/>
              <w:rPr>
                <w:rFonts w:cs="Arial"/>
                <w:color w:val="000000"/>
              </w:rPr>
            </w:pPr>
            <w:r w:rsidRPr="00B65D25">
              <w:rPr>
                <w:rFonts w:cs="Arial"/>
                <w:color w:val="000000"/>
              </w:rPr>
              <w:t>16.441,72</w:t>
            </w:r>
          </w:p>
        </w:tc>
        <w:tc>
          <w:tcPr>
            <w:tcW w:w="1559" w:type="dxa"/>
            <w:vAlign w:val="bottom"/>
          </w:tcPr>
          <w:p w14:paraId="2895BC0E" w14:textId="3B5FC2D0" w:rsidR="00795D56" w:rsidRPr="00843561" w:rsidRDefault="00795D56" w:rsidP="00795D56">
            <w:pPr>
              <w:spacing w:before="0" w:after="0"/>
              <w:ind w:left="113"/>
              <w:jc w:val="right"/>
              <w:rPr>
                <w:rFonts w:cs="Arial"/>
                <w:color w:val="000000"/>
              </w:rPr>
            </w:pPr>
            <w:r w:rsidRPr="00B65D25">
              <w:rPr>
                <w:rFonts w:cs="Arial"/>
                <w:color w:val="000000"/>
              </w:rPr>
              <w:t>16.895,48</w:t>
            </w:r>
          </w:p>
        </w:tc>
        <w:tc>
          <w:tcPr>
            <w:tcW w:w="1418" w:type="dxa"/>
            <w:vAlign w:val="bottom"/>
          </w:tcPr>
          <w:p w14:paraId="082C95C1" w14:textId="09F82D79" w:rsidR="00795D56" w:rsidRPr="00843561" w:rsidRDefault="00795D56" w:rsidP="00795D56">
            <w:pPr>
              <w:spacing w:before="0" w:after="0"/>
              <w:ind w:left="113"/>
              <w:jc w:val="right"/>
              <w:rPr>
                <w:rFonts w:cs="Arial"/>
                <w:color w:val="000000"/>
              </w:rPr>
            </w:pPr>
            <w:r w:rsidRPr="00391903">
              <w:rPr>
                <w:rFonts w:cs="Arial"/>
                <w:color w:val="000000"/>
              </w:rPr>
              <w:t>17.440,07</w:t>
            </w:r>
          </w:p>
        </w:tc>
        <w:tc>
          <w:tcPr>
            <w:tcW w:w="1417" w:type="dxa"/>
            <w:vAlign w:val="bottom"/>
          </w:tcPr>
          <w:p w14:paraId="3D738134" w14:textId="2EC97A48" w:rsidR="00795D56" w:rsidRPr="00391903" w:rsidRDefault="00795D56" w:rsidP="00795D56">
            <w:pPr>
              <w:spacing w:before="0" w:after="0"/>
              <w:ind w:left="113"/>
              <w:jc w:val="right"/>
              <w:rPr>
                <w:rFonts w:cs="Arial"/>
                <w:color w:val="000000"/>
              </w:rPr>
            </w:pPr>
            <w:r w:rsidRPr="00795D56">
              <w:rPr>
                <w:rFonts w:cs="Arial"/>
                <w:color w:val="000000"/>
              </w:rPr>
              <w:t>18</w:t>
            </w:r>
            <w:r>
              <w:rPr>
                <w:rFonts w:cs="Arial"/>
                <w:color w:val="000000"/>
              </w:rPr>
              <w:t>.</w:t>
            </w:r>
            <w:r w:rsidRPr="00795D56">
              <w:rPr>
                <w:rFonts w:cs="Arial"/>
                <w:color w:val="000000"/>
              </w:rPr>
              <w:t>016,22</w:t>
            </w:r>
          </w:p>
        </w:tc>
      </w:tr>
      <w:tr w:rsidR="00795D56" w:rsidRPr="00037A46" w14:paraId="439B4A8C" w14:textId="133085DB" w:rsidTr="00391903">
        <w:trPr>
          <w:trHeight w:val="300"/>
          <w:jc w:val="center"/>
        </w:trPr>
        <w:tc>
          <w:tcPr>
            <w:tcW w:w="1163" w:type="dxa"/>
            <w:shd w:val="clear" w:color="auto" w:fill="C0C0C0"/>
            <w:noWrap/>
            <w:vAlign w:val="bottom"/>
          </w:tcPr>
          <w:p w14:paraId="02DCFF43" w14:textId="77777777" w:rsidR="00795D56" w:rsidRPr="00037A46" w:rsidRDefault="00795D56" w:rsidP="00795D56">
            <w:pPr>
              <w:spacing w:before="0" w:after="0"/>
              <w:ind w:hanging="764"/>
              <w:jc w:val="right"/>
              <w:rPr>
                <w:b/>
                <w:bCs/>
                <w:lang w:val="en-US"/>
              </w:rPr>
            </w:pPr>
            <w:r w:rsidRPr="00037A46">
              <w:rPr>
                <w:b/>
                <w:bCs/>
                <w:lang w:val="en-US"/>
              </w:rPr>
              <w:t>8</w:t>
            </w:r>
          </w:p>
        </w:tc>
        <w:tc>
          <w:tcPr>
            <w:tcW w:w="1539" w:type="dxa"/>
            <w:tcBorders>
              <w:top w:val="nil"/>
              <w:left w:val="nil"/>
              <w:bottom w:val="nil"/>
              <w:right w:val="single" w:sz="4" w:space="0" w:color="auto"/>
            </w:tcBorders>
            <w:noWrap/>
            <w:vAlign w:val="bottom"/>
          </w:tcPr>
          <w:p w14:paraId="73396349" w14:textId="4442907E"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280,71</w:t>
            </w:r>
          </w:p>
        </w:tc>
        <w:tc>
          <w:tcPr>
            <w:tcW w:w="1276" w:type="dxa"/>
            <w:tcBorders>
              <w:top w:val="nil"/>
              <w:left w:val="single" w:sz="4" w:space="0" w:color="auto"/>
              <w:bottom w:val="nil"/>
              <w:right w:val="single" w:sz="4" w:space="0" w:color="auto"/>
            </w:tcBorders>
            <w:noWrap/>
            <w:vAlign w:val="bottom"/>
          </w:tcPr>
          <w:p w14:paraId="7BA2DF54" w14:textId="60FC59C7"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458,5</w:t>
            </w:r>
          </w:p>
        </w:tc>
        <w:tc>
          <w:tcPr>
            <w:tcW w:w="1399" w:type="dxa"/>
            <w:tcBorders>
              <w:top w:val="nil"/>
              <w:left w:val="single" w:sz="4" w:space="0" w:color="auto"/>
              <w:bottom w:val="nil"/>
              <w:right w:val="single" w:sz="4" w:space="0" w:color="auto"/>
            </w:tcBorders>
            <w:noWrap/>
            <w:vAlign w:val="bottom"/>
          </w:tcPr>
          <w:p w14:paraId="325E9B5E" w14:textId="0185DECC"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788,26</w:t>
            </w:r>
          </w:p>
        </w:tc>
        <w:tc>
          <w:tcPr>
            <w:tcW w:w="1417" w:type="dxa"/>
            <w:vAlign w:val="bottom"/>
          </w:tcPr>
          <w:p w14:paraId="0088717D" w14:textId="7A92A20F" w:rsidR="00795D56" w:rsidRPr="00843561" w:rsidRDefault="00795D56" w:rsidP="00795D56">
            <w:pPr>
              <w:spacing w:before="0" w:after="0"/>
              <w:ind w:left="113"/>
              <w:jc w:val="right"/>
              <w:rPr>
                <w:rFonts w:cs="Arial"/>
                <w:color w:val="000000"/>
              </w:rPr>
            </w:pPr>
            <w:r w:rsidRPr="008935E3">
              <w:rPr>
                <w:rFonts w:cs="Arial"/>
                <w:color w:val="000000"/>
              </w:rPr>
              <w:t>16</w:t>
            </w:r>
            <w:r>
              <w:rPr>
                <w:rFonts w:cs="Arial"/>
                <w:color w:val="000000"/>
              </w:rPr>
              <w:t>.</w:t>
            </w:r>
            <w:r w:rsidRPr="008935E3">
              <w:rPr>
                <w:rFonts w:cs="Arial"/>
                <w:color w:val="000000"/>
              </w:rPr>
              <w:t>204,26</w:t>
            </w:r>
          </w:p>
        </w:tc>
        <w:tc>
          <w:tcPr>
            <w:tcW w:w="1418" w:type="dxa"/>
            <w:vAlign w:val="bottom"/>
          </w:tcPr>
          <w:p w14:paraId="0E3A1310" w14:textId="3CCE9348" w:rsidR="00795D56" w:rsidRPr="00843561" w:rsidRDefault="00795D56" w:rsidP="00795D56">
            <w:pPr>
              <w:spacing w:before="0" w:after="0"/>
              <w:ind w:left="113"/>
              <w:jc w:val="right"/>
              <w:rPr>
                <w:rFonts w:cs="Arial"/>
                <w:color w:val="000000"/>
              </w:rPr>
            </w:pPr>
            <w:r w:rsidRPr="00B65D25">
              <w:rPr>
                <w:rFonts w:cs="Arial"/>
                <w:color w:val="000000"/>
              </w:rPr>
              <w:t>16.640,46</w:t>
            </w:r>
          </w:p>
        </w:tc>
        <w:tc>
          <w:tcPr>
            <w:tcW w:w="1559" w:type="dxa"/>
            <w:vAlign w:val="bottom"/>
          </w:tcPr>
          <w:p w14:paraId="50ED498D" w14:textId="63C184B8" w:rsidR="00795D56" w:rsidRPr="00843561" w:rsidRDefault="00795D56" w:rsidP="00795D56">
            <w:pPr>
              <w:spacing w:before="0" w:after="0"/>
              <w:ind w:left="113"/>
              <w:jc w:val="right"/>
              <w:rPr>
                <w:rFonts w:cs="Arial"/>
                <w:color w:val="000000"/>
              </w:rPr>
            </w:pPr>
            <w:r w:rsidRPr="00B65D25">
              <w:rPr>
                <w:rFonts w:cs="Arial"/>
                <w:color w:val="000000"/>
              </w:rPr>
              <w:t>17.099,9</w:t>
            </w:r>
          </w:p>
        </w:tc>
        <w:tc>
          <w:tcPr>
            <w:tcW w:w="1418" w:type="dxa"/>
            <w:vAlign w:val="bottom"/>
          </w:tcPr>
          <w:p w14:paraId="24856D8F" w14:textId="10F53E05" w:rsidR="00795D56" w:rsidRPr="00843561" w:rsidRDefault="00795D56" w:rsidP="00795D56">
            <w:pPr>
              <w:spacing w:before="0" w:after="0"/>
              <w:ind w:left="113"/>
              <w:jc w:val="right"/>
              <w:rPr>
                <w:rFonts w:cs="Arial"/>
                <w:color w:val="000000"/>
              </w:rPr>
            </w:pPr>
            <w:r w:rsidRPr="00391903">
              <w:rPr>
                <w:rFonts w:cs="Arial"/>
                <w:color w:val="000000"/>
              </w:rPr>
              <w:t>17.651,04</w:t>
            </w:r>
          </w:p>
        </w:tc>
        <w:tc>
          <w:tcPr>
            <w:tcW w:w="1417" w:type="dxa"/>
            <w:vAlign w:val="bottom"/>
          </w:tcPr>
          <w:p w14:paraId="478BCD7E" w14:textId="0264FA32" w:rsidR="00795D56" w:rsidRPr="00391903" w:rsidRDefault="00795D56" w:rsidP="00795D56">
            <w:pPr>
              <w:spacing w:before="0" w:after="0"/>
              <w:ind w:left="113"/>
              <w:jc w:val="right"/>
              <w:rPr>
                <w:rFonts w:cs="Arial"/>
                <w:color w:val="000000"/>
              </w:rPr>
            </w:pPr>
            <w:r w:rsidRPr="00795D56">
              <w:rPr>
                <w:rFonts w:cs="Arial"/>
                <w:color w:val="000000"/>
              </w:rPr>
              <w:t>18</w:t>
            </w:r>
            <w:r>
              <w:rPr>
                <w:rFonts w:cs="Arial"/>
                <w:color w:val="000000"/>
              </w:rPr>
              <w:t>.</w:t>
            </w:r>
            <w:r w:rsidRPr="00795D56">
              <w:rPr>
                <w:rFonts w:cs="Arial"/>
                <w:color w:val="000000"/>
              </w:rPr>
              <w:t>235,43</w:t>
            </w:r>
          </w:p>
        </w:tc>
      </w:tr>
      <w:tr w:rsidR="00795D56" w:rsidRPr="00037A46" w14:paraId="1BF711F2" w14:textId="595737AF" w:rsidTr="00391903">
        <w:trPr>
          <w:trHeight w:val="300"/>
          <w:jc w:val="center"/>
        </w:trPr>
        <w:tc>
          <w:tcPr>
            <w:tcW w:w="1163" w:type="dxa"/>
            <w:shd w:val="clear" w:color="auto" w:fill="C0C0C0"/>
            <w:noWrap/>
            <w:vAlign w:val="bottom"/>
          </w:tcPr>
          <w:p w14:paraId="3787A850" w14:textId="77777777" w:rsidR="00795D56" w:rsidRPr="00037A46" w:rsidRDefault="00795D56" w:rsidP="00795D56">
            <w:pPr>
              <w:spacing w:before="0" w:after="0"/>
              <w:ind w:hanging="764"/>
              <w:jc w:val="right"/>
              <w:rPr>
                <w:b/>
                <w:bCs/>
                <w:lang w:val="en-US"/>
              </w:rPr>
            </w:pPr>
            <w:r w:rsidRPr="00037A46">
              <w:rPr>
                <w:b/>
                <w:bCs/>
                <w:lang w:val="en-US"/>
              </w:rPr>
              <w:t>9</w:t>
            </w:r>
          </w:p>
        </w:tc>
        <w:tc>
          <w:tcPr>
            <w:tcW w:w="1539" w:type="dxa"/>
            <w:tcBorders>
              <w:top w:val="nil"/>
              <w:left w:val="nil"/>
              <w:bottom w:val="nil"/>
              <w:right w:val="single" w:sz="4" w:space="0" w:color="auto"/>
            </w:tcBorders>
            <w:noWrap/>
            <w:vAlign w:val="bottom"/>
          </w:tcPr>
          <w:p w14:paraId="6A50DB87" w14:textId="48ADFA4E"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430,93</w:t>
            </w:r>
          </w:p>
        </w:tc>
        <w:tc>
          <w:tcPr>
            <w:tcW w:w="1276" w:type="dxa"/>
            <w:tcBorders>
              <w:top w:val="nil"/>
              <w:left w:val="single" w:sz="4" w:space="0" w:color="auto"/>
              <w:bottom w:val="nil"/>
              <w:right w:val="single" w:sz="4" w:space="0" w:color="auto"/>
            </w:tcBorders>
            <w:noWrap/>
            <w:vAlign w:val="bottom"/>
          </w:tcPr>
          <w:p w14:paraId="3B02BB69" w14:textId="50FA53E4"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608,72</w:t>
            </w:r>
          </w:p>
        </w:tc>
        <w:tc>
          <w:tcPr>
            <w:tcW w:w="1399" w:type="dxa"/>
            <w:tcBorders>
              <w:top w:val="nil"/>
              <w:left w:val="single" w:sz="4" w:space="0" w:color="auto"/>
              <w:bottom w:val="nil"/>
              <w:right w:val="single" w:sz="4" w:space="0" w:color="auto"/>
            </w:tcBorders>
            <w:noWrap/>
            <w:vAlign w:val="bottom"/>
          </w:tcPr>
          <w:p w14:paraId="72DC7E2A" w14:textId="07C0DBEE"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950,58</w:t>
            </w:r>
          </w:p>
        </w:tc>
        <w:tc>
          <w:tcPr>
            <w:tcW w:w="1417" w:type="dxa"/>
            <w:vAlign w:val="bottom"/>
          </w:tcPr>
          <w:p w14:paraId="1464B1AF" w14:textId="66601395" w:rsidR="00795D56" w:rsidRPr="00843561" w:rsidRDefault="00795D56" w:rsidP="00795D56">
            <w:pPr>
              <w:spacing w:before="0" w:after="0"/>
              <w:ind w:left="113"/>
              <w:jc w:val="right"/>
              <w:rPr>
                <w:rFonts w:cs="Arial"/>
                <w:color w:val="000000"/>
              </w:rPr>
            </w:pPr>
            <w:r w:rsidRPr="008935E3">
              <w:rPr>
                <w:rFonts w:cs="Arial"/>
                <w:color w:val="000000"/>
              </w:rPr>
              <w:t>16</w:t>
            </w:r>
            <w:r>
              <w:rPr>
                <w:rFonts w:cs="Arial"/>
                <w:color w:val="000000"/>
              </w:rPr>
              <w:t>.</w:t>
            </w:r>
            <w:r w:rsidRPr="008935E3">
              <w:rPr>
                <w:rFonts w:cs="Arial"/>
                <w:color w:val="000000"/>
              </w:rPr>
              <w:t>379,48</w:t>
            </w:r>
          </w:p>
        </w:tc>
        <w:tc>
          <w:tcPr>
            <w:tcW w:w="1418" w:type="dxa"/>
            <w:vAlign w:val="bottom"/>
          </w:tcPr>
          <w:p w14:paraId="684B4D23" w14:textId="5BF51795" w:rsidR="00795D56" w:rsidRPr="00843561" w:rsidRDefault="00795D56" w:rsidP="00795D56">
            <w:pPr>
              <w:spacing w:before="0" w:after="0"/>
              <w:ind w:left="113"/>
              <w:jc w:val="right"/>
              <w:rPr>
                <w:rFonts w:cs="Arial"/>
                <w:color w:val="000000"/>
              </w:rPr>
            </w:pPr>
            <w:r w:rsidRPr="00B65D25">
              <w:rPr>
                <w:rFonts w:cs="Arial"/>
                <w:color w:val="000000"/>
              </w:rPr>
              <w:t>16.826,62</w:t>
            </w:r>
          </w:p>
        </w:tc>
        <w:tc>
          <w:tcPr>
            <w:tcW w:w="1559" w:type="dxa"/>
            <w:vAlign w:val="bottom"/>
          </w:tcPr>
          <w:p w14:paraId="31F3B673" w14:textId="120D7AE9" w:rsidR="00795D56" w:rsidRPr="00843561" w:rsidRDefault="00795D56" w:rsidP="00795D56">
            <w:pPr>
              <w:spacing w:before="0" w:after="0"/>
              <w:ind w:left="113"/>
              <w:jc w:val="right"/>
              <w:rPr>
                <w:rFonts w:cs="Arial"/>
                <w:color w:val="000000"/>
              </w:rPr>
            </w:pPr>
            <w:r w:rsidRPr="00B65D25">
              <w:rPr>
                <w:rFonts w:cs="Arial"/>
                <w:color w:val="000000"/>
              </w:rPr>
              <w:t>17.291,14</w:t>
            </w:r>
          </w:p>
        </w:tc>
        <w:tc>
          <w:tcPr>
            <w:tcW w:w="1418" w:type="dxa"/>
            <w:vAlign w:val="bottom"/>
          </w:tcPr>
          <w:p w14:paraId="0B2B7C2D" w14:textId="2B590F19" w:rsidR="00795D56" w:rsidRPr="00843561" w:rsidRDefault="00795D56" w:rsidP="00795D56">
            <w:pPr>
              <w:spacing w:before="0" w:after="0"/>
              <w:ind w:left="113"/>
              <w:jc w:val="right"/>
              <w:rPr>
                <w:rFonts w:cs="Arial"/>
                <w:color w:val="000000"/>
              </w:rPr>
            </w:pPr>
            <w:r w:rsidRPr="00391903">
              <w:rPr>
                <w:rFonts w:cs="Arial"/>
                <w:color w:val="000000"/>
              </w:rPr>
              <w:t>17.848,5</w:t>
            </w:r>
          </w:p>
        </w:tc>
        <w:tc>
          <w:tcPr>
            <w:tcW w:w="1417" w:type="dxa"/>
            <w:vAlign w:val="bottom"/>
          </w:tcPr>
          <w:p w14:paraId="02001769" w14:textId="76DF0210" w:rsidR="00795D56" w:rsidRPr="00391903" w:rsidRDefault="00795D56" w:rsidP="00795D56">
            <w:pPr>
              <w:spacing w:before="0" w:after="0"/>
              <w:ind w:left="113"/>
              <w:jc w:val="right"/>
              <w:rPr>
                <w:rFonts w:cs="Arial"/>
                <w:color w:val="000000"/>
              </w:rPr>
            </w:pPr>
            <w:r w:rsidRPr="00795D56">
              <w:rPr>
                <w:rFonts w:cs="Arial"/>
                <w:color w:val="000000"/>
              </w:rPr>
              <w:t>18</w:t>
            </w:r>
            <w:r>
              <w:rPr>
                <w:rFonts w:cs="Arial"/>
                <w:color w:val="000000"/>
              </w:rPr>
              <w:t>.</w:t>
            </w:r>
            <w:r w:rsidRPr="00795D56">
              <w:rPr>
                <w:rFonts w:cs="Arial"/>
                <w:color w:val="000000"/>
              </w:rPr>
              <w:t>440,66</w:t>
            </w:r>
          </w:p>
        </w:tc>
      </w:tr>
      <w:tr w:rsidR="00795D56" w:rsidRPr="00037A46" w14:paraId="0E0D4C70" w14:textId="588EBAA9" w:rsidTr="00391903">
        <w:trPr>
          <w:trHeight w:val="300"/>
          <w:jc w:val="center"/>
        </w:trPr>
        <w:tc>
          <w:tcPr>
            <w:tcW w:w="1163" w:type="dxa"/>
            <w:shd w:val="clear" w:color="auto" w:fill="C0C0C0"/>
            <w:noWrap/>
            <w:vAlign w:val="bottom"/>
          </w:tcPr>
          <w:p w14:paraId="70781FBE" w14:textId="77777777" w:rsidR="00795D56" w:rsidRPr="00037A46" w:rsidRDefault="00795D56" w:rsidP="00795D56">
            <w:pPr>
              <w:spacing w:before="0" w:after="0"/>
              <w:ind w:hanging="764"/>
              <w:jc w:val="right"/>
              <w:rPr>
                <w:b/>
                <w:bCs/>
                <w:lang w:val="en-US"/>
              </w:rPr>
            </w:pPr>
            <w:r w:rsidRPr="00037A46">
              <w:rPr>
                <w:b/>
                <w:bCs/>
                <w:lang w:val="en-US"/>
              </w:rPr>
              <w:t>10</w:t>
            </w:r>
          </w:p>
        </w:tc>
        <w:tc>
          <w:tcPr>
            <w:tcW w:w="1539" w:type="dxa"/>
            <w:tcBorders>
              <w:top w:val="nil"/>
              <w:left w:val="nil"/>
              <w:bottom w:val="nil"/>
              <w:right w:val="single" w:sz="4" w:space="0" w:color="auto"/>
            </w:tcBorders>
            <w:noWrap/>
            <w:vAlign w:val="bottom"/>
          </w:tcPr>
          <w:p w14:paraId="4B66AA05" w14:textId="55685595"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571,28</w:t>
            </w:r>
          </w:p>
        </w:tc>
        <w:tc>
          <w:tcPr>
            <w:tcW w:w="1276" w:type="dxa"/>
            <w:tcBorders>
              <w:top w:val="nil"/>
              <w:left w:val="single" w:sz="4" w:space="0" w:color="auto"/>
              <w:bottom w:val="nil"/>
              <w:right w:val="single" w:sz="4" w:space="0" w:color="auto"/>
            </w:tcBorders>
            <w:noWrap/>
            <w:vAlign w:val="bottom"/>
          </w:tcPr>
          <w:p w14:paraId="3C954E2B" w14:textId="4EF2BAEF"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749,07</w:t>
            </w:r>
          </w:p>
        </w:tc>
        <w:tc>
          <w:tcPr>
            <w:tcW w:w="1399" w:type="dxa"/>
            <w:tcBorders>
              <w:top w:val="nil"/>
              <w:left w:val="single" w:sz="4" w:space="0" w:color="auto"/>
              <w:bottom w:val="nil"/>
              <w:right w:val="single" w:sz="4" w:space="0" w:color="auto"/>
            </w:tcBorders>
            <w:noWrap/>
            <w:vAlign w:val="bottom"/>
          </w:tcPr>
          <w:p w14:paraId="46E4A4FB" w14:textId="0CC1E633"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102,15</w:t>
            </w:r>
          </w:p>
        </w:tc>
        <w:tc>
          <w:tcPr>
            <w:tcW w:w="1417" w:type="dxa"/>
            <w:vAlign w:val="bottom"/>
          </w:tcPr>
          <w:p w14:paraId="2C2ED784" w14:textId="0EDC17F8" w:rsidR="00795D56" w:rsidRPr="00843561" w:rsidRDefault="00795D56" w:rsidP="00795D56">
            <w:pPr>
              <w:spacing w:before="0" w:after="0"/>
              <w:ind w:left="113"/>
              <w:jc w:val="right"/>
              <w:rPr>
                <w:rFonts w:cs="Arial"/>
                <w:color w:val="000000"/>
              </w:rPr>
            </w:pPr>
            <w:r w:rsidRPr="008935E3">
              <w:rPr>
                <w:rFonts w:cs="Arial"/>
                <w:color w:val="000000"/>
              </w:rPr>
              <w:t>16</w:t>
            </w:r>
            <w:r>
              <w:rPr>
                <w:rFonts w:cs="Arial"/>
                <w:color w:val="000000"/>
              </w:rPr>
              <w:t>.</w:t>
            </w:r>
            <w:r w:rsidRPr="008935E3">
              <w:rPr>
                <w:rFonts w:cs="Arial"/>
                <w:color w:val="000000"/>
              </w:rPr>
              <w:t>543,21</w:t>
            </w:r>
          </w:p>
        </w:tc>
        <w:tc>
          <w:tcPr>
            <w:tcW w:w="1418" w:type="dxa"/>
            <w:vAlign w:val="bottom"/>
          </w:tcPr>
          <w:p w14:paraId="0F797809" w14:textId="64969494" w:rsidR="00795D56" w:rsidRPr="00843561" w:rsidRDefault="00795D56" w:rsidP="00795D56">
            <w:pPr>
              <w:spacing w:before="0" w:after="0"/>
              <w:ind w:left="113"/>
              <w:jc w:val="right"/>
              <w:rPr>
                <w:rFonts w:cs="Arial"/>
                <w:color w:val="000000"/>
              </w:rPr>
            </w:pPr>
            <w:r w:rsidRPr="00B65D25">
              <w:rPr>
                <w:rFonts w:cs="Arial"/>
                <w:color w:val="000000"/>
              </w:rPr>
              <w:t>17.000,7</w:t>
            </w:r>
          </w:p>
        </w:tc>
        <w:tc>
          <w:tcPr>
            <w:tcW w:w="1559" w:type="dxa"/>
            <w:vAlign w:val="bottom"/>
          </w:tcPr>
          <w:p w14:paraId="5CA5BD89" w14:textId="2A30FDFC" w:rsidR="00795D56" w:rsidRPr="00843561" w:rsidRDefault="00795D56" w:rsidP="00795D56">
            <w:pPr>
              <w:spacing w:before="0" w:after="0"/>
              <w:ind w:left="113"/>
              <w:jc w:val="right"/>
              <w:rPr>
                <w:rFonts w:cs="Arial"/>
                <w:color w:val="000000"/>
              </w:rPr>
            </w:pPr>
            <w:r w:rsidRPr="00B65D25">
              <w:rPr>
                <w:rFonts w:cs="Arial"/>
                <w:color w:val="000000"/>
              </w:rPr>
              <w:t>17.470,01</w:t>
            </w:r>
          </w:p>
        </w:tc>
        <w:tc>
          <w:tcPr>
            <w:tcW w:w="1418" w:type="dxa"/>
            <w:vAlign w:val="bottom"/>
          </w:tcPr>
          <w:p w14:paraId="36A7855A" w14:textId="12A4FE4A" w:rsidR="00795D56" w:rsidRPr="00843561" w:rsidRDefault="00795D56" w:rsidP="00795D56">
            <w:pPr>
              <w:spacing w:before="0" w:after="0"/>
              <w:ind w:left="113"/>
              <w:jc w:val="right"/>
              <w:rPr>
                <w:rFonts w:cs="Arial"/>
                <w:color w:val="000000"/>
              </w:rPr>
            </w:pPr>
            <w:r w:rsidRPr="00391903">
              <w:rPr>
                <w:rFonts w:cs="Arial"/>
                <w:color w:val="000000"/>
              </w:rPr>
              <w:t>18.033,25</w:t>
            </w:r>
          </w:p>
        </w:tc>
        <w:tc>
          <w:tcPr>
            <w:tcW w:w="1417" w:type="dxa"/>
            <w:vAlign w:val="bottom"/>
          </w:tcPr>
          <w:p w14:paraId="769BC2FB" w14:textId="645F1EF7" w:rsidR="00795D56" w:rsidRPr="00391903" w:rsidRDefault="00795D56" w:rsidP="00795D56">
            <w:pPr>
              <w:spacing w:before="0" w:after="0"/>
              <w:ind w:left="113"/>
              <w:jc w:val="right"/>
              <w:rPr>
                <w:rFonts w:cs="Arial"/>
                <w:color w:val="000000"/>
              </w:rPr>
            </w:pPr>
            <w:r w:rsidRPr="00795D56">
              <w:rPr>
                <w:rFonts w:cs="Arial"/>
                <w:color w:val="000000"/>
              </w:rPr>
              <w:t>18</w:t>
            </w:r>
            <w:r>
              <w:rPr>
                <w:rFonts w:cs="Arial"/>
                <w:color w:val="000000"/>
              </w:rPr>
              <w:t>.</w:t>
            </w:r>
            <w:r w:rsidRPr="00795D56">
              <w:rPr>
                <w:rFonts w:cs="Arial"/>
                <w:color w:val="000000"/>
              </w:rPr>
              <w:t>632,71</w:t>
            </w:r>
          </w:p>
        </w:tc>
      </w:tr>
      <w:tr w:rsidR="00795D56" w:rsidRPr="00037A46" w14:paraId="6029DD86" w14:textId="50940301" w:rsidTr="00391903">
        <w:trPr>
          <w:trHeight w:val="300"/>
          <w:jc w:val="center"/>
        </w:trPr>
        <w:tc>
          <w:tcPr>
            <w:tcW w:w="1163" w:type="dxa"/>
            <w:shd w:val="clear" w:color="auto" w:fill="C0C0C0"/>
            <w:noWrap/>
            <w:vAlign w:val="bottom"/>
          </w:tcPr>
          <w:p w14:paraId="2F3A2461" w14:textId="77777777" w:rsidR="00795D56" w:rsidRPr="00037A46" w:rsidRDefault="00795D56" w:rsidP="00795D56">
            <w:pPr>
              <w:spacing w:before="0" w:after="0"/>
              <w:ind w:hanging="764"/>
              <w:jc w:val="right"/>
              <w:rPr>
                <w:b/>
                <w:bCs/>
                <w:lang w:val="en-US"/>
              </w:rPr>
            </w:pPr>
            <w:r w:rsidRPr="00037A46">
              <w:rPr>
                <w:b/>
                <w:bCs/>
                <w:lang w:val="en-US"/>
              </w:rPr>
              <w:t>11</w:t>
            </w:r>
          </w:p>
        </w:tc>
        <w:tc>
          <w:tcPr>
            <w:tcW w:w="1539" w:type="dxa"/>
            <w:tcBorders>
              <w:top w:val="nil"/>
              <w:left w:val="nil"/>
              <w:bottom w:val="nil"/>
              <w:right w:val="single" w:sz="4" w:space="0" w:color="auto"/>
            </w:tcBorders>
            <w:noWrap/>
            <w:vAlign w:val="bottom"/>
          </w:tcPr>
          <w:p w14:paraId="64925FD9" w14:textId="1EA80767"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702,31</w:t>
            </w:r>
          </w:p>
        </w:tc>
        <w:tc>
          <w:tcPr>
            <w:tcW w:w="1276" w:type="dxa"/>
            <w:tcBorders>
              <w:top w:val="nil"/>
              <w:left w:val="single" w:sz="4" w:space="0" w:color="auto"/>
              <w:bottom w:val="nil"/>
              <w:right w:val="single" w:sz="4" w:space="0" w:color="auto"/>
            </w:tcBorders>
            <w:noWrap/>
            <w:vAlign w:val="bottom"/>
          </w:tcPr>
          <w:p w14:paraId="5E73F407" w14:textId="4A0F7B1C"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932,27</w:t>
            </w:r>
          </w:p>
        </w:tc>
        <w:tc>
          <w:tcPr>
            <w:tcW w:w="1399" w:type="dxa"/>
            <w:tcBorders>
              <w:top w:val="nil"/>
              <w:left w:val="single" w:sz="4" w:space="0" w:color="auto"/>
              <w:bottom w:val="nil"/>
              <w:right w:val="single" w:sz="4" w:space="0" w:color="auto"/>
            </w:tcBorders>
            <w:noWrap/>
            <w:vAlign w:val="bottom"/>
          </w:tcPr>
          <w:p w14:paraId="21659579" w14:textId="05A8DC01"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296,09</w:t>
            </w:r>
          </w:p>
        </w:tc>
        <w:tc>
          <w:tcPr>
            <w:tcW w:w="1417" w:type="dxa"/>
            <w:vAlign w:val="bottom"/>
          </w:tcPr>
          <w:p w14:paraId="79D86729" w14:textId="2C903A98" w:rsidR="00795D56" w:rsidRPr="00843561" w:rsidRDefault="00795D56" w:rsidP="00795D56">
            <w:pPr>
              <w:spacing w:before="0" w:after="0"/>
              <w:ind w:left="113"/>
              <w:jc w:val="right"/>
              <w:rPr>
                <w:rFonts w:cs="Arial"/>
                <w:color w:val="000000"/>
              </w:rPr>
            </w:pPr>
            <w:r w:rsidRPr="008935E3">
              <w:rPr>
                <w:rFonts w:cs="Arial"/>
                <w:color w:val="000000"/>
              </w:rPr>
              <w:t>16</w:t>
            </w:r>
            <w:r>
              <w:rPr>
                <w:rFonts w:cs="Arial"/>
                <w:color w:val="000000"/>
              </w:rPr>
              <w:t>.</w:t>
            </w:r>
            <w:r w:rsidRPr="008935E3">
              <w:rPr>
                <w:rFonts w:cs="Arial"/>
                <w:color w:val="000000"/>
              </w:rPr>
              <w:t>748,58</w:t>
            </w:r>
          </w:p>
        </w:tc>
        <w:tc>
          <w:tcPr>
            <w:tcW w:w="1418" w:type="dxa"/>
            <w:vAlign w:val="bottom"/>
          </w:tcPr>
          <w:p w14:paraId="61FFF9AD" w14:textId="7FCEEFB7" w:rsidR="00795D56" w:rsidRPr="00843561" w:rsidRDefault="00795D56" w:rsidP="00795D56">
            <w:pPr>
              <w:spacing w:before="0" w:after="0"/>
              <w:ind w:left="113"/>
              <w:jc w:val="right"/>
              <w:rPr>
                <w:rFonts w:cs="Arial"/>
                <w:color w:val="000000"/>
              </w:rPr>
            </w:pPr>
            <w:r w:rsidRPr="00B65D25">
              <w:rPr>
                <w:rFonts w:cs="Arial"/>
                <w:color w:val="000000"/>
              </w:rPr>
              <w:t>17.215,72</w:t>
            </w:r>
          </w:p>
        </w:tc>
        <w:tc>
          <w:tcPr>
            <w:tcW w:w="1559" w:type="dxa"/>
            <w:vAlign w:val="bottom"/>
          </w:tcPr>
          <w:p w14:paraId="07BF5B13" w14:textId="348C6F02" w:rsidR="00795D56" w:rsidRPr="00843561" w:rsidRDefault="00795D56" w:rsidP="00795D56">
            <w:pPr>
              <w:spacing w:before="0" w:after="0"/>
              <w:ind w:left="113"/>
              <w:jc w:val="right"/>
              <w:rPr>
                <w:rFonts w:cs="Arial"/>
                <w:color w:val="000000"/>
              </w:rPr>
            </w:pPr>
            <w:r w:rsidRPr="00B65D25">
              <w:rPr>
                <w:rFonts w:cs="Arial"/>
                <w:color w:val="000000"/>
              </w:rPr>
              <w:t>17.689,56</w:t>
            </w:r>
          </w:p>
        </w:tc>
        <w:tc>
          <w:tcPr>
            <w:tcW w:w="1418" w:type="dxa"/>
            <w:vAlign w:val="bottom"/>
          </w:tcPr>
          <w:p w14:paraId="2E0F65DE" w14:textId="5EBC05F1" w:rsidR="00795D56" w:rsidRPr="00843561" w:rsidRDefault="00795D56" w:rsidP="00795D56">
            <w:pPr>
              <w:spacing w:before="0" w:after="0"/>
              <w:ind w:left="113"/>
              <w:jc w:val="right"/>
              <w:rPr>
                <w:rFonts w:cs="Arial"/>
                <w:color w:val="000000"/>
              </w:rPr>
            </w:pPr>
            <w:r w:rsidRPr="00391903">
              <w:rPr>
                <w:rFonts w:cs="Arial"/>
                <w:color w:val="000000"/>
              </w:rPr>
              <w:t>18.258,2</w:t>
            </w:r>
          </w:p>
        </w:tc>
        <w:tc>
          <w:tcPr>
            <w:tcW w:w="1417" w:type="dxa"/>
            <w:vAlign w:val="bottom"/>
          </w:tcPr>
          <w:p w14:paraId="594425E3" w14:textId="3033E3F1" w:rsidR="00795D56" w:rsidRPr="00391903" w:rsidRDefault="00795D56" w:rsidP="00795D56">
            <w:pPr>
              <w:spacing w:before="0" w:after="0"/>
              <w:ind w:left="113"/>
              <w:jc w:val="right"/>
              <w:rPr>
                <w:rFonts w:cs="Arial"/>
                <w:color w:val="000000"/>
              </w:rPr>
            </w:pPr>
            <w:r w:rsidRPr="00795D56">
              <w:rPr>
                <w:rFonts w:cs="Arial"/>
                <w:color w:val="000000"/>
              </w:rPr>
              <w:t>18</w:t>
            </w:r>
            <w:r>
              <w:rPr>
                <w:rFonts w:cs="Arial"/>
                <w:color w:val="000000"/>
              </w:rPr>
              <w:t>.</w:t>
            </w:r>
            <w:r w:rsidRPr="00795D56">
              <w:rPr>
                <w:rFonts w:cs="Arial"/>
                <w:color w:val="000000"/>
              </w:rPr>
              <w:t>812,12</w:t>
            </w:r>
          </w:p>
        </w:tc>
      </w:tr>
      <w:tr w:rsidR="00795D56" w:rsidRPr="00037A46" w14:paraId="538387F1" w14:textId="266E5E37" w:rsidTr="00391903">
        <w:trPr>
          <w:trHeight w:val="300"/>
          <w:jc w:val="center"/>
        </w:trPr>
        <w:tc>
          <w:tcPr>
            <w:tcW w:w="1163" w:type="dxa"/>
            <w:shd w:val="clear" w:color="auto" w:fill="C0C0C0"/>
            <w:noWrap/>
            <w:vAlign w:val="bottom"/>
          </w:tcPr>
          <w:p w14:paraId="41243951" w14:textId="77777777" w:rsidR="00795D56" w:rsidRPr="00037A46" w:rsidRDefault="00795D56" w:rsidP="00795D56">
            <w:pPr>
              <w:spacing w:before="0" w:after="0"/>
              <w:ind w:hanging="764"/>
              <w:jc w:val="right"/>
              <w:rPr>
                <w:b/>
                <w:bCs/>
                <w:lang w:val="en-US"/>
              </w:rPr>
            </w:pPr>
            <w:r w:rsidRPr="00037A46">
              <w:rPr>
                <w:b/>
                <w:bCs/>
                <w:lang w:val="en-US"/>
              </w:rPr>
              <w:t>12</w:t>
            </w:r>
          </w:p>
        </w:tc>
        <w:tc>
          <w:tcPr>
            <w:tcW w:w="1539" w:type="dxa"/>
            <w:tcBorders>
              <w:top w:val="nil"/>
              <w:left w:val="nil"/>
              <w:bottom w:val="nil"/>
              <w:right w:val="single" w:sz="4" w:space="0" w:color="auto"/>
            </w:tcBorders>
            <w:noWrap/>
            <w:vAlign w:val="bottom"/>
          </w:tcPr>
          <w:p w14:paraId="25B7B7E3" w14:textId="2F30BED4"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824,42</w:t>
            </w:r>
          </w:p>
        </w:tc>
        <w:tc>
          <w:tcPr>
            <w:tcW w:w="1276" w:type="dxa"/>
            <w:tcBorders>
              <w:top w:val="nil"/>
              <w:left w:val="single" w:sz="4" w:space="0" w:color="auto"/>
              <w:bottom w:val="nil"/>
              <w:right w:val="single" w:sz="4" w:space="0" w:color="auto"/>
            </w:tcBorders>
            <w:noWrap/>
            <w:vAlign w:val="bottom"/>
          </w:tcPr>
          <w:p w14:paraId="141642AE" w14:textId="35138CDB"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054,44</w:t>
            </w:r>
          </w:p>
        </w:tc>
        <w:tc>
          <w:tcPr>
            <w:tcW w:w="1399" w:type="dxa"/>
            <w:tcBorders>
              <w:top w:val="nil"/>
              <w:left w:val="single" w:sz="4" w:space="0" w:color="auto"/>
              <w:bottom w:val="nil"/>
              <w:right w:val="single" w:sz="4" w:space="0" w:color="auto"/>
            </w:tcBorders>
            <w:noWrap/>
            <w:vAlign w:val="bottom"/>
          </w:tcPr>
          <w:p w14:paraId="3508BE11" w14:textId="3A0CC74D"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428,13</w:t>
            </w:r>
          </w:p>
        </w:tc>
        <w:tc>
          <w:tcPr>
            <w:tcW w:w="1417" w:type="dxa"/>
            <w:vAlign w:val="bottom"/>
          </w:tcPr>
          <w:p w14:paraId="0EB67502" w14:textId="3424A738" w:rsidR="00795D56" w:rsidRPr="00843561" w:rsidRDefault="00795D56" w:rsidP="00795D56">
            <w:pPr>
              <w:spacing w:before="0" w:after="0"/>
              <w:ind w:left="113"/>
              <w:jc w:val="right"/>
              <w:rPr>
                <w:rFonts w:cs="Arial"/>
                <w:color w:val="000000"/>
              </w:rPr>
            </w:pPr>
            <w:r w:rsidRPr="008935E3">
              <w:rPr>
                <w:rFonts w:cs="Arial"/>
                <w:color w:val="000000"/>
              </w:rPr>
              <w:t>16</w:t>
            </w:r>
            <w:r>
              <w:rPr>
                <w:rFonts w:cs="Arial"/>
                <w:color w:val="000000"/>
              </w:rPr>
              <w:t>.</w:t>
            </w:r>
            <w:r w:rsidRPr="008935E3">
              <w:rPr>
                <w:rFonts w:cs="Arial"/>
                <w:color w:val="000000"/>
              </w:rPr>
              <w:t>891,5</w:t>
            </w:r>
          </w:p>
        </w:tc>
        <w:tc>
          <w:tcPr>
            <w:tcW w:w="1418" w:type="dxa"/>
            <w:vAlign w:val="bottom"/>
          </w:tcPr>
          <w:p w14:paraId="70843D2C" w14:textId="40CF4CA5" w:rsidR="00795D56" w:rsidRPr="00843561" w:rsidRDefault="00795D56" w:rsidP="00795D56">
            <w:pPr>
              <w:spacing w:before="0" w:after="0"/>
              <w:ind w:left="113"/>
              <w:jc w:val="right"/>
              <w:rPr>
                <w:rFonts w:cs="Arial"/>
                <w:color w:val="000000"/>
              </w:rPr>
            </w:pPr>
            <w:r w:rsidRPr="00B65D25">
              <w:rPr>
                <w:rFonts w:cs="Arial"/>
                <w:color w:val="000000"/>
              </w:rPr>
              <w:t>17.367,7</w:t>
            </w:r>
          </w:p>
        </w:tc>
        <w:tc>
          <w:tcPr>
            <w:tcW w:w="1559" w:type="dxa"/>
            <w:vAlign w:val="bottom"/>
          </w:tcPr>
          <w:p w14:paraId="7C84061A" w14:textId="0A8B7DFD" w:rsidR="00795D56" w:rsidRPr="00843561" w:rsidRDefault="00795D56" w:rsidP="00795D56">
            <w:pPr>
              <w:spacing w:before="0" w:after="0"/>
              <w:ind w:left="113"/>
              <w:jc w:val="right"/>
              <w:rPr>
                <w:rFonts w:cs="Arial"/>
                <w:color w:val="000000"/>
              </w:rPr>
            </w:pPr>
            <w:r w:rsidRPr="00B65D25">
              <w:rPr>
                <w:rFonts w:cs="Arial"/>
                <w:color w:val="000000"/>
              </w:rPr>
              <w:t>17.845,73</w:t>
            </w:r>
          </w:p>
        </w:tc>
        <w:tc>
          <w:tcPr>
            <w:tcW w:w="1418" w:type="dxa"/>
            <w:vAlign w:val="bottom"/>
          </w:tcPr>
          <w:p w14:paraId="3136170C" w14:textId="6E3CDD11" w:rsidR="00795D56" w:rsidRPr="00843561" w:rsidRDefault="00795D56" w:rsidP="00795D56">
            <w:pPr>
              <w:spacing w:before="0" w:after="0"/>
              <w:ind w:left="113"/>
              <w:jc w:val="right"/>
              <w:rPr>
                <w:rFonts w:cs="Arial"/>
                <w:color w:val="000000"/>
              </w:rPr>
            </w:pPr>
            <w:r w:rsidRPr="00391903">
              <w:rPr>
                <w:rFonts w:cs="Arial"/>
                <w:color w:val="000000"/>
              </w:rPr>
              <w:t>18.419,44</w:t>
            </w:r>
          </w:p>
        </w:tc>
        <w:tc>
          <w:tcPr>
            <w:tcW w:w="1417" w:type="dxa"/>
            <w:vAlign w:val="bottom"/>
          </w:tcPr>
          <w:p w14:paraId="73213B45" w14:textId="51BC51D7" w:rsidR="00795D56" w:rsidRPr="00391903" w:rsidRDefault="00795D56" w:rsidP="00795D56">
            <w:pPr>
              <w:spacing w:before="0" w:after="0"/>
              <w:ind w:left="113"/>
              <w:jc w:val="right"/>
              <w:rPr>
                <w:rFonts w:cs="Arial"/>
                <w:color w:val="000000"/>
              </w:rPr>
            </w:pPr>
            <w:r w:rsidRPr="00795D56">
              <w:rPr>
                <w:rFonts w:cs="Arial"/>
                <w:color w:val="000000"/>
              </w:rPr>
              <w:t>18</w:t>
            </w:r>
            <w:r>
              <w:rPr>
                <w:rFonts w:cs="Arial"/>
                <w:color w:val="000000"/>
              </w:rPr>
              <w:t>.</w:t>
            </w:r>
            <w:r w:rsidRPr="00795D56">
              <w:rPr>
                <w:rFonts w:cs="Arial"/>
                <w:color w:val="000000"/>
              </w:rPr>
              <w:t>979,7</w:t>
            </w:r>
          </w:p>
        </w:tc>
      </w:tr>
      <w:tr w:rsidR="00795D56" w:rsidRPr="00037A46" w14:paraId="2BC9E2F6" w14:textId="5CEBB75B" w:rsidTr="00391903">
        <w:trPr>
          <w:trHeight w:val="300"/>
          <w:jc w:val="center"/>
        </w:trPr>
        <w:tc>
          <w:tcPr>
            <w:tcW w:w="1163" w:type="dxa"/>
            <w:shd w:val="clear" w:color="auto" w:fill="C0C0C0"/>
            <w:noWrap/>
            <w:vAlign w:val="bottom"/>
          </w:tcPr>
          <w:p w14:paraId="7802FC78" w14:textId="77777777" w:rsidR="00795D56" w:rsidRPr="00037A46" w:rsidRDefault="00795D56" w:rsidP="00795D56">
            <w:pPr>
              <w:spacing w:before="0" w:after="0"/>
              <w:ind w:hanging="764"/>
              <w:jc w:val="right"/>
              <w:rPr>
                <w:b/>
                <w:bCs/>
                <w:lang w:val="en-US"/>
              </w:rPr>
            </w:pPr>
            <w:r w:rsidRPr="00037A46">
              <w:rPr>
                <w:b/>
                <w:bCs/>
                <w:lang w:val="en-US"/>
              </w:rPr>
              <w:t>13</w:t>
            </w:r>
          </w:p>
        </w:tc>
        <w:tc>
          <w:tcPr>
            <w:tcW w:w="1539" w:type="dxa"/>
            <w:tcBorders>
              <w:top w:val="nil"/>
              <w:left w:val="nil"/>
              <w:bottom w:val="nil"/>
              <w:right w:val="single" w:sz="4" w:space="0" w:color="auto"/>
            </w:tcBorders>
            <w:noWrap/>
            <w:vAlign w:val="bottom"/>
          </w:tcPr>
          <w:p w14:paraId="259C7238" w14:textId="7C159EA2"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938,28</w:t>
            </w:r>
          </w:p>
        </w:tc>
        <w:tc>
          <w:tcPr>
            <w:tcW w:w="1276" w:type="dxa"/>
            <w:tcBorders>
              <w:top w:val="nil"/>
              <w:left w:val="single" w:sz="4" w:space="0" w:color="auto"/>
              <w:bottom w:val="nil"/>
              <w:right w:val="single" w:sz="4" w:space="0" w:color="auto"/>
            </w:tcBorders>
            <w:noWrap/>
            <w:vAlign w:val="bottom"/>
          </w:tcPr>
          <w:p w14:paraId="7DD69419" w14:textId="76FF23F6"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168,37</w:t>
            </w:r>
          </w:p>
        </w:tc>
        <w:tc>
          <w:tcPr>
            <w:tcW w:w="1399" w:type="dxa"/>
            <w:tcBorders>
              <w:top w:val="nil"/>
              <w:left w:val="single" w:sz="4" w:space="0" w:color="auto"/>
              <w:bottom w:val="nil"/>
              <w:right w:val="single" w:sz="4" w:space="0" w:color="auto"/>
            </w:tcBorders>
            <w:noWrap/>
            <w:vAlign w:val="bottom"/>
          </w:tcPr>
          <w:p w14:paraId="2BFC8768" w14:textId="1746A842"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551,39</w:t>
            </w:r>
          </w:p>
        </w:tc>
        <w:tc>
          <w:tcPr>
            <w:tcW w:w="1417" w:type="dxa"/>
            <w:vAlign w:val="bottom"/>
          </w:tcPr>
          <w:p w14:paraId="6908FE37" w14:textId="7D2FEC8D" w:rsidR="00795D56" w:rsidRPr="00843561" w:rsidRDefault="00795D56" w:rsidP="00795D56">
            <w:pPr>
              <w:spacing w:before="0" w:after="0"/>
              <w:ind w:left="113"/>
              <w:jc w:val="right"/>
              <w:rPr>
                <w:rFonts w:cs="Arial"/>
                <w:color w:val="000000"/>
              </w:rPr>
            </w:pPr>
            <w:r w:rsidRPr="008935E3">
              <w:rPr>
                <w:rFonts w:cs="Arial"/>
                <w:color w:val="000000"/>
              </w:rPr>
              <w:t>17</w:t>
            </w:r>
            <w:r>
              <w:rPr>
                <w:rFonts w:cs="Arial"/>
                <w:color w:val="000000"/>
              </w:rPr>
              <w:t>.</w:t>
            </w:r>
            <w:r w:rsidRPr="008935E3">
              <w:rPr>
                <w:rFonts w:cs="Arial"/>
                <w:color w:val="000000"/>
              </w:rPr>
              <w:t>024,69</w:t>
            </w:r>
          </w:p>
        </w:tc>
        <w:tc>
          <w:tcPr>
            <w:tcW w:w="1418" w:type="dxa"/>
            <w:vAlign w:val="bottom"/>
          </w:tcPr>
          <w:p w14:paraId="530FBDAB" w14:textId="6BBC37DF" w:rsidR="00795D56" w:rsidRPr="00843561" w:rsidRDefault="00795D56" w:rsidP="00795D56">
            <w:pPr>
              <w:spacing w:before="0" w:after="0"/>
              <w:ind w:left="113"/>
              <w:jc w:val="right"/>
              <w:rPr>
                <w:rFonts w:cs="Arial"/>
                <w:color w:val="000000"/>
              </w:rPr>
            </w:pPr>
            <w:r w:rsidRPr="00B65D25">
              <w:rPr>
                <w:rFonts w:cs="Arial"/>
                <w:color w:val="000000"/>
              </w:rPr>
              <w:t>17.509,47</w:t>
            </w:r>
          </w:p>
        </w:tc>
        <w:tc>
          <w:tcPr>
            <w:tcW w:w="1559" w:type="dxa"/>
            <w:vAlign w:val="bottom"/>
          </w:tcPr>
          <w:p w14:paraId="24F3C05E" w14:textId="246D19B8" w:rsidR="00795D56" w:rsidRPr="00843561" w:rsidRDefault="00795D56" w:rsidP="00795D56">
            <w:pPr>
              <w:spacing w:before="0" w:after="0"/>
              <w:ind w:left="113"/>
              <w:jc w:val="right"/>
              <w:rPr>
                <w:rFonts w:cs="Arial"/>
                <w:color w:val="000000"/>
              </w:rPr>
            </w:pPr>
            <w:r w:rsidRPr="00B65D25">
              <w:rPr>
                <w:rFonts w:cs="Arial"/>
                <w:color w:val="000000"/>
              </w:rPr>
              <w:t>17.991,49</w:t>
            </w:r>
          </w:p>
        </w:tc>
        <w:tc>
          <w:tcPr>
            <w:tcW w:w="1418" w:type="dxa"/>
            <w:vAlign w:val="bottom"/>
          </w:tcPr>
          <w:p w14:paraId="556FCADD" w14:textId="2FF9D24F" w:rsidR="00795D56" w:rsidRPr="00843561" w:rsidRDefault="00795D56" w:rsidP="00795D56">
            <w:pPr>
              <w:spacing w:before="0" w:after="0"/>
              <w:ind w:left="113"/>
              <w:jc w:val="right"/>
              <w:rPr>
                <w:rFonts w:cs="Arial"/>
                <w:color w:val="000000"/>
              </w:rPr>
            </w:pPr>
            <w:r w:rsidRPr="00391903">
              <w:rPr>
                <w:rFonts w:cs="Arial"/>
                <w:color w:val="000000"/>
              </w:rPr>
              <w:t>18.569,93</w:t>
            </w:r>
          </w:p>
        </w:tc>
        <w:tc>
          <w:tcPr>
            <w:tcW w:w="1417" w:type="dxa"/>
            <w:vAlign w:val="bottom"/>
          </w:tcPr>
          <w:p w14:paraId="59E61079" w14:textId="409C9546" w:rsidR="00795D56" w:rsidRPr="00391903" w:rsidRDefault="00795D56" w:rsidP="00795D56">
            <w:pPr>
              <w:spacing w:before="0" w:after="0"/>
              <w:ind w:left="113"/>
              <w:jc w:val="right"/>
              <w:rPr>
                <w:rFonts w:cs="Arial"/>
                <w:color w:val="000000"/>
              </w:rPr>
            </w:pPr>
            <w:r w:rsidRPr="00795D56">
              <w:rPr>
                <w:rFonts w:cs="Arial"/>
                <w:color w:val="000000"/>
              </w:rPr>
              <w:t>19</w:t>
            </w:r>
            <w:r>
              <w:rPr>
                <w:rFonts w:cs="Arial"/>
                <w:color w:val="000000"/>
              </w:rPr>
              <w:t>.</w:t>
            </w:r>
            <w:r w:rsidRPr="00795D56">
              <w:rPr>
                <w:rFonts w:cs="Arial"/>
                <w:color w:val="000000"/>
              </w:rPr>
              <w:t>136,07</w:t>
            </w:r>
          </w:p>
        </w:tc>
      </w:tr>
      <w:tr w:rsidR="00795D56" w:rsidRPr="00037A46" w14:paraId="748BFE6F" w14:textId="6A12D9CE" w:rsidTr="00391903">
        <w:trPr>
          <w:trHeight w:val="300"/>
          <w:jc w:val="center"/>
        </w:trPr>
        <w:tc>
          <w:tcPr>
            <w:tcW w:w="1163" w:type="dxa"/>
            <w:shd w:val="clear" w:color="auto" w:fill="C0C0C0"/>
            <w:noWrap/>
            <w:vAlign w:val="bottom"/>
          </w:tcPr>
          <w:p w14:paraId="7B14C1FE" w14:textId="77777777" w:rsidR="00795D56" w:rsidRPr="00037A46" w:rsidRDefault="00795D56" w:rsidP="00795D56">
            <w:pPr>
              <w:spacing w:before="0" w:after="0"/>
              <w:ind w:hanging="764"/>
              <w:jc w:val="right"/>
              <w:rPr>
                <w:b/>
                <w:bCs/>
                <w:lang w:val="en-US"/>
              </w:rPr>
            </w:pPr>
            <w:r w:rsidRPr="00037A46">
              <w:rPr>
                <w:b/>
                <w:bCs/>
                <w:lang w:val="en-US"/>
              </w:rPr>
              <w:t>14</w:t>
            </w:r>
          </w:p>
        </w:tc>
        <w:tc>
          <w:tcPr>
            <w:tcW w:w="1539" w:type="dxa"/>
            <w:tcBorders>
              <w:top w:val="nil"/>
              <w:left w:val="nil"/>
              <w:bottom w:val="nil"/>
              <w:right w:val="single" w:sz="4" w:space="0" w:color="auto"/>
            </w:tcBorders>
            <w:noWrap/>
            <w:vAlign w:val="bottom"/>
          </w:tcPr>
          <w:p w14:paraId="66632A2D" w14:textId="6473A1F6"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044,44</w:t>
            </w:r>
          </w:p>
        </w:tc>
        <w:tc>
          <w:tcPr>
            <w:tcW w:w="1276" w:type="dxa"/>
            <w:tcBorders>
              <w:top w:val="nil"/>
              <w:left w:val="single" w:sz="4" w:space="0" w:color="auto"/>
              <w:bottom w:val="nil"/>
              <w:right w:val="single" w:sz="4" w:space="0" w:color="auto"/>
            </w:tcBorders>
            <w:noWrap/>
            <w:vAlign w:val="bottom"/>
          </w:tcPr>
          <w:p w14:paraId="0555F8C3" w14:textId="01FA363B"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274,47</w:t>
            </w:r>
          </w:p>
        </w:tc>
        <w:tc>
          <w:tcPr>
            <w:tcW w:w="1399" w:type="dxa"/>
            <w:tcBorders>
              <w:top w:val="nil"/>
              <w:left w:val="single" w:sz="4" w:space="0" w:color="auto"/>
              <w:bottom w:val="nil"/>
              <w:right w:val="single" w:sz="4" w:space="0" w:color="auto"/>
            </w:tcBorders>
            <w:noWrap/>
            <w:vAlign w:val="bottom"/>
          </w:tcPr>
          <w:p w14:paraId="4E350058" w14:textId="0CB1AE84"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666,2</w:t>
            </w:r>
          </w:p>
        </w:tc>
        <w:tc>
          <w:tcPr>
            <w:tcW w:w="1417" w:type="dxa"/>
            <w:vAlign w:val="bottom"/>
          </w:tcPr>
          <w:p w14:paraId="35C01A51" w14:textId="3292DBED" w:rsidR="00795D56" w:rsidRPr="00843561" w:rsidRDefault="00795D56" w:rsidP="00795D56">
            <w:pPr>
              <w:spacing w:before="0" w:after="0"/>
              <w:ind w:left="113"/>
              <w:jc w:val="right"/>
              <w:rPr>
                <w:rFonts w:cs="Arial"/>
                <w:color w:val="000000"/>
              </w:rPr>
            </w:pPr>
            <w:r w:rsidRPr="008935E3">
              <w:rPr>
                <w:rFonts w:cs="Arial"/>
                <w:color w:val="000000"/>
              </w:rPr>
              <w:t>17</w:t>
            </w:r>
            <w:r>
              <w:rPr>
                <w:rFonts w:cs="Arial"/>
                <w:color w:val="000000"/>
              </w:rPr>
              <w:t>.</w:t>
            </w:r>
            <w:r w:rsidRPr="008935E3">
              <w:rPr>
                <w:rFonts w:cs="Arial"/>
                <w:color w:val="000000"/>
              </w:rPr>
              <w:t>148,96</w:t>
            </w:r>
          </w:p>
        </w:tc>
        <w:tc>
          <w:tcPr>
            <w:tcW w:w="1418" w:type="dxa"/>
            <w:vAlign w:val="bottom"/>
          </w:tcPr>
          <w:p w14:paraId="0AD47D33" w14:textId="2EB84F5D" w:rsidR="00795D56" w:rsidRPr="00843561" w:rsidRDefault="00795D56" w:rsidP="00795D56">
            <w:pPr>
              <w:spacing w:before="0" w:after="0"/>
              <w:ind w:left="113"/>
              <w:jc w:val="right"/>
              <w:rPr>
                <w:rFonts w:cs="Arial"/>
                <w:color w:val="000000"/>
              </w:rPr>
            </w:pPr>
            <w:r w:rsidRPr="00B65D25">
              <w:rPr>
                <w:rFonts w:cs="Arial"/>
                <w:color w:val="000000"/>
              </w:rPr>
              <w:t>17.641,78</w:t>
            </w:r>
          </w:p>
        </w:tc>
        <w:tc>
          <w:tcPr>
            <w:tcW w:w="1559" w:type="dxa"/>
            <w:vAlign w:val="bottom"/>
          </w:tcPr>
          <w:p w14:paraId="2A9A59F7" w14:textId="08807446" w:rsidR="00795D56" w:rsidRPr="00843561" w:rsidRDefault="00795D56" w:rsidP="00795D56">
            <w:pPr>
              <w:spacing w:before="0" w:after="0"/>
              <w:ind w:left="113"/>
              <w:jc w:val="right"/>
              <w:rPr>
                <w:rFonts w:cs="Arial"/>
                <w:color w:val="000000"/>
              </w:rPr>
            </w:pPr>
            <w:r w:rsidRPr="00B65D25">
              <w:rPr>
                <w:rFonts w:cs="Arial"/>
                <w:color w:val="000000"/>
              </w:rPr>
              <w:t>18.127,38</w:t>
            </w:r>
          </w:p>
        </w:tc>
        <w:tc>
          <w:tcPr>
            <w:tcW w:w="1418" w:type="dxa"/>
            <w:vAlign w:val="bottom"/>
          </w:tcPr>
          <w:p w14:paraId="2433DB7F" w14:textId="1E05E15D" w:rsidR="00795D56" w:rsidRPr="00843561" w:rsidRDefault="00795D56" w:rsidP="00795D56">
            <w:pPr>
              <w:spacing w:before="0" w:after="0"/>
              <w:ind w:left="113"/>
              <w:jc w:val="right"/>
              <w:rPr>
                <w:rFonts w:cs="Arial"/>
                <w:color w:val="000000"/>
              </w:rPr>
            </w:pPr>
            <w:r w:rsidRPr="00391903">
              <w:rPr>
                <w:rFonts w:cs="Arial"/>
                <w:color w:val="000000"/>
              </w:rPr>
              <w:t>18.710,28</w:t>
            </w:r>
          </w:p>
        </w:tc>
        <w:tc>
          <w:tcPr>
            <w:tcW w:w="1417" w:type="dxa"/>
            <w:vAlign w:val="bottom"/>
          </w:tcPr>
          <w:p w14:paraId="703AAA98" w14:textId="2CB422C1" w:rsidR="00795D56" w:rsidRPr="00391903" w:rsidRDefault="00795D56" w:rsidP="00795D56">
            <w:pPr>
              <w:spacing w:before="0" w:after="0"/>
              <w:ind w:left="113"/>
              <w:jc w:val="right"/>
              <w:rPr>
                <w:rFonts w:cs="Arial"/>
                <w:color w:val="000000"/>
              </w:rPr>
            </w:pPr>
            <w:r w:rsidRPr="00795D56">
              <w:rPr>
                <w:rFonts w:cs="Arial"/>
                <w:color w:val="000000"/>
              </w:rPr>
              <w:t>19</w:t>
            </w:r>
            <w:r>
              <w:rPr>
                <w:rFonts w:cs="Arial"/>
                <w:color w:val="000000"/>
              </w:rPr>
              <w:t>.</w:t>
            </w:r>
            <w:r w:rsidRPr="00795D56">
              <w:rPr>
                <w:rFonts w:cs="Arial"/>
                <w:color w:val="000000"/>
              </w:rPr>
              <w:t>281,9</w:t>
            </w:r>
          </w:p>
        </w:tc>
      </w:tr>
      <w:tr w:rsidR="00795D56" w:rsidRPr="00037A46" w14:paraId="2DBE0B8C" w14:textId="15AF859A" w:rsidTr="00391903">
        <w:trPr>
          <w:trHeight w:val="300"/>
          <w:jc w:val="center"/>
        </w:trPr>
        <w:tc>
          <w:tcPr>
            <w:tcW w:w="1163" w:type="dxa"/>
            <w:shd w:val="clear" w:color="auto" w:fill="C0C0C0"/>
            <w:noWrap/>
            <w:vAlign w:val="bottom"/>
          </w:tcPr>
          <w:p w14:paraId="39ACD545" w14:textId="77777777" w:rsidR="00795D56" w:rsidRPr="00037A46" w:rsidRDefault="00795D56" w:rsidP="00795D56">
            <w:pPr>
              <w:spacing w:before="0" w:after="0"/>
              <w:ind w:hanging="764"/>
              <w:jc w:val="right"/>
              <w:rPr>
                <w:b/>
                <w:bCs/>
                <w:lang w:val="en-US"/>
              </w:rPr>
            </w:pPr>
            <w:r w:rsidRPr="00037A46">
              <w:rPr>
                <w:b/>
                <w:bCs/>
                <w:lang w:val="en-US"/>
              </w:rPr>
              <w:t>15</w:t>
            </w:r>
          </w:p>
        </w:tc>
        <w:tc>
          <w:tcPr>
            <w:tcW w:w="1539" w:type="dxa"/>
            <w:tcBorders>
              <w:top w:val="nil"/>
              <w:left w:val="nil"/>
              <w:bottom w:val="nil"/>
              <w:right w:val="single" w:sz="4" w:space="0" w:color="auto"/>
            </w:tcBorders>
            <w:noWrap/>
            <w:vAlign w:val="bottom"/>
          </w:tcPr>
          <w:p w14:paraId="367E961A" w14:textId="431956F9"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143,24</w:t>
            </w:r>
          </w:p>
        </w:tc>
        <w:tc>
          <w:tcPr>
            <w:tcW w:w="1276" w:type="dxa"/>
            <w:tcBorders>
              <w:top w:val="nil"/>
              <w:left w:val="single" w:sz="4" w:space="0" w:color="auto"/>
              <w:bottom w:val="nil"/>
              <w:right w:val="single" w:sz="4" w:space="0" w:color="auto"/>
            </w:tcBorders>
            <w:noWrap/>
            <w:vAlign w:val="bottom"/>
          </w:tcPr>
          <w:p w14:paraId="31513BB6" w14:textId="1DF959E4"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373,26</w:t>
            </w:r>
          </w:p>
        </w:tc>
        <w:tc>
          <w:tcPr>
            <w:tcW w:w="1399" w:type="dxa"/>
            <w:tcBorders>
              <w:top w:val="nil"/>
              <w:left w:val="single" w:sz="4" w:space="0" w:color="auto"/>
              <w:bottom w:val="nil"/>
              <w:right w:val="single" w:sz="4" w:space="0" w:color="auto"/>
            </w:tcBorders>
            <w:noWrap/>
            <w:vAlign w:val="bottom"/>
          </w:tcPr>
          <w:p w14:paraId="146C8DE9" w14:textId="1780BCD2"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773,24</w:t>
            </w:r>
          </w:p>
        </w:tc>
        <w:tc>
          <w:tcPr>
            <w:tcW w:w="1417" w:type="dxa"/>
            <w:vAlign w:val="bottom"/>
          </w:tcPr>
          <w:p w14:paraId="15635984" w14:textId="470BF2EE" w:rsidR="00795D56" w:rsidRPr="00843561" w:rsidRDefault="00795D56" w:rsidP="00795D56">
            <w:pPr>
              <w:spacing w:before="0" w:after="0"/>
              <w:ind w:left="113"/>
              <w:jc w:val="right"/>
              <w:rPr>
                <w:rFonts w:cs="Arial"/>
                <w:color w:val="000000"/>
              </w:rPr>
            </w:pPr>
            <w:r w:rsidRPr="008935E3">
              <w:rPr>
                <w:rFonts w:cs="Arial"/>
                <w:color w:val="000000"/>
              </w:rPr>
              <w:t>17</w:t>
            </w:r>
            <w:r>
              <w:rPr>
                <w:rFonts w:cs="Arial"/>
                <w:color w:val="000000"/>
              </w:rPr>
              <w:t>.</w:t>
            </w:r>
            <w:r w:rsidRPr="008935E3">
              <w:rPr>
                <w:rFonts w:cs="Arial"/>
                <w:color w:val="000000"/>
              </w:rPr>
              <w:t>264,78</w:t>
            </w:r>
          </w:p>
        </w:tc>
        <w:tc>
          <w:tcPr>
            <w:tcW w:w="1418" w:type="dxa"/>
            <w:vAlign w:val="bottom"/>
          </w:tcPr>
          <w:p w14:paraId="1DEA4F25" w14:textId="6FC9653E" w:rsidR="00795D56" w:rsidRPr="00843561" w:rsidRDefault="00795D56" w:rsidP="00795D56">
            <w:pPr>
              <w:spacing w:before="0" w:after="0"/>
              <w:ind w:left="113"/>
              <w:jc w:val="right"/>
              <w:rPr>
                <w:rFonts w:cs="Arial"/>
                <w:color w:val="000000"/>
              </w:rPr>
            </w:pPr>
            <w:r w:rsidRPr="00B65D25">
              <w:rPr>
                <w:rFonts w:cs="Arial"/>
                <w:color w:val="000000"/>
              </w:rPr>
              <w:t>17.765,04</w:t>
            </w:r>
          </w:p>
        </w:tc>
        <w:tc>
          <w:tcPr>
            <w:tcW w:w="1559" w:type="dxa"/>
            <w:vAlign w:val="bottom"/>
          </w:tcPr>
          <w:p w14:paraId="2DBCC1B3" w14:textId="42F95F65" w:rsidR="00795D56" w:rsidRPr="00843561" w:rsidRDefault="00795D56" w:rsidP="00795D56">
            <w:pPr>
              <w:spacing w:before="0" w:after="0"/>
              <w:ind w:left="113"/>
              <w:jc w:val="right"/>
              <w:rPr>
                <w:rFonts w:cs="Arial"/>
                <w:color w:val="000000"/>
              </w:rPr>
            </w:pPr>
            <w:r w:rsidRPr="00B65D25">
              <w:rPr>
                <w:rFonts w:cs="Arial"/>
                <w:color w:val="000000"/>
              </w:rPr>
              <w:t>18.254,15</w:t>
            </w:r>
          </w:p>
        </w:tc>
        <w:tc>
          <w:tcPr>
            <w:tcW w:w="1418" w:type="dxa"/>
            <w:vAlign w:val="bottom"/>
          </w:tcPr>
          <w:p w14:paraId="46F2ADC6" w14:textId="62A37D42" w:rsidR="00795D56" w:rsidRPr="00843561" w:rsidRDefault="00795D56" w:rsidP="00795D56">
            <w:pPr>
              <w:spacing w:before="0" w:after="0"/>
              <w:ind w:left="113"/>
              <w:jc w:val="right"/>
              <w:rPr>
                <w:rFonts w:cs="Arial"/>
                <w:color w:val="000000"/>
              </w:rPr>
            </w:pPr>
            <w:r w:rsidRPr="00391903">
              <w:rPr>
                <w:rFonts w:cs="Arial"/>
                <w:color w:val="000000"/>
              </w:rPr>
              <w:t>18.841,11</w:t>
            </w:r>
          </w:p>
        </w:tc>
        <w:tc>
          <w:tcPr>
            <w:tcW w:w="1417" w:type="dxa"/>
            <w:vAlign w:val="bottom"/>
          </w:tcPr>
          <w:p w14:paraId="09A52C81" w14:textId="15A6043B" w:rsidR="00795D56" w:rsidRPr="00391903" w:rsidRDefault="00795D56" w:rsidP="00795D56">
            <w:pPr>
              <w:spacing w:before="0" w:after="0"/>
              <w:ind w:left="113"/>
              <w:jc w:val="right"/>
              <w:rPr>
                <w:rFonts w:cs="Arial"/>
                <w:color w:val="000000"/>
              </w:rPr>
            </w:pPr>
            <w:r w:rsidRPr="00795D56">
              <w:rPr>
                <w:rFonts w:cs="Arial"/>
                <w:color w:val="000000"/>
              </w:rPr>
              <w:t>19</w:t>
            </w:r>
            <w:r>
              <w:rPr>
                <w:rFonts w:cs="Arial"/>
                <w:color w:val="000000"/>
              </w:rPr>
              <w:t>.</w:t>
            </w:r>
            <w:r w:rsidRPr="00795D56">
              <w:rPr>
                <w:rFonts w:cs="Arial"/>
                <w:color w:val="000000"/>
              </w:rPr>
              <w:t>417,86</w:t>
            </w:r>
          </w:p>
        </w:tc>
      </w:tr>
      <w:tr w:rsidR="00795D56" w:rsidRPr="00037A46" w14:paraId="2DAA0966" w14:textId="20A91640" w:rsidTr="00391903">
        <w:trPr>
          <w:trHeight w:val="300"/>
          <w:jc w:val="center"/>
        </w:trPr>
        <w:tc>
          <w:tcPr>
            <w:tcW w:w="1163" w:type="dxa"/>
            <w:shd w:val="clear" w:color="auto" w:fill="C0C0C0"/>
            <w:noWrap/>
            <w:vAlign w:val="bottom"/>
          </w:tcPr>
          <w:p w14:paraId="6ECDD0B3" w14:textId="77777777" w:rsidR="00795D56" w:rsidRPr="00037A46" w:rsidRDefault="00795D56" w:rsidP="00795D56">
            <w:pPr>
              <w:spacing w:before="0" w:after="0"/>
              <w:ind w:hanging="764"/>
              <w:jc w:val="right"/>
              <w:rPr>
                <w:b/>
                <w:bCs/>
                <w:lang w:val="en-US"/>
              </w:rPr>
            </w:pPr>
            <w:r w:rsidRPr="00037A46">
              <w:rPr>
                <w:b/>
                <w:bCs/>
                <w:lang w:val="en-US"/>
              </w:rPr>
              <w:t>16</w:t>
            </w:r>
          </w:p>
        </w:tc>
        <w:tc>
          <w:tcPr>
            <w:tcW w:w="1539" w:type="dxa"/>
            <w:tcBorders>
              <w:top w:val="nil"/>
              <w:left w:val="nil"/>
              <w:bottom w:val="nil"/>
              <w:right w:val="single" w:sz="4" w:space="0" w:color="auto"/>
            </w:tcBorders>
            <w:noWrap/>
            <w:vAlign w:val="bottom"/>
          </w:tcPr>
          <w:p w14:paraId="68CC50DF" w14:textId="3E2A6AEB"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208,58</w:t>
            </w:r>
          </w:p>
        </w:tc>
        <w:tc>
          <w:tcPr>
            <w:tcW w:w="1276" w:type="dxa"/>
            <w:tcBorders>
              <w:top w:val="nil"/>
              <w:left w:val="single" w:sz="4" w:space="0" w:color="auto"/>
              <w:bottom w:val="nil"/>
              <w:right w:val="single" w:sz="4" w:space="0" w:color="auto"/>
            </w:tcBorders>
            <w:noWrap/>
            <w:vAlign w:val="bottom"/>
          </w:tcPr>
          <w:p w14:paraId="01475FF2" w14:textId="39AC31A5"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490,91</w:t>
            </w:r>
          </w:p>
        </w:tc>
        <w:tc>
          <w:tcPr>
            <w:tcW w:w="1399" w:type="dxa"/>
            <w:tcBorders>
              <w:top w:val="nil"/>
              <w:left w:val="single" w:sz="4" w:space="0" w:color="auto"/>
              <w:bottom w:val="nil"/>
              <w:right w:val="single" w:sz="4" w:space="0" w:color="auto"/>
            </w:tcBorders>
            <w:noWrap/>
            <w:vAlign w:val="bottom"/>
          </w:tcPr>
          <w:p w14:paraId="2A386DBB" w14:textId="40D886FA"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897,71</w:t>
            </w:r>
          </w:p>
        </w:tc>
        <w:tc>
          <w:tcPr>
            <w:tcW w:w="1417" w:type="dxa"/>
            <w:vAlign w:val="bottom"/>
          </w:tcPr>
          <w:p w14:paraId="55548170" w14:textId="30737A84" w:rsidR="00795D56" w:rsidRPr="00843561" w:rsidRDefault="00795D56" w:rsidP="00795D56">
            <w:pPr>
              <w:spacing w:before="0" w:after="0"/>
              <w:ind w:left="113"/>
              <w:jc w:val="right"/>
              <w:rPr>
                <w:rFonts w:cs="Arial"/>
                <w:color w:val="000000"/>
              </w:rPr>
            </w:pPr>
            <w:r w:rsidRPr="008935E3">
              <w:rPr>
                <w:rFonts w:cs="Arial"/>
                <w:color w:val="000000"/>
              </w:rPr>
              <w:t>17</w:t>
            </w:r>
            <w:r>
              <w:rPr>
                <w:rFonts w:cs="Arial"/>
                <w:color w:val="000000"/>
              </w:rPr>
              <w:t>.</w:t>
            </w:r>
            <w:r w:rsidRPr="008935E3">
              <w:rPr>
                <w:rFonts w:cs="Arial"/>
                <w:color w:val="000000"/>
              </w:rPr>
              <w:t>396,82</w:t>
            </w:r>
          </w:p>
        </w:tc>
        <w:tc>
          <w:tcPr>
            <w:tcW w:w="1418" w:type="dxa"/>
            <w:vAlign w:val="bottom"/>
          </w:tcPr>
          <w:p w14:paraId="13439409" w14:textId="1C3E0026" w:rsidR="00795D56" w:rsidRPr="00843561" w:rsidRDefault="00795D56" w:rsidP="00795D56">
            <w:pPr>
              <w:spacing w:before="0" w:after="0"/>
              <w:ind w:left="113"/>
              <w:jc w:val="right"/>
              <w:rPr>
                <w:rFonts w:cs="Arial"/>
                <w:color w:val="000000"/>
              </w:rPr>
            </w:pPr>
            <w:r w:rsidRPr="00B65D25">
              <w:rPr>
                <w:rFonts w:cs="Arial"/>
                <w:color w:val="000000"/>
              </w:rPr>
              <w:t>17.932,15</w:t>
            </w:r>
          </w:p>
        </w:tc>
        <w:tc>
          <w:tcPr>
            <w:tcW w:w="1559" w:type="dxa"/>
            <w:vAlign w:val="bottom"/>
          </w:tcPr>
          <w:p w14:paraId="1D26AE77" w14:textId="73CD87D8" w:rsidR="00795D56" w:rsidRPr="00843561" w:rsidRDefault="00795D56" w:rsidP="00795D56">
            <w:pPr>
              <w:spacing w:before="0" w:after="0"/>
              <w:ind w:left="113"/>
              <w:jc w:val="right"/>
              <w:rPr>
                <w:rFonts w:cs="Arial"/>
                <w:color w:val="000000"/>
              </w:rPr>
            </w:pPr>
            <w:r w:rsidRPr="00B65D25">
              <w:rPr>
                <w:rFonts w:cs="Arial"/>
                <w:color w:val="000000"/>
              </w:rPr>
              <w:t>18.402</w:t>
            </w:r>
          </w:p>
        </w:tc>
        <w:tc>
          <w:tcPr>
            <w:tcW w:w="1418" w:type="dxa"/>
            <w:vAlign w:val="bottom"/>
          </w:tcPr>
          <w:p w14:paraId="3C0D6CAF" w14:textId="350929F7" w:rsidR="00795D56" w:rsidRPr="00843561" w:rsidRDefault="00795D56" w:rsidP="00795D56">
            <w:pPr>
              <w:spacing w:before="0" w:after="0"/>
              <w:ind w:left="113"/>
              <w:jc w:val="right"/>
              <w:rPr>
                <w:rFonts w:cs="Arial"/>
                <w:color w:val="000000"/>
              </w:rPr>
            </w:pPr>
            <w:r w:rsidRPr="00391903">
              <w:rPr>
                <w:rFonts w:cs="Arial"/>
                <w:color w:val="000000"/>
              </w:rPr>
              <w:t>18.992</w:t>
            </w:r>
          </w:p>
        </w:tc>
        <w:tc>
          <w:tcPr>
            <w:tcW w:w="1417" w:type="dxa"/>
            <w:vAlign w:val="bottom"/>
          </w:tcPr>
          <w:p w14:paraId="11C7505F" w14:textId="1CFD152A" w:rsidR="00795D56" w:rsidRPr="00391903" w:rsidRDefault="00795D56" w:rsidP="00795D56">
            <w:pPr>
              <w:spacing w:before="0" w:after="0"/>
              <w:ind w:left="113"/>
              <w:jc w:val="right"/>
              <w:rPr>
                <w:rFonts w:cs="Arial"/>
                <w:color w:val="000000"/>
              </w:rPr>
            </w:pPr>
            <w:r w:rsidRPr="00795D56">
              <w:rPr>
                <w:rFonts w:cs="Arial"/>
                <w:color w:val="000000"/>
              </w:rPr>
              <w:t>19</w:t>
            </w:r>
            <w:r>
              <w:rPr>
                <w:rFonts w:cs="Arial"/>
                <w:color w:val="000000"/>
              </w:rPr>
              <w:t>.</w:t>
            </w:r>
            <w:r w:rsidRPr="00795D56">
              <w:rPr>
                <w:rFonts w:cs="Arial"/>
                <w:color w:val="000000"/>
              </w:rPr>
              <w:t>520,37</w:t>
            </w:r>
          </w:p>
        </w:tc>
      </w:tr>
      <w:tr w:rsidR="00795D56" w:rsidRPr="00037A46" w14:paraId="232D6F1A" w14:textId="26630C0E" w:rsidTr="00391903">
        <w:trPr>
          <w:trHeight w:val="300"/>
          <w:jc w:val="center"/>
        </w:trPr>
        <w:tc>
          <w:tcPr>
            <w:tcW w:w="1163" w:type="dxa"/>
            <w:shd w:val="clear" w:color="auto" w:fill="C0C0C0"/>
            <w:noWrap/>
            <w:vAlign w:val="bottom"/>
          </w:tcPr>
          <w:p w14:paraId="6F375742" w14:textId="77777777" w:rsidR="00795D56" w:rsidRPr="00037A46" w:rsidRDefault="00795D56" w:rsidP="00795D56">
            <w:pPr>
              <w:spacing w:before="0" w:after="0"/>
              <w:ind w:hanging="764"/>
              <w:jc w:val="right"/>
              <w:rPr>
                <w:b/>
                <w:bCs/>
                <w:lang w:val="en-US"/>
              </w:rPr>
            </w:pPr>
            <w:r w:rsidRPr="00037A46">
              <w:rPr>
                <w:b/>
                <w:bCs/>
                <w:lang w:val="en-US"/>
              </w:rPr>
              <w:t>17</w:t>
            </w:r>
          </w:p>
        </w:tc>
        <w:tc>
          <w:tcPr>
            <w:tcW w:w="1539" w:type="dxa"/>
            <w:tcBorders>
              <w:top w:val="nil"/>
              <w:left w:val="nil"/>
              <w:bottom w:val="nil"/>
              <w:right w:val="single" w:sz="4" w:space="0" w:color="auto"/>
            </w:tcBorders>
            <w:noWrap/>
            <w:vAlign w:val="bottom"/>
          </w:tcPr>
          <w:p w14:paraId="391B6A93" w14:textId="7C5498C0"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269,26</w:t>
            </w:r>
          </w:p>
        </w:tc>
        <w:tc>
          <w:tcPr>
            <w:tcW w:w="1276" w:type="dxa"/>
            <w:tcBorders>
              <w:top w:val="nil"/>
              <w:left w:val="single" w:sz="4" w:space="0" w:color="auto"/>
              <w:bottom w:val="nil"/>
              <w:right w:val="single" w:sz="4" w:space="0" w:color="auto"/>
            </w:tcBorders>
            <w:noWrap/>
            <w:vAlign w:val="bottom"/>
          </w:tcPr>
          <w:p w14:paraId="6BD45CF2" w14:textId="2922DE05"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551,59</w:t>
            </w:r>
          </w:p>
        </w:tc>
        <w:tc>
          <w:tcPr>
            <w:tcW w:w="1399" w:type="dxa"/>
            <w:tcBorders>
              <w:top w:val="nil"/>
              <w:left w:val="single" w:sz="4" w:space="0" w:color="auto"/>
              <w:bottom w:val="nil"/>
              <w:right w:val="single" w:sz="4" w:space="0" w:color="auto"/>
            </w:tcBorders>
            <w:noWrap/>
            <w:vAlign w:val="bottom"/>
          </w:tcPr>
          <w:p w14:paraId="4CFE9E0F" w14:textId="4DBEF19F"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964,82</w:t>
            </w:r>
          </w:p>
        </w:tc>
        <w:tc>
          <w:tcPr>
            <w:tcW w:w="1417" w:type="dxa"/>
            <w:vAlign w:val="bottom"/>
          </w:tcPr>
          <w:p w14:paraId="7FCE89F3" w14:textId="592FDC90" w:rsidR="00795D56" w:rsidRPr="00843561" w:rsidRDefault="00795D56" w:rsidP="00795D56">
            <w:pPr>
              <w:spacing w:before="0" w:after="0"/>
              <w:ind w:left="113"/>
              <w:jc w:val="right"/>
              <w:rPr>
                <w:rFonts w:cs="Arial"/>
                <w:color w:val="000000"/>
              </w:rPr>
            </w:pPr>
            <w:r w:rsidRPr="008935E3">
              <w:rPr>
                <w:rFonts w:cs="Arial"/>
                <w:color w:val="000000"/>
              </w:rPr>
              <w:t>17</w:t>
            </w:r>
            <w:r>
              <w:rPr>
                <w:rFonts w:cs="Arial"/>
                <w:color w:val="000000"/>
              </w:rPr>
              <w:t>.</w:t>
            </w:r>
            <w:r w:rsidRPr="008935E3">
              <w:rPr>
                <w:rFonts w:cs="Arial"/>
                <w:color w:val="000000"/>
              </w:rPr>
              <w:t>470,89</w:t>
            </w:r>
          </w:p>
        </w:tc>
        <w:tc>
          <w:tcPr>
            <w:tcW w:w="1418" w:type="dxa"/>
            <w:vAlign w:val="bottom"/>
          </w:tcPr>
          <w:p w14:paraId="73DAF284" w14:textId="119878C4" w:rsidR="00795D56" w:rsidRPr="00843561" w:rsidRDefault="00795D56" w:rsidP="00795D56">
            <w:pPr>
              <w:spacing w:before="0" w:after="0"/>
              <w:ind w:left="113"/>
              <w:jc w:val="right"/>
              <w:rPr>
                <w:rFonts w:cs="Arial"/>
                <w:color w:val="000000"/>
              </w:rPr>
            </w:pPr>
            <w:r w:rsidRPr="00B65D25">
              <w:rPr>
                <w:rFonts w:cs="Arial"/>
                <w:color w:val="000000"/>
              </w:rPr>
              <w:t>18.039,06</w:t>
            </w:r>
          </w:p>
        </w:tc>
        <w:tc>
          <w:tcPr>
            <w:tcW w:w="1559" w:type="dxa"/>
            <w:vAlign w:val="bottom"/>
          </w:tcPr>
          <w:p w14:paraId="409D3EED" w14:textId="2EE167B9" w:rsidR="00795D56" w:rsidRPr="00843561" w:rsidRDefault="00795D56" w:rsidP="00795D56">
            <w:pPr>
              <w:spacing w:before="0" w:after="0"/>
              <w:ind w:left="113"/>
              <w:jc w:val="right"/>
              <w:rPr>
                <w:rFonts w:cs="Arial"/>
                <w:color w:val="000000"/>
              </w:rPr>
            </w:pPr>
            <w:r w:rsidRPr="00B65D25">
              <w:rPr>
                <w:rFonts w:cs="Arial"/>
                <w:color w:val="000000"/>
              </w:rPr>
              <w:t>18.490,87</w:t>
            </w:r>
          </w:p>
        </w:tc>
        <w:tc>
          <w:tcPr>
            <w:tcW w:w="1418" w:type="dxa"/>
            <w:vAlign w:val="bottom"/>
          </w:tcPr>
          <w:p w14:paraId="69C51766" w14:textId="3B9BAC2B" w:rsidR="00795D56" w:rsidRPr="00843561" w:rsidRDefault="00795D56" w:rsidP="00795D56">
            <w:pPr>
              <w:spacing w:before="0" w:after="0"/>
              <w:ind w:left="113"/>
              <w:jc w:val="right"/>
              <w:rPr>
                <w:rFonts w:cs="Arial"/>
                <w:color w:val="000000"/>
              </w:rPr>
            </w:pPr>
            <w:r w:rsidRPr="00391903">
              <w:rPr>
                <w:rFonts w:cs="Arial"/>
                <w:color w:val="000000"/>
              </w:rPr>
              <w:t>19.083,77</w:t>
            </w:r>
          </w:p>
        </w:tc>
        <w:tc>
          <w:tcPr>
            <w:tcW w:w="1417" w:type="dxa"/>
            <w:vAlign w:val="bottom"/>
          </w:tcPr>
          <w:p w14:paraId="40D229C3" w14:textId="3421BBE8" w:rsidR="00795D56" w:rsidRPr="00391903" w:rsidRDefault="00795D56" w:rsidP="00795D56">
            <w:pPr>
              <w:spacing w:before="0" w:after="0"/>
              <w:ind w:left="113"/>
              <w:jc w:val="right"/>
              <w:rPr>
                <w:rFonts w:cs="Arial"/>
                <w:color w:val="000000"/>
              </w:rPr>
            </w:pPr>
            <w:r w:rsidRPr="00795D56">
              <w:rPr>
                <w:rFonts w:cs="Arial"/>
                <w:color w:val="000000"/>
              </w:rPr>
              <w:t>19</w:t>
            </w:r>
            <w:r>
              <w:rPr>
                <w:rFonts w:cs="Arial"/>
                <w:color w:val="000000"/>
              </w:rPr>
              <w:t>.</w:t>
            </w:r>
            <w:r w:rsidRPr="00795D56">
              <w:rPr>
                <w:rFonts w:cs="Arial"/>
                <w:color w:val="000000"/>
              </w:rPr>
              <w:t>615,72</w:t>
            </w:r>
          </w:p>
        </w:tc>
      </w:tr>
      <w:tr w:rsidR="00795D56" w:rsidRPr="00037A46" w14:paraId="118E6FA4" w14:textId="5998EBEA" w:rsidTr="00391903">
        <w:trPr>
          <w:trHeight w:val="300"/>
          <w:jc w:val="center"/>
        </w:trPr>
        <w:tc>
          <w:tcPr>
            <w:tcW w:w="1163" w:type="dxa"/>
            <w:shd w:val="clear" w:color="auto" w:fill="C0C0C0"/>
            <w:noWrap/>
            <w:vAlign w:val="bottom"/>
          </w:tcPr>
          <w:p w14:paraId="210C09BF" w14:textId="77777777" w:rsidR="00795D56" w:rsidRPr="00037A46" w:rsidRDefault="00795D56" w:rsidP="00795D56">
            <w:pPr>
              <w:spacing w:before="0" w:after="0"/>
              <w:ind w:hanging="764"/>
              <w:jc w:val="right"/>
              <w:rPr>
                <w:b/>
                <w:bCs/>
                <w:lang w:val="en-US"/>
              </w:rPr>
            </w:pPr>
            <w:r w:rsidRPr="00037A46">
              <w:rPr>
                <w:b/>
                <w:bCs/>
                <w:lang w:val="en-US"/>
              </w:rPr>
              <w:t>18</w:t>
            </w:r>
          </w:p>
        </w:tc>
        <w:tc>
          <w:tcPr>
            <w:tcW w:w="1539" w:type="dxa"/>
            <w:tcBorders>
              <w:top w:val="nil"/>
              <w:left w:val="nil"/>
              <w:bottom w:val="nil"/>
              <w:right w:val="single" w:sz="4" w:space="0" w:color="auto"/>
            </w:tcBorders>
            <w:noWrap/>
            <w:vAlign w:val="bottom"/>
          </w:tcPr>
          <w:p w14:paraId="65DE9AEF" w14:textId="547506B8"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325,55</w:t>
            </w:r>
          </w:p>
        </w:tc>
        <w:tc>
          <w:tcPr>
            <w:tcW w:w="1276" w:type="dxa"/>
            <w:tcBorders>
              <w:top w:val="nil"/>
              <w:left w:val="single" w:sz="4" w:space="0" w:color="auto"/>
              <w:bottom w:val="nil"/>
              <w:right w:val="single" w:sz="4" w:space="0" w:color="auto"/>
            </w:tcBorders>
            <w:noWrap/>
            <w:vAlign w:val="bottom"/>
          </w:tcPr>
          <w:p w14:paraId="27EAA5A8" w14:textId="5C544D35"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607,88</w:t>
            </w:r>
          </w:p>
        </w:tc>
        <w:tc>
          <w:tcPr>
            <w:tcW w:w="1399" w:type="dxa"/>
            <w:tcBorders>
              <w:top w:val="nil"/>
              <w:left w:val="single" w:sz="4" w:space="0" w:color="auto"/>
              <w:bottom w:val="nil"/>
              <w:right w:val="single" w:sz="4" w:space="0" w:color="auto"/>
            </w:tcBorders>
            <w:noWrap/>
            <w:vAlign w:val="bottom"/>
          </w:tcPr>
          <w:p w14:paraId="6FE1E7E8" w14:textId="31484192"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027,26</w:t>
            </w:r>
          </w:p>
        </w:tc>
        <w:tc>
          <w:tcPr>
            <w:tcW w:w="1417" w:type="dxa"/>
            <w:vAlign w:val="bottom"/>
          </w:tcPr>
          <w:p w14:paraId="5AEFAC85" w14:textId="1C2D6C83" w:rsidR="00795D56" w:rsidRPr="00843561" w:rsidRDefault="00795D56" w:rsidP="00795D56">
            <w:pPr>
              <w:spacing w:before="0" w:after="0"/>
              <w:ind w:left="113"/>
              <w:jc w:val="right"/>
              <w:rPr>
                <w:rFonts w:cs="Arial"/>
                <w:color w:val="000000"/>
              </w:rPr>
            </w:pPr>
            <w:r w:rsidRPr="008935E3">
              <w:rPr>
                <w:rFonts w:cs="Arial"/>
                <w:color w:val="000000"/>
              </w:rPr>
              <w:t>17</w:t>
            </w:r>
            <w:r>
              <w:rPr>
                <w:rFonts w:cs="Arial"/>
                <w:color w:val="000000"/>
              </w:rPr>
              <w:t>.</w:t>
            </w:r>
            <w:r w:rsidRPr="008935E3">
              <w:rPr>
                <w:rFonts w:cs="Arial"/>
                <w:color w:val="000000"/>
              </w:rPr>
              <w:t>539,68</w:t>
            </w:r>
          </w:p>
        </w:tc>
        <w:tc>
          <w:tcPr>
            <w:tcW w:w="1418" w:type="dxa"/>
            <w:vAlign w:val="bottom"/>
          </w:tcPr>
          <w:p w14:paraId="7A4F3C1B" w14:textId="215DAB35" w:rsidR="00795D56" w:rsidRPr="00843561" w:rsidRDefault="00795D56" w:rsidP="00795D56">
            <w:pPr>
              <w:spacing w:before="0" w:after="0"/>
              <w:ind w:left="113"/>
              <w:jc w:val="right"/>
              <w:rPr>
                <w:rFonts w:cs="Arial"/>
                <w:color w:val="000000"/>
              </w:rPr>
            </w:pPr>
            <w:r w:rsidRPr="00B65D25">
              <w:rPr>
                <w:rFonts w:cs="Arial"/>
                <w:color w:val="000000"/>
              </w:rPr>
              <w:t>18.138,53</w:t>
            </w:r>
          </w:p>
        </w:tc>
        <w:tc>
          <w:tcPr>
            <w:tcW w:w="1559" w:type="dxa"/>
            <w:vAlign w:val="bottom"/>
          </w:tcPr>
          <w:p w14:paraId="3F0E3160" w14:textId="18550099" w:rsidR="00795D56" w:rsidRPr="00843561" w:rsidRDefault="00795D56" w:rsidP="00795D56">
            <w:pPr>
              <w:spacing w:before="0" w:after="0"/>
              <w:ind w:left="113"/>
              <w:jc w:val="right"/>
              <w:rPr>
                <w:rFonts w:cs="Arial"/>
                <w:color w:val="000000"/>
              </w:rPr>
            </w:pPr>
            <w:r w:rsidRPr="00B65D25">
              <w:rPr>
                <w:rFonts w:cs="Arial"/>
                <w:color w:val="000000"/>
              </w:rPr>
              <w:t>18.573,38</w:t>
            </w:r>
          </w:p>
        </w:tc>
        <w:tc>
          <w:tcPr>
            <w:tcW w:w="1418" w:type="dxa"/>
            <w:vAlign w:val="bottom"/>
          </w:tcPr>
          <w:p w14:paraId="5D40D168" w14:textId="5E28B361" w:rsidR="00795D56" w:rsidRPr="00843561" w:rsidRDefault="00795D56" w:rsidP="00795D56">
            <w:pPr>
              <w:spacing w:before="0" w:after="0"/>
              <w:ind w:left="113"/>
              <w:jc w:val="right"/>
              <w:rPr>
                <w:rFonts w:cs="Arial"/>
                <w:color w:val="000000"/>
              </w:rPr>
            </w:pPr>
            <w:r w:rsidRPr="00391903">
              <w:rPr>
                <w:rFonts w:cs="Arial"/>
                <w:color w:val="000000"/>
              </w:rPr>
              <w:t>19.168,98</w:t>
            </w:r>
          </w:p>
        </w:tc>
        <w:tc>
          <w:tcPr>
            <w:tcW w:w="1417" w:type="dxa"/>
            <w:vAlign w:val="bottom"/>
          </w:tcPr>
          <w:p w14:paraId="5A9F5430" w14:textId="0D329058" w:rsidR="00795D56" w:rsidRPr="00391903" w:rsidRDefault="00795D56" w:rsidP="00795D56">
            <w:pPr>
              <w:spacing w:before="0" w:after="0"/>
              <w:ind w:left="113"/>
              <w:jc w:val="right"/>
              <w:rPr>
                <w:rFonts w:cs="Arial"/>
                <w:color w:val="000000"/>
              </w:rPr>
            </w:pPr>
            <w:r w:rsidRPr="00795D56">
              <w:rPr>
                <w:rFonts w:cs="Arial"/>
                <w:color w:val="000000"/>
              </w:rPr>
              <w:t>19</w:t>
            </w:r>
            <w:r>
              <w:rPr>
                <w:rFonts w:cs="Arial"/>
                <w:color w:val="000000"/>
              </w:rPr>
              <w:t>.</w:t>
            </w:r>
            <w:r w:rsidRPr="00795D56">
              <w:rPr>
                <w:rFonts w:cs="Arial"/>
                <w:color w:val="000000"/>
              </w:rPr>
              <w:t>704,31</w:t>
            </w:r>
          </w:p>
        </w:tc>
      </w:tr>
      <w:tr w:rsidR="00795D56" w:rsidRPr="00037A46" w14:paraId="4EA679CA" w14:textId="2D6D89A9" w:rsidTr="00391903">
        <w:trPr>
          <w:trHeight w:val="300"/>
          <w:jc w:val="center"/>
        </w:trPr>
        <w:tc>
          <w:tcPr>
            <w:tcW w:w="1163" w:type="dxa"/>
            <w:shd w:val="clear" w:color="auto" w:fill="C0C0C0"/>
            <w:noWrap/>
            <w:vAlign w:val="bottom"/>
          </w:tcPr>
          <w:p w14:paraId="205D9D0E" w14:textId="77777777" w:rsidR="00795D56" w:rsidRPr="00037A46" w:rsidRDefault="00795D56" w:rsidP="00795D56">
            <w:pPr>
              <w:spacing w:before="0" w:after="0"/>
              <w:ind w:hanging="764"/>
              <w:jc w:val="right"/>
              <w:rPr>
                <w:b/>
                <w:bCs/>
                <w:lang w:val="en-US"/>
              </w:rPr>
            </w:pPr>
            <w:r w:rsidRPr="00037A46">
              <w:rPr>
                <w:b/>
                <w:bCs/>
                <w:lang w:val="en-US"/>
              </w:rPr>
              <w:t>19</w:t>
            </w:r>
          </w:p>
        </w:tc>
        <w:tc>
          <w:tcPr>
            <w:tcW w:w="1539" w:type="dxa"/>
            <w:tcBorders>
              <w:top w:val="nil"/>
              <w:left w:val="nil"/>
              <w:bottom w:val="nil"/>
              <w:right w:val="single" w:sz="4" w:space="0" w:color="auto"/>
            </w:tcBorders>
            <w:noWrap/>
            <w:vAlign w:val="bottom"/>
          </w:tcPr>
          <w:p w14:paraId="425ED796" w14:textId="288F9C2F"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377,79</w:t>
            </w:r>
          </w:p>
        </w:tc>
        <w:tc>
          <w:tcPr>
            <w:tcW w:w="1276" w:type="dxa"/>
            <w:tcBorders>
              <w:top w:val="nil"/>
              <w:left w:val="single" w:sz="4" w:space="0" w:color="auto"/>
              <w:bottom w:val="nil"/>
              <w:right w:val="single" w:sz="4" w:space="0" w:color="auto"/>
            </w:tcBorders>
            <w:noWrap/>
            <w:vAlign w:val="bottom"/>
          </w:tcPr>
          <w:p w14:paraId="4B81637E" w14:textId="0722C7B6"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660,12</w:t>
            </w:r>
          </w:p>
        </w:tc>
        <w:tc>
          <w:tcPr>
            <w:tcW w:w="1399" w:type="dxa"/>
            <w:tcBorders>
              <w:top w:val="nil"/>
              <w:left w:val="single" w:sz="4" w:space="0" w:color="auto"/>
              <w:bottom w:val="nil"/>
              <w:right w:val="single" w:sz="4" w:space="0" w:color="auto"/>
            </w:tcBorders>
            <w:noWrap/>
            <w:vAlign w:val="bottom"/>
          </w:tcPr>
          <w:p w14:paraId="3DD2B5FC" w14:textId="3C084B97"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085,1</w:t>
            </w:r>
          </w:p>
        </w:tc>
        <w:tc>
          <w:tcPr>
            <w:tcW w:w="1417" w:type="dxa"/>
            <w:vAlign w:val="bottom"/>
          </w:tcPr>
          <w:p w14:paraId="7FE3E38E" w14:textId="15A89C28" w:rsidR="00795D56" w:rsidRPr="00843561" w:rsidRDefault="00795D56" w:rsidP="00795D56">
            <w:pPr>
              <w:spacing w:before="0" w:after="0"/>
              <w:ind w:left="113"/>
              <w:jc w:val="right"/>
              <w:rPr>
                <w:rFonts w:cs="Arial"/>
                <w:color w:val="000000"/>
              </w:rPr>
            </w:pPr>
            <w:r w:rsidRPr="008935E3">
              <w:rPr>
                <w:rFonts w:cs="Arial"/>
                <w:color w:val="000000"/>
              </w:rPr>
              <w:t>17</w:t>
            </w:r>
            <w:r>
              <w:rPr>
                <w:rFonts w:cs="Arial"/>
                <w:color w:val="000000"/>
              </w:rPr>
              <w:t>.</w:t>
            </w:r>
            <w:r w:rsidRPr="008935E3">
              <w:rPr>
                <w:rFonts w:cs="Arial"/>
                <w:color w:val="000000"/>
              </w:rPr>
              <w:t>603,54</w:t>
            </w:r>
          </w:p>
        </w:tc>
        <w:tc>
          <w:tcPr>
            <w:tcW w:w="1418" w:type="dxa"/>
            <w:vAlign w:val="bottom"/>
          </w:tcPr>
          <w:p w14:paraId="40050564" w14:textId="217DC5FB" w:rsidR="00795D56" w:rsidRPr="00843561" w:rsidRDefault="00795D56" w:rsidP="00795D56">
            <w:pPr>
              <w:spacing w:before="0" w:after="0"/>
              <w:ind w:left="113"/>
              <w:jc w:val="right"/>
              <w:rPr>
                <w:rFonts w:cs="Arial"/>
                <w:color w:val="000000"/>
              </w:rPr>
            </w:pPr>
            <w:r w:rsidRPr="00B65D25">
              <w:rPr>
                <w:rFonts w:cs="Arial"/>
                <w:color w:val="000000"/>
              </w:rPr>
              <w:t>18.231,11</w:t>
            </w:r>
          </w:p>
        </w:tc>
        <w:tc>
          <w:tcPr>
            <w:tcW w:w="1559" w:type="dxa"/>
            <w:vAlign w:val="bottom"/>
          </w:tcPr>
          <w:p w14:paraId="0A0D05BE" w14:textId="10049FA3" w:rsidR="00795D56" w:rsidRPr="00843561" w:rsidRDefault="00795D56" w:rsidP="00795D56">
            <w:pPr>
              <w:spacing w:before="0" w:after="0"/>
              <w:ind w:left="113"/>
              <w:jc w:val="right"/>
              <w:rPr>
                <w:rFonts w:cs="Arial"/>
                <w:color w:val="000000"/>
              </w:rPr>
            </w:pPr>
            <w:r w:rsidRPr="00B65D25">
              <w:rPr>
                <w:rFonts w:cs="Arial"/>
                <w:color w:val="000000"/>
              </w:rPr>
              <w:t>18.650,14</w:t>
            </w:r>
          </w:p>
        </w:tc>
        <w:tc>
          <w:tcPr>
            <w:tcW w:w="1418" w:type="dxa"/>
            <w:vAlign w:val="bottom"/>
          </w:tcPr>
          <w:p w14:paraId="30A234B9" w14:textId="5A766E32" w:rsidR="00795D56" w:rsidRPr="00843561" w:rsidRDefault="00795D56" w:rsidP="00795D56">
            <w:pPr>
              <w:spacing w:before="0" w:after="0"/>
              <w:ind w:left="113"/>
              <w:jc w:val="right"/>
              <w:rPr>
                <w:rFonts w:cs="Arial"/>
                <w:color w:val="000000"/>
              </w:rPr>
            </w:pPr>
            <w:r w:rsidRPr="00391903">
              <w:rPr>
                <w:rFonts w:cs="Arial"/>
                <w:color w:val="000000"/>
              </w:rPr>
              <w:t>19.248,25</w:t>
            </w:r>
          </w:p>
        </w:tc>
        <w:tc>
          <w:tcPr>
            <w:tcW w:w="1417" w:type="dxa"/>
            <w:vAlign w:val="bottom"/>
          </w:tcPr>
          <w:p w14:paraId="5E46D22A" w14:textId="67D84A5F" w:rsidR="00795D56" w:rsidRPr="00391903" w:rsidRDefault="00795D56" w:rsidP="00795D56">
            <w:pPr>
              <w:spacing w:before="0" w:after="0"/>
              <w:ind w:left="113"/>
              <w:jc w:val="right"/>
              <w:rPr>
                <w:rFonts w:cs="Arial"/>
                <w:color w:val="000000"/>
              </w:rPr>
            </w:pPr>
            <w:r w:rsidRPr="00795D56">
              <w:rPr>
                <w:rFonts w:cs="Arial"/>
                <w:color w:val="000000"/>
              </w:rPr>
              <w:t>19</w:t>
            </w:r>
            <w:r>
              <w:rPr>
                <w:rFonts w:cs="Arial"/>
                <w:color w:val="000000"/>
              </w:rPr>
              <w:t>.</w:t>
            </w:r>
            <w:r w:rsidRPr="00795D56">
              <w:rPr>
                <w:rFonts w:cs="Arial"/>
                <w:color w:val="000000"/>
              </w:rPr>
              <w:t>786,62</w:t>
            </w:r>
          </w:p>
        </w:tc>
      </w:tr>
      <w:tr w:rsidR="00795D56" w:rsidRPr="00037A46" w14:paraId="521EA366" w14:textId="5DF970D2" w:rsidTr="00391903">
        <w:trPr>
          <w:trHeight w:val="300"/>
          <w:jc w:val="center"/>
        </w:trPr>
        <w:tc>
          <w:tcPr>
            <w:tcW w:w="1163" w:type="dxa"/>
            <w:shd w:val="clear" w:color="auto" w:fill="C0C0C0"/>
            <w:noWrap/>
            <w:vAlign w:val="bottom"/>
          </w:tcPr>
          <w:p w14:paraId="639B277A" w14:textId="77777777" w:rsidR="00795D56" w:rsidRPr="00037A46" w:rsidRDefault="00795D56" w:rsidP="00795D56">
            <w:pPr>
              <w:spacing w:before="0" w:after="0"/>
              <w:ind w:hanging="764"/>
              <w:jc w:val="right"/>
              <w:rPr>
                <w:b/>
                <w:bCs/>
                <w:lang w:val="en-US"/>
              </w:rPr>
            </w:pPr>
            <w:r w:rsidRPr="00037A46">
              <w:rPr>
                <w:b/>
                <w:bCs/>
                <w:lang w:val="en-US"/>
              </w:rPr>
              <w:t>20</w:t>
            </w:r>
          </w:p>
        </w:tc>
        <w:tc>
          <w:tcPr>
            <w:tcW w:w="1539" w:type="dxa"/>
            <w:tcBorders>
              <w:top w:val="nil"/>
              <w:left w:val="nil"/>
              <w:bottom w:val="single" w:sz="4" w:space="0" w:color="auto"/>
              <w:right w:val="single" w:sz="4" w:space="0" w:color="auto"/>
            </w:tcBorders>
            <w:noWrap/>
            <w:vAlign w:val="bottom"/>
          </w:tcPr>
          <w:p w14:paraId="52465F24" w14:textId="28677AA9"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426,38</w:t>
            </w:r>
          </w:p>
        </w:tc>
        <w:tc>
          <w:tcPr>
            <w:tcW w:w="1276" w:type="dxa"/>
            <w:tcBorders>
              <w:top w:val="nil"/>
              <w:left w:val="single" w:sz="4" w:space="0" w:color="auto"/>
              <w:bottom w:val="single" w:sz="4" w:space="0" w:color="auto"/>
              <w:right w:val="single" w:sz="4" w:space="0" w:color="auto"/>
            </w:tcBorders>
            <w:noWrap/>
            <w:vAlign w:val="bottom"/>
          </w:tcPr>
          <w:p w14:paraId="70BCD087" w14:textId="2E261C92"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708,71</w:t>
            </w:r>
          </w:p>
        </w:tc>
        <w:tc>
          <w:tcPr>
            <w:tcW w:w="1399" w:type="dxa"/>
            <w:tcBorders>
              <w:top w:val="nil"/>
              <w:left w:val="single" w:sz="4" w:space="0" w:color="auto"/>
              <w:bottom w:val="single" w:sz="4" w:space="0" w:color="auto"/>
              <w:right w:val="single" w:sz="4" w:space="0" w:color="auto"/>
            </w:tcBorders>
            <w:noWrap/>
            <w:vAlign w:val="bottom"/>
          </w:tcPr>
          <w:p w14:paraId="1698ACD4" w14:textId="2548B99F"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138,82</w:t>
            </w:r>
          </w:p>
        </w:tc>
        <w:tc>
          <w:tcPr>
            <w:tcW w:w="1417" w:type="dxa"/>
            <w:tcBorders>
              <w:bottom w:val="single" w:sz="4" w:space="0" w:color="auto"/>
            </w:tcBorders>
            <w:vAlign w:val="bottom"/>
          </w:tcPr>
          <w:p w14:paraId="0F85618C" w14:textId="007B77B6" w:rsidR="00795D56" w:rsidRPr="00843561" w:rsidRDefault="00795D56" w:rsidP="00795D56">
            <w:pPr>
              <w:spacing w:before="0" w:after="0"/>
              <w:ind w:left="113"/>
              <w:jc w:val="right"/>
              <w:rPr>
                <w:rFonts w:cs="Arial"/>
                <w:color w:val="000000"/>
              </w:rPr>
            </w:pPr>
            <w:r w:rsidRPr="008935E3">
              <w:rPr>
                <w:rFonts w:cs="Arial"/>
                <w:color w:val="000000"/>
              </w:rPr>
              <w:t>17</w:t>
            </w:r>
            <w:r>
              <w:rPr>
                <w:rFonts w:cs="Arial"/>
                <w:color w:val="000000"/>
              </w:rPr>
              <w:t>.</w:t>
            </w:r>
            <w:r w:rsidRPr="008935E3">
              <w:rPr>
                <w:rFonts w:cs="Arial"/>
                <w:color w:val="000000"/>
              </w:rPr>
              <w:t>662,87</w:t>
            </w:r>
          </w:p>
        </w:tc>
        <w:tc>
          <w:tcPr>
            <w:tcW w:w="1418" w:type="dxa"/>
            <w:tcBorders>
              <w:bottom w:val="single" w:sz="4" w:space="0" w:color="auto"/>
            </w:tcBorders>
            <w:vAlign w:val="bottom"/>
          </w:tcPr>
          <w:p w14:paraId="49708FF9" w14:textId="7120EAB9" w:rsidR="00795D56" w:rsidRPr="00843561" w:rsidRDefault="00795D56" w:rsidP="00795D56">
            <w:pPr>
              <w:spacing w:before="0" w:after="0"/>
              <w:ind w:left="113"/>
              <w:jc w:val="right"/>
              <w:rPr>
                <w:rFonts w:cs="Arial"/>
                <w:color w:val="000000"/>
              </w:rPr>
            </w:pPr>
            <w:r w:rsidRPr="00B65D25">
              <w:rPr>
                <w:rFonts w:cs="Arial"/>
                <w:color w:val="000000"/>
              </w:rPr>
              <w:t>18.317,13</w:t>
            </w:r>
          </w:p>
        </w:tc>
        <w:tc>
          <w:tcPr>
            <w:tcW w:w="1559" w:type="dxa"/>
            <w:tcBorders>
              <w:bottom w:val="single" w:sz="4" w:space="0" w:color="auto"/>
            </w:tcBorders>
            <w:vAlign w:val="bottom"/>
          </w:tcPr>
          <w:p w14:paraId="5250201E" w14:textId="1C6CF095" w:rsidR="00795D56" w:rsidRPr="00843561" w:rsidRDefault="00795D56" w:rsidP="00795D56">
            <w:pPr>
              <w:spacing w:before="0" w:after="0"/>
              <w:ind w:left="113"/>
              <w:jc w:val="right"/>
              <w:rPr>
                <w:rFonts w:cs="Arial"/>
                <w:color w:val="000000"/>
              </w:rPr>
            </w:pPr>
            <w:r w:rsidRPr="00B65D25">
              <w:rPr>
                <w:rFonts w:cs="Arial"/>
                <w:color w:val="000000"/>
              </w:rPr>
              <w:t>18.721,37</w:t>
            </w:r>
          </w:p>
        </w:tc>
        <w:tc>
          <w:tcPr>
            <w:tcW w:w="1418" w:type="dxa"/>
            <w:tcBorders>
              <w:bottom w:val="single" w:sz="4" w:space="0" w:color="auto"/>
            </w:tcBorders>
            <w:vAlign w:val="bottom"/>
          </w:tcPr>
          <w:p w14:paraId="3B2BCFB8" w14:textId="0C6E6BD4" w:rsidR="00795D56" w:rsidRPr="00843561" w:rsidRDefault="00795D56" w:rsidP="00795D56">
            <w:pPr>
              <w:spacing w:before="0" w:after="0"/>
              <w:ind w:left="113"/>
              <w:jc w:val="right"/>
              <w:rPr>
                <w:rFonts w:cs="Arial"/>
                <w:color w:val="000000"/>
              </w:rPr>
            </w:pPr>
            <w:r w:rsidRPr="00391903">
              <w:rPr>
                <w:rFonts w:cs="Arial"/>
                <w:color w:val="000000"/>
              </w:rPr>
              <w:t>19.321,84</w:t>
            </w:r>
          </w:p>
        </w:tc>
        <w:tc>
          <w:tcPr>
            <w:tcW w:w="1417" w:type="dxa"/>
            <w:tcBorders>
              <w:bottom w:val="single" w:sz="4" w:space="0" w:color="auto"/>
            </w:tcBorders>
            <w:vAlign w:val="bottom"/>
          </w:tcPr>
          <w:p w14:paraId="456A00C8" w14:textId="6FAA0682" w:rsidR="00795D56" w:rsidRPr="00391903" w:rsidRDefault="00795D56" w:rsidP="00795D56">
            <w:pPr>
              <w:spacing w:before="0" w:after="0"/>
              <w:ind w:left="113"/>
              <w:jc w:val="right"/>
              <w:rPr>
                <w:rFonts w:cs="Arial"/>
                <w:color w:val="000000"/>
              </w:rPr>
            </w:pPr>
            <w:r w:rsidRPr="00795D56">
              <w:rPr>
                <w:rFonts w:cs="Arial"/>
                <w:color w:val="000000"/>
              </w:rPr>
              <w:t>19</w:t>
            </w:r>
            <w:r>
              <w:rPr>
                <w:rFonts w:cs="Arial"/>
                <w:color w:val="000000"/>
              </w:rPr>
              <w:t>.</w:t>
            </w:r>
            <w:r w:rsidRPr="00795D56">
              <w:rPr>
                <w:rFonts w:cs="Arial"/>
                <w:color w:val="000000"/>
              </w:rPr>
              <w:t>863,12</w:t>
            </w:r>
          </w:p>
        </w:tc>
      </w:tr>
      <w:tr w:rsidR="00795D56" w:rsidRPr="00037A46" w14:paraId="5FB1071B" w14:textId="0EACBFFE" w:rsidTr="00391903">
        <w:trPr>
          <w:trHeight w:val="312"/>
          <w:jc w:val="center"/>
        </w:trPr>
        <w:tc>
          <w:tcPr>
            <w:tcW w:w="1163" w:type="dxa"/>
            <w:shd w:val="clear" w:color="auto" w:fill="C0C0C0"/>
            <w:noWrap/>
            <w:vAlign w:val="bottom"/>
          </w:tcPr>
          <w:p w14:paraId="7C6F5685" w14:textId="77777777" w:rsidR="00795D56" w:rsidRPr="00037A46" w:rsidRDefault="00795D56" w:rsidP="00795D56">
            <w:pPr>
              <w:spacing w:before="0" w:after="0"/>
              <w:ind w:hanging="764"/>
              <w:jc w:val="right"/>
              <w:rPr>
                <w:b/>
                <w:bCs/>
                <w:lang w:val="en-US"/>
              </w:rPr>
            </w:pPr>
            <w:r w:rsidRPr="00037A46">
              <w:rPr>
                <w:b/>
                <w:bCs/>
                <w:lang w:val="en-US"/>
              </w:rPr>
              <w:lastRenderedPageBreak/>
              <w:t>21</w:t>
            </w:r>
          </w:p>
        </w:tc>
        <w:tc>
          <w:tcPr>
            <w:tcW w:w="1539" w:type="dxa"/>
            <w:tcBorders>
              <w:top w:val="single" w:sz="4" w:space="0" w:color="auto"/>
              <w:left w:val="nil"/>
              <w:bottom w:val="nil"/>
              <w:right w:val="single" w:sz="4" w:space="0" w:color="auto"/>
            </w:tcBorders>
            <w:noWrap/>
            <w:vAlign w:val="bottom"/>
          </w:tcPr>
          <w:p w14:paraId="56571DAF" w14:textId="24D97917"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471,31</w:t>
            </w:r>
          </w:p>
        </w:tc>
        <w:tc>
          <w:tcPr>
            <w:tcW w:w="1276" w:type="dxa"/>
            <w:tcBorders>
              <w:top w:val="single" w:sz="4" w:space="0" w:color="auto"/>
              <w:left w:val="single" w:sz="4" w:space="0" w:color="auto"/>
              <w:bottom w:val="nil"/>
              <w:right w:val="single" w:sz="4" w:space="0" w:color="auto"/>
            </w:tcBorders>
            <w:noWrap/>
            <w:vAlign w:val="bottom"/>
          </w:tcPr>
          <w:p w14:paraId="671A95AB" w14:textId="6B837B82"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806,01</w:t>
            </w:r>
          </w:p>
        </w:tc>
        <w:tc>
          <w:tcPr>
            <w:tcW w:w="1399" w:type="dxa"/>
            <w:tcBorders>
              <w:top w:val="single" w:sz="4" w:space="0" w:color="auto"/>
              <w:left w:val="single" w:sz="4" w:space="0" w:color="auto"/>
              <w:bottom w:val="nil"/>
              <w:right w:val="single" w:sz="4" w:space="0" w:color="auto"/>
            </w:tcBorders>
            <w:noWrap/>
            <w:vAlign w:val="bottom"/>
          </w:tcPr>
          <w:p w14:paraId="01ECABD3" w14:textId="7205D376"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240,93</w:t>
            </w:r>
          </w:p>
        </w:tc>
        <w:tc>
          <w:tcPr>
            <w:tcW w:w="1417" w:type="dxa"/>
            <w:tcBorders>
              <w:top w:val="single" w:sz="4" w:space="0" w:color="auto"/>
              <w:bottom w:val="nil"/>
            </w:tcBorders>
            <w:vAlign w:val="bottom"/>
          </w:tcPr>
          <w:p w14:paraId="0096905B" w14:textId="1BAC380B" w:rsidR="00795D56" w:rsidRPr="00843561" w:rsidRDefault="00795D56" w:rsidP="00795D56">
            <w:pPr>
              <w:spacing w:before="0" w:after="0"/>
              <w:ind w:left="113"/>
              <w:jc w:val="right"/>
              <w:rPr>
                <w:rFonts w:cs="Arial"/>
                <w:color w:val="000000"/>
              </w:rPr>
            </w:pPr>
            <w:r w:rsidRPr="008935E3">
              <w:rPr>
                <w:rFonts w:cs="Arial"/>
                <w:color w:val="000000"/>
              </w:rPr>
              <w:t>17</w:t>
            </w:r>
            <w:r>
              <w:rPr>
                <w:rFonts w:cs="Arial"/>
                <w:color w:val="000000"/>
              </w:rPr>
              <w:t>.</w:t>
            </w:r>
            <w:r w:rsidRPr="008935E3">
              <w:rPr>
                <w:rFonts w:cs="Arial"/>
                <w:color w:val="000000"/>
              </w:rPr>
              <w:t>770,24</w:t>
            </w:r>
          </w:p>
        </w:tc>
        <w:tc>
          <w:tcPr>
            <w:tcW w:w="1418" w:type="dxa"/>
            <w:tcBorders>
              <w:top w:val="single" w:sz="4" w:space="0" w:color="auto"/>
              <w:bottom w:val="nil"/>
            </w:tcBorders>
            <w:vAlign w:val="bottom"/>
          </w:tcPr>
          <w:p w14:paraId="64B704CD" w14:textId="16D9B26C" w:rsidR="00795D56" w:rsidRPr="00843561" w:rsidRDefault="00795D56" w:rsidP="00795D56">
            <w:pPr>
              <w:spacing w:before="0" w:after="0"/>
              <w:ind w:left="113"/>
              <w:jc w:val="right"/>
              <w:rPr>
                <w:rFonts w:cs="Arial"/>
                <w:color w:val="000000"/>
              </w:rPr>
            </w:pPr>
            <w:r w:rsidRPr="00B65D25">
              <w:rPr>
                <w:rFonts w:cs="Arial"/>
                <w:color w:val="000000"/>
              </w:rPr>
              <w:t>18.449,37</w:t>
            </w:r>
          </w:p>
        </w:tc>
        <w:tc>
          <w:tcPr>
            <w:tcW w:w="1559" w:type="dxa"/>
            <w:tcBorders>
              <w:top w:val="single" w:sz="4" w:space="0" w:color="auto"/>
              <w:bottom w:val="nil"/>
            </w:tcBorders>
            <w:vAlign w:val="bottom"/>
          </w:tcPr>
          <w:p w14:paraId="2EC11D4C" w14:textId="1A5638BB" w:rsidR="00795D56" w:rsidRPr="00843561" w:rsidRDefault="00795D56" w:rsidP="00795D56">
            <w:pPr>
              <w:spacing w:before="0" w:after="0"/>
              <w:ind w:left="113"/>
              <w:jc w:val="right"/>
              <w:rPr>
                <w:rFonts w:cs="Arial"/>
                <w:color w:val="000000"/>
              </w:rPr>
            </w:pPr>
            <w:r w:rsidRPr="00B65D25">
              <w:rPr>
                <w:rFonts w:cs="Arial"/>
                <w:color w:val="000000"/>
              </w:rPr>
              <w:t>18.839,82</w:t>
            </w:r>
          </w:p>
        </w:tc>
        <w:tc>
          <w:tcPr>
            <w:tcW w:w="1418" w:type="dxa"/>
            <w:tcBorders>
              <w:top w:val="single" w:sz="4" w:space="0" w:color="auto"/>
              <w:bottom w:val="nil"/>
            </w:tcBorders>
            <w:vAlign w:val="bottom"/>
          </w:tcPr>
          <w:p w14:paraId="388C7D6F" w14:textId="032B5A91" w:rsidR="00795D56" w:rsidRPr="00843561" w:rsidRDefault="00795D56" w:rsidP="00795D56">
            <w:pPr>
              <w:spacing w:before="0" w:after="0"/>
              <w:ind w:left="113"/>
              <w:jc w:val="right"/>
              <w:rPr>
                <w:rFonts w:cs="Arial"/>
                <w:color w:val="000000"/>
              </w:rPr>
            </w:pPr>
            <w:r w:rsidRPr="00391903">
              <w:rPr>
                <w:rFonts w:cs="Arial"/>
                <w:color w:val="000000"/>
              </w:rPr>
              <w:t>19.442,46</w:t>
            </w:r>
          </w:p>
        </w:tc>
        <w:tc>
          <w:tcPr>
            <w:tcW w:w="1417" w:type="dxa"/>
            <w:tcBorders>
              <w:top w:val="single" w:sz="4" w:space="0" w:color="auto"/>
              <w:bottom w:val="nil"/>
            </w:tcBorders>
            <w:vAlign w:val="bottom"/>
          </w:tcPr>
          <w:p w14:paraId="144E23C1" w14:textId="68C8ADEC" w:rsidR="00795D56" w:rsidRPr="00391903" w:rsidRDefault="00795D56" w:rsidP="00795D56">
            <w:pPr>
              <w:spacing w:before="0" w:after="0"/>
              <w:ind w:left="113"/>
              <w:jc w:val="right"/>
              <w:rPr>
                <w:rFonts w:cs="Arial"/>
                <w:color w:val="000000"/>
              </w:rPr>
            </w:pPr>
            <w:r w:rsidRPr="00795D56">
              <w:rPr>
                <w:rFonts w:cs="Arial"/>
                <w:color w:val="000000"/>
              </w:rPr>
              <w:t>19</w:t>
            </w:r>
            <w:r>
              <w:rPr>
                <w:rFonts w:cs="Arial"/>
                <w:color w:val="000000"/>
              </w:rPr>
              <w:t>.</w:t>
            </w:r>
            <w:r w:rsidRPr="00795D56">
              <w:rPr>
                <w:rFonts w:cs="Arial"/>
                <w:color w:val="000000"/>
              </w:rPr>
              <w:t>934,07</w:t>
            </w:r>
          </w:p>
        </w:tc>
      </w:tr>
      <w:tr w:rsidR="00795D56" w:rsidRPr="00037A46" w14:paraId="636C42E9" w14:textId="14BE6A99" w:rsidTr="00391903">
        <w:trPr>
          <w:trHeight w:val="300"/>
          <w:jc w:val="center"/>
        </w:trPr>
        <w:tc>
          <w:tcPr>
            <w:tcW w:w="1163" w:type="dxa"/>
            <w:shd w:val="clear" w:color="auto" w:fill="C0C0C0"/>
            <w:noWrap/>
            <w:vAlign w:val="bottom"/>
          </w:tcPr>
          <w:p w14:paraId="256A6DBA" w14:textId="77777777" w:rsidR="00795D56" w:rsidRPr="00037A46" w:rsidRDefault="00795D56" w:rsidP="00795D56">
            <w:pPr>
              <w:spacing w:before="0" w:after="0"/>
              <w:ind w:hanging="764"/>
              <w:jc w:val="right"/>
              <w:rPr>
                <w:b/>
                <w:bCs/>
                <w:lang w:val="en-US"/>
              </w:rPr>
            </w:pPr>
            <w:r w:rsidRPr="00037A46">
              <w:rPr>
                <w:b/>
                <w:bCs/>
                <w:lang w:val="en-US"/>
              </w:rPr>
              <w:t>22</w:t>
            </w:r>
          </w:p>
        </w:tc>
        <w:tc>
          <w:tcPr>
            <w:tcW w:w="1539" w:type="dxa"/>
            <w:tcBorders>
              <w:top w:val="nil"/>
              <w:left w:val="nil"/>
              <w:bottom w:val="nil"/>
              <w:right w:val="single" w:sz="4" w:space="0" w:color="auto"/>
            </w:tcBorders>
            <w:noWrap/>
            <w:vAlign w:val="bottom"/>
          </w:tcPr>
          <w:p w14:paraId="7F004704" w14:textId="46073D13"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513,08</w:t>
            </w:r>
          </w:p>
        </w:tc>
        <w:tc>
          <w:tcPr>
            <w:tcW w:w="1276" w:type="dxa"/>
            <w:tcBorders>
              <w:top w:val="nil"/>
              <w:left w:val="single" w:sz="4" w:space="0" w:color="auto"/>
              <w:bottom w:val="nil"/>
              <w:right w:val="single" w:sz="4" w:space="0" w:color="auto"/>
            </w:tcBorders>
            <w:noWrap/>
            <w:vAlign w:val="bottom"/>
          </w:tcPr>
          <w:p w14:paraId="48B16B79" w14:textId="56D2AEA9"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847,71</w:t>
            </w:r>
          </w:p>
        </w:tc>
        <w:tc>
          <w:tcPr>
            <w:tcW w:w="1399" w:type="dxa"/>
            <w:tcBorders>
              <w:top w:val="nil"/>
              <w:left w:val="single" w:sz="4" w:space="0" w:color="auto"/>
              <w:bottom w:val="nil"/>
              <w:right w:val="single" w:sz="4" w:space="0" w:color="auto"/>
            </w:tcBorders>
            <w:noWrap/>
            <w:vAlign w:val="bottom"/>
          </w:tcPr>
          <w:p w14:paraId="5974E715" w14:textId="648E59BD"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287,15</w:t>
            </w:r>
          </w:p>
        </w:tc>
        <w:tc>
          <w:tcPr>
            <w:tcW w:w="1417" w:type="dxa"/>
            <w:tcBorders>
              <w:top w:val="nil"/>
            </w:tcBorders>
            <w:vAlign w:val="bottom"/>
          </w:tcPr>
          <w:p w14:paraId="67D02C0A" w14:textId="38EEB6F2" w:rsidR="00795D56" w:rsidRPr="00843561" w:rsidRDefault="00795D56" w:rsidP="00795D56">
            <w:pPr>
              <w:spacing w:before="0" w:after="0"/>
              <w:ind w:left="113"/>
              <w:jc w:val="right"/>
              <w:rPr>
                <w:rFonts w:cs="Arial"/>
                <w:color w:val="000000"/>
              </w:rPr>
            </w:pPr>
            <w:r w:rsidRPr="008935E3">
              <w:rPr>
                <w:rFonts w:cs="Arial"/>
                <w:color w:val="000000"/>
              </w:rPr>
              <w:t>17</w:t>
            </w:r>
            <w:r>
              <w:rPr>
                <w:rFonts w:cs="Arial"/>
                <w:color w:val="000000"/>
              </w:rPr>
              <w:t>.</w:t>
            </w:r>
            <w:r w:rsidRPr="008935E3">
              <w:rPr>
                <w:rFonts w:cs="Arial"/>
                <w:color w:val="000000"/>
              </w:rPr>
              <w:t>821,33</w:t>
            </w:r>
          </w:p>
        </w:tc>
        <w:tc>
          <w:tcPr>
            <w:tcW w:w="1418" w:type="dxa"/>
            <w:tcBorders>
              <w:top w:val="nil"/>
            </w:tcBorders>
            <w:vAlign w:val="bottom"/>
          </w:tcPr>
          <w:p w14:paraId="2401C5E7" w14:textId="389E8C69" w:rsidR="00795D56" w:rsidRPr="00843561" w:rsidRDefault="00795D56" w:rsidP="00795D56">
            <w:pPr>
              <w:spacing w:before="0" w:after="0"/>
              <w:ind w:left="113"/>
              <w:jc w:val="right"/>
              <w:rPr>
                <w:rFonts w:cs="Arial"/>
                <w:color w:val="000000"/>
              </w:rPr>
            </w:pPr>
            <w:r w:rsidRPr="00B65D25">
              <w:rPr>
                <w:rFonts w:cs="Arial"/>
                <w:color w:val="000000"/>
              </w:rPr>
              <w:t>18.523,71</w:t>
            </w:r>
          </w:p>
        </w:tc>
        <w:tc>
          <w:tcPr>
            <w:tcW w:w="1559" w:type="dxa"/>
            <w:tcBorders>
              <w:top w:val="nil"/>
            </w:tcBorders>
            <w:vAlign w:val="bottom"/>
          </w:tcPr>
          <w:p w14:paraId="7273EFF4" w14:textId="78CB250A" w:rsidR="00795D56" w:rsidRPr="00843561" w:rsidRDefault="00795D56" w:rsidP="00795D56">
            <w:pPr>
              <w:spacing w:before="0" w:after="0"/>
              <w:ind w:left="113"/>
              <w:jc w:val="right"/>
              <w:rPr>
                <w:rFonts w:cs="Arial"/>
                <w:color w:val="000000"/>
              </w:rPr>
            </w:pPr>
            <w:r w:rsidRPr="00B65D25">
              <w:rPr>
                <w:rFonts w:cs="Arial"/>
                <w:color w:val="000000"/>
              </w:rPr>
              <w:t>18.901,32</w:t>
            </w:r>
          </w:p>
        </w:tc>
        <w:tc>
          <w:tcPr>
            <w:tcW w:w="1418" w:type="dxa"/>
            <w:tcBorders>
              <w:top w:val="nil"/>
            </w:tcBorders>
            <w:vAlign w:val="bottom"/>
          </w:tcPr>
          <w:p w14:paraId="36EACC61" w14:textId="313E2925" w:rsidR="00795D56" w:rsidRPr="00843561" w:rsidRDefault="00795D56" w:rsidP="00795D56">
            <w:pPr>
              <w:spacing w:before="0" w:after="0"/>
              <w:ind w:left="113"/>
              <w:jc w:val="right"/>
              <w:rPr>
                <w:rFonts w:cs="Arial"/>
                <w:color w:val="000000"/>
              </w:rPr>
            </w:pPr>
            <w:r w:rsidRPr="00391903">
              <w:rPr>
                <w:rFonts w:cs="Arial"/>
                <w:color w:val="000000"/>
              </w:rPr>
              <w:t>19.505,85</w:t>
            </w:r>
          </w:p>
        </w:tc>
        <w:tc>
          <w:tcPr>
            <w:tcW w:w="1417" w:type="dxa"/>
            <w:tcBorders>
              <w:top w:val="nil"/>
            </w:tcBorders>
            <w:vAlign w:val="bottom"/>
          </w:tcPr>
          <w:p w14:paraId="680C2DFF" w14:textId="75C52AF2" w:rsidR="00795D56" w:rsidRPr="00391903" w:rsidRDefault="00795D56" w:rsidP="00795D56">
            <w:pPr>
              <w:spacing w:before="0" w:after="0"/>
              <w:ind w:left="113"/>
              <w:jc w:val="right"/>
              <w:rPr>
                <w:rFonts w:cs="Arial"/>
                <w:color w:val="000000"/>
              </w:rPr>
            </w:pPr>
            <w:r w:rsidRPr="00795D56">
              <w:rPr>
                <w:rFonts w:cs="Arial"/>
                <w:color w:val="000000"/>
              </w:rPr>
              <w:t>20</w:t>
            </w:r>
            <w:r>
              <w:rPr>
                <w:rFonts w:cs="Arial"/>
                <w:color w:val="000000"/>
              </w:rPr>
              <w:t>.</w:t>
            </w:r>
            <w:r w:rsidRPr="00795D56">
              <w:rPr>
                <w:rFonts w:cs="Arial"/>
                <w:color w:val="000000"/>
              </w:rPr>
              <w:t>000,09</w:t>
            </w:r>
          </w:p>
        </w:tc>
      </w:tr>
      <w:tr w:rsidR="00795D56" w:rsidRPr="00037A46" w14:paraId="0C9EA847" w14:textId="364D753E" w:rsidTr="00391903">
        <w:trPr>
          <w:trHeight w:val="300"/>
          <w:jc w:val="center"/>
        </w:trPr>
        <w:tc>
          <w:tcPr>
            <w:tcW w:w="1163" w:type="dxa"/>
            <w:shd w:val="clear" w:color="auto" w:fill="C0C0C0"/>
            <w:noWrap/>
            <w:vAlign w:val="bottom"/>
          </w:tcPr>
          <w:p w14:paraId="4B4FDBA1" w14:textId="77777777" w:rsidR="00795D56" w:rsidRPr="00037A46" w:rsidRDefault="00795D56" w:rsidP="00795D56">
            <w:pPr>
              <w:spacing w:before="0" w:after="0"/>
              <w:ind w:hanging="764"/>
              <w:jc w:val="right"/>
              <w:rPr>
                <w:b/>
                <w:bCs/>
                <w:lang w:val="en-US"/>
              </w:rPr>
            </w:pPr>
            <w:r w:rsidRPr="00037A46">
              <w:rPr>
                <w:b/>
                <w:bCs/>
                <w:lang w:val="en-US"/>
              </w:rPr>
              <w:t>23</w:t>
            </w:r>
          </w:p>
        </w:tc>
        <w:tc>
          <w:tcPr>
            <w:tcW w:w="1539" w:type="dxa"/>
            <w:tcBorders>
              <w:top w:val="nil"/>
              <w:left w:val="nil"/>
              <w:bottom w:val="nil"/>
              <w:right w:val="single" w:sz="4" w:space="0" w:color="auto"/>
            </w:tcBorders>
            <w:noWrap/>
            <w:vAlign w:val="bottom"/>
          </w:tcPr>
          <w:p w14:paraId="51A99A69" w14:textId="1EBED3F4"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551,8</w:t>
            </w:r>
          </w:p>
        </w:tc>
        <w:tc>
          <w:tcPr>
            <w:tcW w:w="1276" w:type="dxa"/>
            <w:tcBorders>
              <w:top w:val="nil"/>
              <w:left w:val="single" w:sz="4" w:space="0" w:color="auto"/>
              <w:bottom w:val="nil"/>
              <w:right w:val="single" w:sz="4" w:space="0" w:color="auto"/>
            </w:tcBorders>
            <w:noWrap/>
            <w:vAlign w:val="bottom"/>
          </w:tcPr>
          <w:p w14:paraId="72958FB3" w14:textId="19907B30"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886,43</w:t>
            </w:r>
          </w:p>
        </w:tc>
        <w:tc>
          <w:tcPr>
            <w:tcW w:w="1399" w:type="dxa"/>
            <w:tcBorders>
              <w:top w:val="nil"/>
              <w:left w:val="single" w:sz="4" w:space="0" w:color="auto"/>
              <w:bottom w:val="nil"/>
              <w:right w:val="single" w:sz="4" w:space="0" w:color="auto"/>
            </w:tcBorders>
            <w:noWrap/>
            <w:vAlign w:val="bottom"/>
          </w:tcPr>
          <w:p w14:paraId="6EB6B2E5" w14:textId="44159BE0"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330,06</w:t>
            </w:r>
          </w:p>
        </w:tc>
        <w:tc>
          <w:tcPr>
            <w:tcW w:w="1417" w:type="dxa"/>
            <w:vAlign w:val="bottom"/>
          </w:tcPr>
          <w:p w14:paraId="1B6F1702" w14:textId="38ED22B1" w:rsidR="00795D56" w:rsidRPr="00843561" w:rsidRDefault="00795D56" w:rsidP="00795D56">
            <w:pPr>
              <w:spacing w:before="0" w:after="0"/>
              <w:ind w:left="113"/>
              <w:jc w:val="right"/>
              <w:rPr>
                <w:rFonts w:cs="Arial"/>
                <w:color w:val="000000"/>
              </w:rPr>
            </w:pPr>
            <w:r w:rsidRPr="008935E3">
              <w:rPr>
                <w:rFonts w:cs="Arial"/>
                <w:color w:val="000000"/>
              </w:rPr>
              <w:t>17</w:t>
            </w:r>
            <w:r>
              <w:rPr>
                <w:rFonts w:cs="Arial"/>
                <w:color w:val="000000"/>
              </w:rPr>
              <w:t>.</w:t>
            </w:r>
            <w:r w:rsidRPr="008935E3">
              <w:rPr>
                <w:rFonts w:cs="Arial"/>
                <w:color w:val="000000"/>
              </w:rPr>
              <w:t>868,77</w:t>
            </w:r>
          </w:p>
        </w:tc>
        <w:tc>
          <w:tcPr>
            <w:tcW w:w="1418" w:type="dxa"/>
            <w:vAlign w:val="bottom"/>
          </w:tcPr>
          <w:p w14:paraId="12B0B124" w14:textId="357D744F" w:rsidR="00795D56" w:rsidRPr="00843561" w:rsidRDefault="00795D56" w:rsidP="00795D56">
            <w:pPr>
              <w:spacing w:before="0" w:after="0"/>
              <w:ind w:left="113"/>
              <w:jc w:val="right"/>
              <w:rPr>
                <w:rFonts w:cs="Arial"/>
                <w:color w:val="000000"/>
              </w:rPr>
            </w:pPr>
            <w:r w:rsidRPr="00B65D25">
              <w:rPr>
                <w:rFonts w:cs="Arial"/>
                <w:color w:val="000000"/>
              </w:rPr>
              <w:t>18.592,77</w:t>
            </w:r>
          </w:p>
        </w:tc>
        <w:tc>
          <w:tcPr>
            <w:tcW w:w="1559" w:type="dxa"/>
            <w:vAlign w:val="bottom"/>
          </w:tcPr>
          <w:p w14:paraId="1ABDC19A" w14:textId="2458D8EF" w:rsidR="00795D56" w:rsidRPr="00843561" w:rsidRDefault="00795D56" w:rsidP="00795D56">
            <w:pPr>
              <w:spacing w:before="0" w:after="0"/>
              <w:ind w:left="113"/>
              <w:jc w:val="right"/>
              <w:rPr>
                <w:rFonts w:cs="Arial"/>
                <w:color w:val="000000"/>
              </w:rPr>
            </w:pPr>
            <w:r w:rsidRPr="00B65D25">
              <w:rPr>
                <w:rFonts w:cs="Arial"/>
                <w:color w:val="000000"/>
              </w:rPr>
              <w:t>18.958,35</w:t>
            </w:r>
          </w:p>
        </w:tc>
        <w:tc>
          <w:tcPr>
            <w:tcW w:w="1418" w:type="dxa"/>
            <w:vAlign w:val="bottom"/>
          </w:tcPr>
          <w:p w14:paraId="2DF05352" w14:textId="6D323040" w:rsidR="00795D56" w:rsidRPr="00843561" w:rsidRDefault="00795D56" w:rsidP="00795D56">
            <w:pPr>
              <w:spacing w:before="0" w:after="0"/>
              <w:ind w:left="113"/>
              <w:jc w:val="right"/>
              <w:rPr>
                <w:rFonts w:cs="Arial"/>
                <w:color w:val="000000"/>
              </w:rPr>
            </w:pPr>
            <w:r w:rsidRPr="00391903">
              <w:rPr>
                <w:rFonts w:cs="Arial"/>
                <w:color w:val="000000"/>
              </w:rPr>
              <w:t>19.564,7</w:t>
            </w:r>
          </w:p>
        </w:tc>
        <w:tc>
          <w:tcPr>
            <w:tcW w:w="1417" w:type="dxa"/>
            <w:vAlign w:val="bottom"/>
          </w:tcPr>
          <w:p w14:paraId="54978AB0" w14:textId="280D7B8E" w:rsidR="00795D56" w:rsidRPr="00391903" w:rsidRDefault="00795D56" w:rsidP="00795D56">
            <w:pPr>
              <w:spacing w:before="0" w:after="0"/>
              <w:ind w:left="113"/>
              <w:jc w:val="right"/>
              <w:rPr>
                <w:rFonts w:cs="Arial"/>
                <w:color w:val="000000"/>
              </w:rPr>
            </w:pPr>
            <w:r w:rsidRPr="00795D56">
              <w:rPr>
                <w:rFonts w:cs="Arial"/>
                <w:color w:val="000000"/>
              </w:rPr>
              <w:t>20</w:t>
            </w:r>
            <w:r>
              <w:rPr>
                <w:rFonts w:cs="Arial"/>
                <w:color w:val="000000"/>
              </w:rPr>
              <w:t>.</w:t>
            </w:r>
            <w:r w:rsidRPr="00795D56">
              <w:rPr>
                <w:rFonts w:cs="Arial"/>
                <w:color w:val="000000"/>
              </w:rPr>
              <w:t>061,25</w:t>
            </w:r>
          </w:p>
        </w:tc>
      </w:tr>
      <w:tr w:rsidR="00795D56" w:rsidRPr="00037A46" w14:paraId="475DC24D" w14:textId="54B0607F" w:rsidTr="00391903">
        <w:trPr>
          <w:trHeight w:val="300"/>
          <w:jc w:val="center"/>
        </w:trPr>
        <w:tc>
          <w:tcPr>
            <w:tcW w:w="1163" w:type="dxa"/>
            <w:shd w:val="clear" w:color="auto" w:fill="C0C0C0"/>
            <w:noWrap/>
            <w:vAlign w:val="bottom"/>
          </w:tcPr>
          <w:p w14:paraId="3DAA6EA1" w14:textId="34A18ADB" w:rsidR="00795D56" w:rsidRPr="00037A46" w:rsidRDefault="00795D56" w:rsidP="00795D56">
            <w:pPr>
              <w:spacing w:before="0" w:after="0"/>
              <w:ind w:hanging="764"/>
              <w:jc w:val="right"/>
              <w:rPr>
                <w:b/>
                <w:bCs/>
                <w:lang w:val="en-US"/>
              </w:rPr>
            </w:pPr>
            <w:r w:rsidRPr="00037A46">
              <w:rPr>
                <w:b/>
                <w:bCs/>
                <w:lang w:val="en-US"/>
              </w:rPr>
              <w:t>24</w:t>
            </w:r>
          </w:p>
        </w:tc>
        <w:tc>
          <w:tcPr>
            <w:tcW w:w="1539" w:type="dxa"/>
            <w:tcBorders>
              <w:top w:val="nil"/>
              <w:left w:val="nil"/>
              <w:bottom w:val="nil"/>
              <w:right w:val="single" w:sz="4" w:space="0" w:color="auto"/>
            </w:tcBorders>
            <w:noWrap/>
            <w:vAlign w:val="bottom"/>
          </w:tcPr>
          <w:p w14:paraId="44CD16A3" w14:textId="19D5E726"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587,68</w:t>
            </w:r>
          </w:p>
        </w:tc>
        <w:tc>
          <w:tcPr>
            <w:tcW w:w="1276" w:type="dxa"/>
            <w:tcBorders>
              <w:top w:val="nil"/>
              <w:left w:val="single" w:sz="4" w:space="0" w:color="auto"/>
              <w:bottom w:val="nil"/>
              <w:right w:val="single" w:sz="4" w:space="0" w:color="auto"/>
            </w:tcBorders>
            <w:noWrap/>
            <w:vAlign w:val="bottom"/>
          </w:tcPr>
          <w:p w14:paraId="0AEA3985" w14:textId="0EF2F43D"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922,31</w:t>
            </w:r>
          </w:p>
        </w:tc>
        <w:tc>
          <w:tcPr>
            <w:tcW w:w="1399" w:type="dxa"/>
            <w:tcBorders>
              <w:top w:val="nil"/>
              <w:left w:val="single" w:sz="4" w:space="0" w:color="auto"/>
              <w:bottom w:val="nil"/>
              <w:right w:val="single" w:sz="4" w:space="0" w:color="auto"/>
            </w:tcBorders>
            <w:noWrap/>
            <w:vAlign w:val="bottom"/>
          </w:tcPr>
          <w:p w14:paraId="56AD4FAC" w14:textId="0C09AFA7"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369,79</w:t>
            </w:r>
          </w:p>
        </w:tc>
        <w:tc>
          <w:tcPr>
            <w:tcW w:w="1417" w:type="dxa"/>
            <w:vAlign w:val="bottom"/>
          </w:tcPr>
          <w:p w14:paraId="142FA97F" w14:textId="7C58A814" w:rsidR="00795D56" w:rsidRPr="00843561" w:rsidRDefault="00795D56" w:rsidP="00795D56">
            <w:pPr>
              <w:spacing w:before="0" w:after="0"/>
              <w:ind w:left="113"/>
              <w:jc w:val="right"/>
              <w:rPr>
                <w:rFonts w:cs="Arial"/>
                <w:color w:val="000000"/>
              </w:rPr>
            </w:pPr>
            <w:r w:rsidRPr="008935E3">
              <w:rPr>
                <w:rFonts w:cs="Arial"/>
                <w:color w:val="000000"/>
              </w:rPr>
              <w:t>17</w:t>
            </w:r>
            <w:r>
              <w:rPr>
                <w:rFonts w:cs="Arial"/>
                <w:color w:val="000000"/>
              </w:rPr>
              <w:t>.</w:t>
            </w:r>
            <w:r w:rsidRPr="008935E3">
              <w:rPr>
                <w:rFonts w:cs="Arial"/>
                <w:color w:val="000000"/>
              </w:rPr>
              <w:t>912,69</w:t>
            </w:r>
          </w:p>
        </w:tc>
        <w:tc>
          <w:tcPr>
            <w:tcW w:w="1418" w:type="dxa"/>
            <w:vAlign w:val="bottom"/>
          </w:tcPr>
          <w:p w14:paraId="4D035D66" w14:textId="28E3BE36" w:rsidR="00795D56" w:rsidRPr="00843561" w:rsidRDefault="00795D56" w:rsidP="00795D56">
            <w:pPr>
              <w:spacing w:before="0" w:after="0"/>
              <w:ind w:left="113"/>
              <w:jc w:val="right"/>
              <w:rPr>
                <w:rFonts w:cs="Arial"/>
                <w:color w:val="000000"/>
              </w:rPr>
            </w:pPr>
            <w:r w:rsidRPr="00B65D25">
              <w:rPr>
                <w:rFonts w:cs="Arial"/>
                <w:color w:val="000000"/>
              </w:rPr>
              <w:t>18.656,76</w:t>
            </w:r>
          </w:p>
        </w:tc>
        <w:tc>
          <w:tcPr>
            <w:tcW w:w="1559" w:type="dxa"/>
            <w:vAlign w:val="bottom"/>
          </w:tcPr>
          <w:p w14:paraId="5C9B6F58" w14:textId="7F871CAA" w:rsidR="00795D56" w:rsidRPr="00843561" w:rsidRDefault="00795D56" w:rsidP="00795D56">
            <w:pPr>
              <w:spacing w:before="0" w:after="0"/>
              <w:ind w:left="113"/>
              <w:jc w:val="right"/>
              <w:rPr>
                <w:rFonts w:cs="Arial"/>
                <w:color w:val="000000"/>
              </w:rPr>
            </w:pPr>
            <w:r w:rsidRPr="00B65D25">
              <w:rPr>
                <w:rFonts w:cs="Arial"/>
                <w:color w:val="000000"/>
              </w:rPr>
              <w:t>19.011,26</w:t>
            </w:r>
          </w:p>
        </w:tc>
        <w:tc>
          <w:tcPr>
            <w:tcW w:w="1418" w:type="dxa"/>
            <w:vAlign w:val="bottom"/>
          </w:tcPr>
          <w:p w14:paraId="168B610A" w14:textId="3971E822" w:rsidR="00795D56" w:rsidRPr="00843561" w:rsidRDefault="00795D56" w:rsidP="00795D56">
            <w:pPr>
              <w:spacing w:before="0" w:after="0"/>
              <w:ind w:left="113"/>
              <w:jc w:val="right"/>
              <w:rPr>
                <w:rFonts w:cs="Arial"/>
                <w:color w:val="000000"/>
              </w:rPr>
            </w:pPr>
            <w:r w:rsidRPr="00391903">
              <w:rPr>
                <w:rFonts w:cs="Arial"/>
                <w:color w:val="000000"/>
              </w:rPr>
              <w:t>16.19,37</w:t>
            </w:r>
          </w:p>
        </w:tc>
        <w:tc>
          <w:tcPr>
            <w:tcW w:w="1417" w:type="dxa"/>
            <w:vAlign w:val="bottom"/>
          </w:tcPr>
          <w:p w14:paraId="0D72CAD2" w14:textId="2849B0F5" w:rsidR="00795D56" w:rsidRPr="00391903" w:rsidRDefault="00795D56" w:rsidP="00795D56">
            <w:pPr>
              <w:spacing w:before="0" w:after="0"/>
              <w:ind w:left="113"/>
              <w:jc w:val="right"/>
              <w:rPr>
                <w:rFonts w:cs="Arial"/>
                <w:color w:val="000000"/>
              </w:rPr>
            </w:pPr>
            <w:r w:rsidRPr="00795D56">
              <w:rPr>
                <w:rFonts w:cs="Arial"/>
                <w:color w:val="000000"/>
              </w:rPr>
              <w:t>20</w:t>
            </w:r>
            <w:r>
              <w:rPr>
                <w:rFonts w:cs="Arial"/>
                <w:color w:val="000000"/>
              </w:rPr>
              <w:t>.</w:t>
            </w:r>
            <w:r w:rsidRPr="00795D56">
              <w:rPr>
                <w:rFonts w:cs="Arial"/>
                <w:color w:val="000000"/>
              </w:rPr>
              <w:t>117,94</w:t>
            </w:r>
          </w:p>
        </w:tc>
      </w:tr>
      <w:tr w:rsidR="00795D56" w:rsidRPr="00037A46" w14:paraId="4F512A44" w14:textId="07DB963C" w:rsidTr="00391903">
        <w:trPr>
          <w:trHeight w:val="300"/>
          <w:jc w:val="center"/>
        </w:trPr>
        <w:tc>
          <w:tcPr>
            <w:tcW w:w="1163" w:type="dxa"/>
            <w:shd w:val="clear" w:color="auto" w:fill="C0C0C0"/>
            <w:noWrap/>
          </w:tcPr>
          <w:p w14:paraId="1AA5913C" w14:textId="5317823E" w:rsidR="00795D56" w:rsidRPr="00037A46" w:rsidRDefault="00795D56" w:rsidP="00795D56">
            <w:pPr>
              <w:spacing w:before="0" w:after="0"/>
              <w:ind w:hanging="764"/>
              <w:jc w:val="right"/>
              <w:rPr>
                <w:b/>
                <w:bCs/>
                <w:lang w:val="en-US"/>
              </w:rPr>
            </w:pPr>
            <w:r>
              <w:rPr>
                <w:b/>
                <w:bCs/>
                <w:lang w:val="en-US"/>
              </w:rPr>
              <w:t>25</w:t>
            </w:r>
          </w:p>
        </w:tc>
        <w:tc>
          <w:tcPr>
            <w:tcW w:w="1539" w:type="dxa"/>
            <w:tcBorders>
              <w:top w:val="nil"/>
              <w:left w:val="nil"/>
              <w:bottom w:val="nil"/>
              <w:right w:val="single" w:sz="4" w:space="0" w:color="auto"/>
            </w:tcBorders>
            <w:noWrap/>
            <w:vAlign w:val="bottom"/>
          </w:tcPr>
          <w:p w14:paraId="5CC15C79" w14:textId="3E11566D"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620,99</w:t>
            </w:r>
          </w:p>
        </w:tc>
        <w:tc>
          <w:tcPr>
            <w:tcW w:w="1276" w:type="dxa"/>
            <w:tcBorders>
              <w:top w:val="nil"/>
              <w:left w:val="single" w:sz="4" w:space="0" w:color="auto"/>
              <w:bottom w:val="nil"/>
              <w:right w:val="single" w:sz="4" w:space="0" w:color="auto"/>
            </w:tcBorders>
            <w:noWrap/>
            <w:vAlign w:val="bottom"/>
          </w:tcPr>
          <w:p w14:paraId="01057836" w14:textId="27A563D0"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955,56</w:t>
            </w:r>
          </w:p>
        </w:tc>
        <w:tc>
          <w:tcPr>
            <w:tcW w:w="1399" w:type="dxa"/>
            <w:tcBorders>
              <w:top w:val="nil"/>
              <w:left w:val="single" w:sz="4" w:space="0" w:color="auto"/>
              <w:bottom w:val="nil"/>
              <w:right w:val="single" w:sz="4" w:space="0" w:color="auto"/>
            </w:tcBorders>
            <w:noWrap/>
            <w:vAlign w:val="bottom"/>
          </w:tcPr>
          <w:p w14:paraId="49E15275" w14:textId="6AA453E3"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406,69</w:t>
            </w:r>
          </w:p>
        </w:tc>
        <w:tc>
          <w:tcPr>
            <w:tcW w:w="1417" w:type="dxa"/>
            <w:vAlign w:val="bottom"/>
          </w:tcPr>
          <w:p w14:paraId="4D2AA6DC" w14:textId="703507EA" w:rsidR="00795D56" w:rsidRPr="00843561" w:rsidRDefault="00795D56" w:rsidP="00795D56">
            <w:pPr>
              <w:spacing w:before="0" w:after="0"/>
              <w:ind w:left="113"/>
              <w:jc w:val="right"/>
              <w:rPr>
                <w:rFonts w:cs="Arial"/>
                <w:color w:val="000000"/>
              </w:rPr>
            </w:pPr>
            <w:r w:rsidRPr="008935E3">
              <w:rPr>
                <w:rFonts w:cs="Arial"/>
                <w:color w:val="000000"/>
              </w:rPr>
              <w:t>17</w:t>
            </w:r>
            <w:r>
              <w:rPr>
                <w:rFonts w:cs="Arial"/>
                <w:color w:val="000000"/>
              </w:rPr>
              <w:t>.</w:t>
            </w:r>
            <w:r w:rsidRPr="008935E3">
              <w:rPr>
                <w:rFonts w:cs="Arial"/>
                <w:color w:val="000000"/>
              </w:rPr>
              <w:t>953,44</w:t>
            </w:r>
          </w:p>
        </w:tc>
        <w:tc>
          <w:tcPr>
            <w:tcW w:w="1418" w:type="dxa"/>
            <w:vAlign w:val="bottom"/>
          </w:tcPr>
          <w:p w14:paraId="7719C95C" w14:textId="4404EA58" w:rsidR="00795D56" w:rsidRPr="00843561" w:rsidRDefault="00795D56" w:rsidP="00795D56">
            <w:pPr>
              <w:spacing w:before="0" w:after="0"/>
              <w:ind w:left="113"/>
              <w:jc w:val="right"/>
              <w:rPr>
                <w:rFonts w:cs="Arial"/>
                <w:color w:val="000000"/>
              </w:rPr>
            </w:pPr>
            <w:r w:rsidRPr="00B65D25">
              <w:rPr>
                <w:rFonts w:cs="Arial"/>
                <w:color w:val="000000"/>
              </w:rPr>
              <w:t>18.716,23</w:t>
            </w:r>
          </w:p>
        </w:tc>
        <w:tc>
          <w:tcPr>
            <w:tcW w:w="1559" w:type="dxa"/>
            <w:vAlign w:val="bottom"/>
          </w:tcPr>
          <w:p w14:paraId="1B166A4D" w14:textId="7D63AFC6" w:rsidR="00795D56" w:rsidRPr="00843561" w:rsidRDefault="00795D56" w:rsidP="00795D56">
            <w:pPr>
              <w:spacing w:before="0" w:after="0"/>
              <w:ind w:left="113"/>
              <w:jc w:val="right"/>
              <w:rPr>
                <w:rFonts w:cs="Arial"/>
                <w:color w:val="000000"/>
              </w:rPr>
            </w:pPr>
            <w:r w:rsidRPr="00B65D25">
              <w:rPr>
                <w:rFonts w:cs="Arial"/>
                <w:color w:val="000000"/>
              </w:rPr>
              <w:t>19.060,32</w:t>
            </w:r>
          </w:p>
        </w:tc>
        <w:tc>
          <w:tcPr>
            <w:tcW w:w="1418" w:type="dxa"/>
            <w:vAlign w:val="bottom"/>
          </w:tcPr>
          <w:p w14:paraId="055EA242" w14:textId="61E334F2" w:rsidR="00795D56" w:rsidRPr="00843561" w:rsidRDefault="00795D56" w:rsidP="00795D56">
            <w:pPr>
              <w:spacing w:before="0" w:after="0"/>
              <w:ind w:left="113"/>
              <w:jc w:val="right"/>
              <w:rPr>
                <w:rFonts w:cs="Arial"/>
                <w:color w:val="000000"/>
              </w:rPr>
            </w:pPr>
            <w:r w:rsidRPr="00391903">
              <w:rPr>
                <w:rFonts w:cs="Arial"/>
                <w:color w:val="000000"/>
              </w:rPr>
              <w:t>19.669,99</w:t>
            </w:r>
          </w:p>
        </w:tc>
        <w:tc>
          <w:tcPr>
            <w:tcW w:w="1417" w:type="dxa"/>
            <w:vAlign w:val="bottom"/>
          </w:tcPr>
          <w:p w14:paraId="0E1F3B44" w14:textId="2E166D96" w:rsidR="00795D56" w:rsidRPr="00391903" w:rsidRDefault="00795D56" w:rsidP="00795D56">
            <w:pPr>
              <w:spacing w:before="0" w:after="0"/>
              <w:ind w:left="113"/>
              <w:jc w:val="right"/>
              <w:rPr>
                <w:rFonts w:cs="Arial"/>
                <w:color w:val="000000"/>
              </w:rPr>
            </w:pPr>
            <w:r w:rsidRPr="00795D56">
              <w:rPr>
                <w:rFonts w:cs="Arial"/>
                <w:color w:val="000000"/>
              </w:rPr>
              <w:t>20</w:t>
            </w:r>
            <w:r>
              <w:rPr>
                <w:rFonts w:cs="Arial"/>
                <w:color w:val="000000"/>
              </w:rPr>
              <w:t>.</w:t>
            </w:r>
            <w:r w:rsidRPr="00795D56">
              <w:rPr>
                <w:rFonts w:cs="Arial"/>
                <w:color w:val="000000"/>
              </w:rPr>
              <w:t>170,65</w:t>
            </w:r>
          </w:p>
        </w:tc>
      </w:tr>
      <w:tr w:rsidR="00795D56" w:rsidRPr="00037A46" w14:paraId="3103B6C1" w14:textId="5F314D68" w:rsidTr="00391903">
        <w:trPr>
          <w:trHeight w:val="300"/>
          <w:jc w:val="center"/>
        </w:trPr>
        <w:tc>
          <w:tcPr>
            <w:tcW w:w="1163" w:type="dxa"/>
            <w:shd w:val="clear" w:color="auto" w:fill="C0C0C0"/>
            <w:noWrap/>
          </w:tcPr>
          <w:p w14:paraId="77CF62A5" w14:textId="55793E97" w:rsidR="00795D56" w:rsidRPr="00037A46" w:rsidRDefault="00795D56" w:rsidP="00795D56">
            <w:pPr>
              <w:spacing w:before="0" w:after="0"/>
              <w:ind w:hanging="764"/>
              <w:jc w:val="right"/>
              <w:rPr>
                <w:b/>
                <w:bCs/>
                <w:lang w:val="en-US"/>
              </w:rPr>
            </w:pPr>
            <w:r>
              <w:rPr>
                <w:b/>
                <w:bCs/>
                <w:lang w:val="en-US"/>
              </w:rPr>
              <w:t>26</w:t>
            </w:r>
          </w:p>
        </w:tc>
        <w:tc>
          <w:tcPr>
            <w:tcW w:w="1539" w:type="dxa"/>
            <w:tcBorders>
              <w:top w:val="nil"/>
              <w:left w:val="nil"/>
              <w:bottom w:val="nil"/>
              <w:right w:val="single" w:sz="4" w:space="0" w:color="auto"/>
            </w:tcBorders>
            <w:noWrap/>
            <w:vAlign w:val="bottom"/>
          </w:tcPr>
          <w:p w14:paraId="6A083C04" w14:textId="3A2D6139"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651,81</w:t>
            </w:r>
          </w:p>
        </w:tc>
        <w:tc>
          <w:tcPr>
            <w:tcW w:w="1276" w:type="dxa"/>
            <w:tcBorders>
              <w:top w:val="nil"/>
              <w:left w:val="single" w:sz="4" w:space="0" w:color="auto"/>
              <w:bottom w:val="nil"/>
              <w:right w:val="single" w:sz="4" w:space="0" w:color="auto"/>
            </w:tcBorders>
            <w:noWrap/>
            <w:vAlign w:val="bottom"/>
          </w:tcPr>
          <w:p w14:paraId="58F34AD4" w14:textId="3BF1004D"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038,74</w:t>
            </w:r>
          </w:p>
        </w:tc>
        <w:tc>
          <w:tcPr>
            <w:tcW w:w="1399" w:type="dxa"/>
            <w:tcBorders>
              <w:top w:val="nil"/>
              <w:left w:val="single" w:sz="4" w:space="0" w:color="auto"/>
              <w:bottom w:val="nil"/>
              <w:right w:val="single" w:sz="4" w:space="0" w:color="auto"/>
            </w:tcBorders>
            <w:noWrap/>
            <w:vAlign w:val="bottom"/>
          </w:tcPr>
          <w:p w14:paraId="088A9E01" w14:textId="3D330A79"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493,19</w:t>
            </w:r>
          </w:p>
        </w:tc>
        <w:tc>
          <w:tcPr>
            <w:tcW w:w="1417" w:type="dxa"/>
            <w:vAlign w:val="bottom"/>
          </w:tcPr>
          <w:p w14:paraId="35D0C2A6" w14:textId="3D7D9791" w:rsidR="00795D56" w:rsidRPr="00843561" w:rsidRDefault="00795D56" w:rsidP="00795D56">
            <w:pPr>
              <w:spacing w:before="0" w:after="0"/>
              <w:ind w:left="113"/>
              <w:jc w:val="right"/>
              <w:rPr>
                <w:rFonts w:cs="Arial"/>
                <w:color w:val="000000"/>
              </w:rPr>
            </w:pPr>
            <w:r w:rsidRPr="008935E3">
              <w:rPr>
                <w:rFonts w:cs="Arial"/>
                <w:color w:val="000000"/>
              </w:rPr>
              <w:t>18</w:t>
            </w:r>
            <w:r>
              <w:rPr>
                <w:rFonts w:cs="Arial"/>
                <w:color w:val="000000"/>
              </w:rPr>
              <w:t>.</w:t>
            </w:r>
            <w:r w:rsidRPr="008935E3">
              <w:rPr>
                <w:rFonts w:cs="Arial"/>
                <w:color w:val="000000"/>
              </w:rPr>
              <w:t>043,52</w:t>
            </w:r>
          </w:p>
        </w:tc>
        <w:tc>
          <w:tcPr>
            <w:tcW w:w="1418" w:type="dxa"/>
            <w:vAlign w:val="bottom"/>
          </w:tcPr>
          <w:p w14:paraId="729B9362" w14:textId="0B9F0BD0" w:rsidR="00795D56" w:rsidRPr="00843561" w:rsidRDefault="00795D56" w:rsidP="00795D56">
            <w:pPr>
              <w:spacing w:before="0" w:after="0"/>
              <w:ind w:left="113"/>
              <w:jc w:val="right"/>
              <w:rPr>
                <w:rFonts w:cs="Arial"/>
                <w:color w:val="000000"/>
              </w:rPr>
            </w:pPr>
            <w:r w:rsidRPr="00B65D25">
              <w:rPr>
                <w:rFonts w:cs="Arial"/>
                <w:color w:val="000000"/>
              </w:rPr>
              <w:t>18.823,74</w:t>
            </w:r>
          </w:p>
        </w:tc>
        <w:tc>
          <w:tcPr>
            <w:tcW w:w="1559" w:type="dxa"/>
            <w:vAlign w:val="bottom"/>
          </w:tcPr>
          <w:p w14:paraId="76284A2A" w14:textId="012667B3" w:rsidR="00795D56" w:rsidRPr="00843561" w:rsidRDefault="00795D56" w:rsidP="00795D56">
            <w:pPr>
              <w:spacing w:before="0" w:after="0"/>
              <w:ind w:left="113"/>
              <w:jc w:val="right"/>
              <w:rPr>
                <w:rFonts w:cs="Arial"/>
                <w:color w:val="000000"/>
              </w:rPr>
            </w:pPr>
            <w:r w:rsidRPr="00B65D25">
              <w:rPr>
                <w:rFonts w:cs="Arial"/>
                <w:color w:val="000000"/>
              </w:rPr>
              <w:t>19.158,1</w:t>
            </w:r>
          </w:p>
        </w:tc>
        <w:tc>
          <w:tcPr>
            <w:tcW w:w="1418" w:type="dxa"/>
            <w:vAlign w:val="bottom"/>
          </w:tcPr>
          <w:p w14:paraId="41D7A777" w14:textId="64730486" w:rsidR="00795D56" w:rsidRPr="00843561" w:rsidRDefault="00795D56" w:rsidP="00795D56">
            <w:pPr>
              <w:spacing w:before="0" w:after="0"/>
              <w:ind w:left="113"/>
              <w:jc w:val="right"/>
              <w:rPr>
                <w:rFonts w:cs="Arial"/>
                <w:color w:val="000000"/>
              </w:rPr>
            </w:pPr>
            <w:r w:rsidRPr="00391903">
              <w:rPr>
                <w:rFonts w:cs="Arial"/>
                <w:color w:val="000000"/>
              </w:rPr>
              <w:t>19.769,32</w:t>
            </w:r>
          </w:p>
        </w:tc>
        <w:tc>
          <w:tcPr>
            <w:tcW w:w="1417" w:type="dxa"/>
            <w:vAlign w:val="bottom"/>
          </w:tcPr>
          <w:p w14:paraId="01738758" w14:textId="2D76F161" w:rsidR="00795D56" w:rsidRPr="00391903" w:rsidRDefault="00795D56" w:rsidP="00795D56">
            <w:pPr>
              <w:spacing w:before="0" w:after="0"/>
              <w:ind w:left="113"/>
              <w:jc w:val="right"/>
              <w:rPr>
                <w:rFonts w:cs="Arial"/>
                <w:color w:val="000000"/>
              </w:rPr>
            </w:pPr>
            <w:r w:rsidRPr="00795D56">
              <w:rPr>
                <w:rFonts w:cs="Arial"/>
                <w:color w:val="000000"/>
              </w:rPr>
              <w:t>20</w:t>
            </w:r>
            <w:r>
              <w:rPr>
                <w:rFonts w:cs="Arial"/>
                <w:color w:val="000000"/>
              </w:rPr>
              <w:t>.</w:t>
            </w:r>
            <w:r w:rsidRPr="00795D56">
              <w:rPr>
                <w:rFonts w:cs="Arial"/>
                <w:color w:val="000000"/>
              </w:rPr>
              <w:t>219,51</w:t>
            </w:r>
          </w:p>
        </w:tc>
      </w:tr>
      <w:tr w:rsidR="00795D56" w:rsidRPr="00037A46" w14:paraId="7C711C6A" w14:textId="481BF869" w:rsidTr="00391903">
        <w:trPr>
          <w:trHeight w:val="300"/>
          <w:jc w:val="center"/>
        </w:trPr>
        <w:tc>
          <w:tcPr>
            <w:tcW w:w="1163" w:type="dxa"/>
            <w:shd w:val="clear" w:color="auto" w:fill="C0C0C0"/>
            <w:noWrap/>
          </w:tcPr>
          <w:p w14:paraId="7686E107" w14:textId="1C5DBB7E" w:rsidR="00795D56" w:rsidRPr="00037A46" w:rsidRDefault="00795D56" w:rsidP="00795D56">
            <w:pPr>
              <w:spacing w:before="0" w:after="0"/>
              <w:ind w:hanging="764"/>
              <w:jc w:val="right"/>
              <w:rPr>
                <w:b/>
                <w:bCs/>
                <w:lang w:val="en-US"/>
              </w:rPr>
            </w:pPr>
            <w:r>
              <w:rPr>
                <w:b/>
                <w:bCs/>
                <w:lang w:val="en-US"/>
              </w:rPr>
              <w:t>27</w:t>
            </w:r>
          </w:p>
        </w:tc>
        <w:tc>
          <w:tcPr>
            <w:tcW w:w="1539" w:type="dxa"/>
            <w:tcBorders>
              <w:top w:val="nil"/>
              <w:left w:val="nil"/>
              <w:bottom w:val="nil"/>
              <w:right w:val="single" w:sz="4" w:space="0" w:color="auto"/>
            </w:tcBorders>
            <w:noWrap/>
            <w:vAlign w:val="bottom"/>
          </w:tcPr>
          <w:p w14:paraId="2F73BE5C" w14:textId="79F7A870"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680,32</w:t>
            </w:r>
          </w:p>
        </w:tc>
        <w:tc>
          <w:tcPr>
            <w:tcW w:w="1276" w:type="dxa"/>
            <w:tcBorders>
              <w:top w:val="nil"/>
              <w:left w:val="single" w:sz="4" w:space="0" w:color="auto"/>
              <w:bottom w:val="nil"/>
              <w:right w:val="single" w:sz="4" w:space="0" w:color="auto"/>
            </w:tcBorders>
            <w:noWrap/>
            <w:vAlign w:val="bottom"/>
          </w:tcPr>
          <w:p w14:paraId="065A89CB" w14:textId="781E42AE"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067,33</w:t>
            </w:r>
          </w:p>
        </w:tc>
        <w:tc>
          <w:tcPr>
            <w:tcW w:w="1399" w:type="dxa"/>
            <w:tcBorders>
              <w:top w:val="nil"/>
              <w:left w:val="single" w:sz="4" w:space="0" w:color="auto"/>
              <w:bottom w:val="nil"/>
              <w:right w:val="single" w:sz="4" w:space="0" w:color="auto"/>
            </w:tcBorders>
            <w:noWrap/>
            <w:vAlign w:val="bottom"/>
          </w:tcPr>
          <w:p w14:paraId="5A64F754" w14:textId="6A25AA15"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524,81</w:t>
            </w:r>
          </w:p>
        </w:tc>
        <w:tc>
          <w:tcPr>
            <w:tcW w:w="1417" w:type="dxa"/>
            <w:vAlign w:val="bottom"/>
          </w:tcPr>
          <w:p w14:paraId="2F57432F" w14:textId="162C5D63" w:rsidR="00795D56" w:rsidRPr="00843561" w:rsidRDefault="00795D56" w:rsidP="00795D56">
            <w:pPr>
              <w:spacing w:before="0" w:after="0"/>
              <w:ind w:left="113"/>
              <w:jc w:val="right"/>
              <w:rPr>
                <w:rFonts w:cs="Arial"/>
                <w:color w:val="000000"/>
              </w:rPr>
            </w:pPr>
            <w:r w:rsidRPr="008935E3">
              <w:rPr>
                <w:rFonts w:cs="Arial"/>
                <w:color w:val="000000"/>
              </w:rPr>
              <w:t>18</w:t>
            </w:r>
            <w:r>
              <w:rPr>
                <w:rFonts w:cs="Arial"/>
                <w:color w:val="000000"/>
              </w:rPr>
              <w:t>.</w:t>
            </w:r>
            <w:r w:rsidRPr="008935E3">
              <w:rPr>
                <w:rFonts w:cs="Arial"/>
                <w:color w:val="000000"/>
              </w:rPr>
              <w:t>078,59</w:t>
            </w:r>
          </w:p>
        </w:tc>
        <w:tc>
          <w:tcPr>
            <w:tcW w:w="1418" w:type="dxa"/>
            <w:vAlign w:val="bottom"/>
          </w:tcPr>
          <w:p w14:paraId="15ADC57A" w14:textId="6F94D5DE" w:rsidR="00795D56" w:rsidRPr="00843561" w:rsidRDefault="00795D56" w:rsidP="00795D56">
            <w:pPr>
              <w:spacing w:before="0" w:after="0"/>
              <w:ind w:left="113"/>
              <w:jc w:val="right"/>
              <w:rPr>
                <w:rFonts w:cs="Arial"/>
                <w:color w:val="000000"/>
              </w:rPr>
            </w:pPr>
            <w:r w:rsidRPr="00B65D25">
              <w:rPr>
                <w:rFonts w:cs="Arial"/>
                <w:color w:val="000000"/>
              </w:rPr>
              <w:t>18.874,9</w:t>
            </w:r>
          </w:p>
        </w:tc>
        <w:tc>
          <w:tcPr>
            <w:tcW w:w="1559" w:type="dxa"/>
            <w:vAlign w:val="bottom"/>
          </w:tcPr>
          <w:p w14:paraId="09A08CF2" w14:textId="3964E60A" w:rsidR="00795D56" w:rsidRPr="00843561" w:rsidRDefault="00795D56" w:rsidP="00795D56">
            <w:pPr>
              <w:spacing w:before="0" w:after="0"/>
              <w:ind w:left="113"/>
              <w:jc w:val="right"/>
              <w:rPr>
                <w:rFonts w:cs="Arial"/>
                <w:color w:val="000000"/>
              </w:rPr>
            </w:pPr>
            <w:r w:rsidRPr="00B65D25">
              <w:rPr>
                <w:rFonts w:cs="Arial"/>
                <w:color w:val="000000"/>
              </w:rPr>
              <w:t>19.200,34</w:t>
            </w:r>
          </w:p>
        </w:tc>
        <w:tc>
          <w:tcPr>
            <w:tcW w:w="1418" w:type="dxa"/>
            <w:vAlign w:val="bottom"/>
          </w:tcPr>
          <w:p w14:paraId="046A7A9D" w14:textId="2B817600" w:rsidR="00795D56" w:rsidRPr="00843561" w:rsidRDefault="00795D56" w:rsidP="00795D56">
            <w:pPr>
              <w:spacing w:before="0" w:after="0"/>
              <w:ind w:left="113"/>
              <w:jc w:val="right"/>
              <w:rPr>
                <w:rFonts w:cs="Arial"/>
                <w:color w:val="000000"/>
              </w:rPr>
            </w:pPr>
            <w:r w:rsidRPr="00391903">
              <w:rPr>
                <w:rFonts w:cs="Arial"/>
                <w:color w:val="000000"/>
              </w:rPr>
              <w:t>19.812,84</w:t>
            </w:r>
          </w:p>
        </w:tc>
        <w:tc>
          <w:tcPr>
            <w:tcW w:w="1417" w:type="dxa"/>
            <w:vAlign w:val="bottom"/>
          </w:tcPr>
          <w:p w14:paraId="7415ABE2" w14:textId="4716E091" w:rsidR="00795D56" w:rsidRPr="00391903" w:rsidRDefault="00795D56" w:rsidP="00795D56">
            <w:pPr>
              <w:spacing w:before="0" w:after="0"/>
              <w:ind w:left="113"/>
              <w:jc w:val="right"/>
              <w:rPr>
                <w:rFonts w:cs="Arial"/>
                <w:color w:val="000000"/>
              </w:rPr>
            </w:pPr>
            <w:r w:rsidRPr="00795D56">
              <w:rPr>
                <w:rFonts w:cs="Arial"/>
                <w:color w:val="000000"/>
              </w:rPr>
              <w:t>20</w:t>
            </w:r>
            <w:r>
              <w:rPr>
                <w:rFonts w:cs="Arial"/>
                <w:color w:val="000000"/>
              </w:rPr>
              <w:t>.</w:t>
            </w:r>
            <w:r w:rsidRPr="00795D56">
              <w:rPr>
                <w:rFonts w:cs="Arial"/>
                <w:color w:val="000000"/>
              </w:rPr>
              <w:t>264,78</w:t>
            </w:r>
          </w:p>
        </w:tc>
      </w:tr>
      <w:tr w:rsidR="00795D56" w:rsidRPr="00037A46" w14:paraId="12712FAC" w14:textId="7E6FFD4D" w:rsidTr="00391903">
        <w:trPr>
          <w:trHeight w:val="300"/>
          <w:jc w:val="center"/>
        </w:trPr>
        <w:tc>
          <w:tcPr>
            <w:tcW w:w="1163" w:type="dxa"/>
            <w:shd w:val="clear" w:color="auto" w:fill="C0C0C0"/>
            <w:noWrap/>
          </w:tcPr>
          <w:p w14:paraId="1A5C1754" w14:textId="26EC338A" w:rsidR="00795D56" w:rsidRPr="00037A46" w:rsidRDefault="00795D56" w:rsidP="00795D56">
            <w:pPr>
              <w:spacing w:before="0" w:after="0"/>
              <w:ind w:hanging="764"/>
              <w:jc w:val="right"/>
              <w:rPr>
                <w:b/>
                <w:bCs/>
                <w:lang w:val="en-US"/>
              </w:rPr>
            </w:pPr>
            <w:r>
              <w:rPr>
                <w:b/>
                <w:bCs/>
                <w:lang w:val="en-US"/>
              </w:rPr>
              <w:t>28</w:t>
            </w:r>
          </w:p>
        </w:tc>
        <w:tc>
          <w:tcPr>
            <w:tcW w:w="1539" w:type="dxa"/>
            <w:tcBorders>
              <w:top w:val="nil"/>
              <w:left w:val="nil"/>
              <w:bottom w:val="nil"/>
              <w:right w:val="single" w:sz="4" w:space="0" w:color="auto"/>
            </w:tcBorders>
            <w:noWrap/>
            <w:vAlign w:val="bottom"/>
          </w:tcPr>
          <w:p w14:paraId="59F7BF11" w14:textId="2D05BDA2"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706,88</w:t>
            </w:r>
          </w:p>
        </w:tc>
        <w:tc>
          <w:tcPr>
            <w:tcW w:w="1276" w:type="dxa"/>
            <w:tcBorders>
              <w:top w:val="nil"/>
              <w:left w:val="single" w:sz="4" w:space="0" w:color="auto"/>
              <w:bottom w:val="nil"/>
              <w:right w:val="single" w:sz="4" w:space="0" w:color="auto"/>
            </w:tcBorders>
            <w:noWrap/>
            <w:vAlign w:val="bottom"/>
          </w:tcPr>
          <w:p w14:paraId="1069C8F1" w14:textId="3633B11C"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093,75</w:t>
            </w:r>
          </w:p>
        </w:tc>
        <w:tc>
          <w:tcPr>
            <w:tcW w:w="1399" w:type="dxa"/>
            <w:tcBorders>
              <w:top w:val="nil"/>
              <w:left w:val="single" w:sz="4" w:space="0" w:color="auto"/>
              <w:bottom w:val="nil"/>
              <w:right w:val="single" w:sz="4" w:space="0" w:color="auto"/>
            </w:tcBorders>
            <w:noWrap/>
            <w:vAlign w:val="bottom"/>
          </w:tcPr>
          <w:p w14:paraId="454E9041" w14:textId="41FAD792"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554,21</w:t>
            </w:r>
          </w:p>
        </w:tc>
        <w:tc>
          <w:tcPr>
            <w:tcW w:w="1417" w:type="dxa"/>
            <w:vAlign w:val="bottom"/>
          </w:tcPr>
          <w:p w14:paraId="788D2513" w14:textId="344CE84A" w:rsidR="00795D56" w:rsidRPr="00843561" w:rsidRDefault="00795D56" w:rsidP="00795D56">
            <w:pPr>
              <w:spacing w:before="0" w:after="0"/>
              <w:ind w:left="113"/>
              <w:jc w:val="right"/>
              <w:rPr>
                <w:rFonts w:cs="Arial"/>
                <w:color w:val="000000"/>
              </w:rPr>
            </w:pPr>
            <w:r w:rsidRPr="008935E3">
              <w:rPr>
                <w:rFonts w:cs="Arial"/>
                <w:color w:val="000000"/>
              </w:rPr>
              <w:t>18</w:t>
            </w:r>
            <w:r>
              <w:rPr>
                <w:rFonts w:cs="Arial"/>
                <w:color w:val="000000"/>
              </w:rPr>
              <w:t>.</w:t>
            </w:r>
            <w:r w:rsidRPr="008935E3">
              <w:rPr>
                <w:rFonts w:cs="Arial"/>
                <w:color w:val="000000"/>
              </w:rPr>
              <w:t>111,03</w:t>
            </w:r>
          </w:p>
        </w:tc>
        <w:tc>
          <w:tcPr>
            <w:tcW w:w="1418" w:type="dxa"/>
            <w:vAlign w:val="bottom"/>
          </w:tcPr>
          <w:p w14:paraId="5DB9AFCD" w14:textId="3BDDA567" w:rsidR="00795D56" w:rsidRPr="00843561" w:rsidRDefault="00795D56" w:rsidP="00795D56">
            <w:pPr>
              <w:spacing w:before="0" w:after="0"/>
              <w:ind w:left="113"/>
              <w:jc w:val="right"/>
              <w:rPr>
                <w:rFonts w:cs="Arial"/>
                <w:color w:val="000000"/>
              </w:rPr>
            </w:pPr>
            <w:r w:rsidRPr="00B65D25">
              <w:rPr>
                <w:rFonts w:cs="Arial"/>
                <w:color w:val="000000"/>
              </w:rPr>
              <w:t>18.922,47</w:t>
            </w:r>
          </w:p>
        </w:tc>
        <w:tc>
          <w:tcPr>
            <w:tcW w:w="1559" w:type="dxa"/>
            <w:vAlign w:val="bottom"/>
          </w:tcPr>
          <w:p w14:paraId="48EB83A9" w14:textId="6ED9E752" w:rsidR="00795D56" w:rsidRPr="00843561" w:rsidRDefault="00795D56" w:rsidP="00795D56">
            <w:pPr>
              <w:spacing w:before="0" w:after="0"/>
              <w:ind w:left="113"/>
              <w:jc w:val="right"/>
              <w:rPr>
                <w:rFonts w:cs="Arial"/>
                <w:color w:val="000000"/>
              </w:rPr>
            </w:pPr>
            <w:r w:rsidRPr="00B65D25">
              <w:rPr>
                <w:rFonts w:cs="Arial"/>
                <w:color w:val="000000"/>
              </w:rPr>
              <w:t>19.239,4</w:t>
            </w:r>
          </w:p>
        </w:tc>
        <w:tc>
          <w:tcPr>
            <w:tcW w:w="1418" w:type="dxa"/>
            <w:vAlign w:val="bottom"/>
          </w:tcPr>
          <w:p w14:paraId="6F80670E" w14:textId="2098B85E" w:rsidR="00795D56" w:rsidRPr="00843561" w:rsidRDefault="00795D56" w:rsidP="00795D56">
            <w:pPr>
              <w:spacing w:before="0" w:after="0"/>
              <w:ind w:left="113"/>
              <w:jc w:val="right"/>
              <w:rPr>
                <w:rFonts w:cs="Arial"/>
                <w:color w:val="000000"/>
              </w:rPr>
            </w:pPr>
            <w:r w:rsidRPr="00391903">
              <w:rPr>
                <w:rFonts w:cs="Arial"/>
                <w:color w:val="000000"/>
              </w:rPr>
              <w:t>19.853,25</w:t>
            </w:r>
          </w:p>
        </w:tc>
        <w:tc>
          <w:tcPr>
            <w:tcW w:w="1417" w:type="dxa"/>
            <w:vAlign w:val="bottom"/>
          </w:tcPr>
          <w:p w14:paraId="29556B16" w14:textId="53B1FBB5" w:rsidR="00795D56" w:rsidRPr="00391903" w:rsidRDefault="00795D56" w:rsidP="00795D56">
            <w:pPr>
              <w:spacing w:before="0" w:after="0"/>
              <w:ind w:left="113"/>
              <w:jc w:val="right"/>
              <w:rPr>
                <w:rFonts w:cs="Arial"/>
                <w:color w:val="000000"/>
              </w:rPr>
            </w:pPr>
            <w:r w:rsidRPr="00795D56">
              <w:rPr>
                <w:rFonts w:cs="Arial"/>
                <w:color w:val="000000"/>
              </w:rPr>
              <w:t>20</w:t>
            </w:r>
            <w:r>
              <w:rPr>
                <w:rFonts w:cs="Arial"/>
                <w:color w:val="000000"/>
              </w:rPr>
              <w:t>.</w:t>
            </w:r>
            <w:r w:rsidRPr="00795D56">
              <w:rPr>
                <w:rFonts w:cs="Arial"/>
                <w:color w:val="000000"/>
              </w:rPr>
              <w:t>306,68</w:t>
            </w:r>
          </w:p>
        </w:tc>
      </w:tr>
      <w:tr w:rsidR="00795D56" w:rsidRPr="00037A46" w14:paraId="671A089C" w14:textId="4CF9E510" w:rsidTr="00391903">
        <w:trPr>
          <w:trHeight w:val="300"/>
          <w:jc w:val="center"/>
        </w:trPr>
        <w:tc>
          <w:tcPr>
            <w:tcW w:w="1163" w:type="dxa"/>
            <w:shd w:val="clear" w:color="auto" w:fill="C0C0C0"/>
            <w:noWrap/>
          </w:tcPr>
          <w:p w14:paraId="1B3E9AAD" w14:textId="6C4C11BC" w:rsidR="00795D56" w:rsidRPr="00037A46" w:rsidRDefault="00795D56" w:rsidP="00795D56">
            <w:pPr>
              <w:spacing w:before="0" w:after="0"/>
              <w:ind w:hanging="764"/>
              <w:jc w:val="right"/>
              <w:rPr>
                <w:b/>
                <w:bCs/>
                <w:lang w:val="en-US"/>
              </w:rPr>
            </w:pPr>
            <w:r>
              <w:rPr>
                <w:b/>
                <w:bCs/>
                <w:lang w:val="en-US"/>
              </w:rPr>
              <w:t>29</w:t>
            </w:r>
          </w:p>
        </w:tc>
        <w:tc>
          <w:tcPr>
            <w:tcW w:w="1539" w:type="dxa"/>
            <w:tcBorders>
              <w:top w:val="nil"/>
              <w:left w:val="nil"/>
              <w:bottom w:val="nil"/>
              <w:right w:val="single" w:sz="4" w:space="0" w:color="auto"/>
            </w:tcBorders>
            <w:noWrap/>
            <w:vAlign w:val="bottom"/>
          </w:tcPr>
          <w:p w14:paraId="4BC0935F" w14:textId="5048CDE3"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731,41</w:t>
            </w:r>
          </w:p>
        </w:tc>
        <w:tc>
          <w:tcPr>
            <w:tcW w:w="1276" w:type="dxa"/>
            <w:tcBorders>
              <w:top w:val="nil"/>
              <w:left w:val="single" w:sz="4" w:space="0" w:color="auto"/>
              <w:bottom w:val="nil"/>
              <w:right w:val="single" w:sz="4" w:space="0" w:color="auto"/>
            </w:tcBorders>
            <w:noWrap/>
            <w:vAlign w:val="bottom"/>
          </w:tcPr>
          <w:p w14:paraId="35E28A04" w14:textId="7D86C4AA"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118,28</w:t>
            </w:r>
          </w:p>
        </w:tc>
        <w:tc>
          <w:tcPr>
            <w:tcW w:w="1399" w:type="dxa"/>
            <w:tcBorders>
              <w:top w:val="nil"/>
              <w:left w:val="single" w:sz="4" w:space="0" w:color="auto"/>
              <w:bottom w:val="nil"/>
              <w:right w:val="single" w:sz="4" w:space="0" w:color="auto"/>
            </w:tcBorders>
            <w:noWrap/>
            <w:vAlign w:val="bottom"/>
          </w:tcPr>
          <w:p w14:paraId="4ED58183" w14:textId="4F2CE41D"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581,37</w:t>
            </w:r>
          </w:p>
        </w:tc>
        <w:tc>
          <w:tcPr>
            <w:tcW w:w="1417" w:type="dxa"/>
            <w:vAlign w:val="bottom"/>
          </w:tcPr>
          <w:p w14:paraId="40C138D5" w14:textId="057830EF" w:rsidR="00795D56" w:rsidRPr="00843561" w:rsidRDefault="00795D56" w:rsidP="00795D56">
            <w:pPr>
              <w:spacing w:before="0" w:after="0"/>
              <w:ind w:left="113"/>
              <w:jc w:val="right"/>
              <w:rPr>
                <w:rFonts w:cs="Arial"/>
                <w:color w:val="000000"/>
              </w:rPr>
            </w:pPr>
            <w:r w:rsidRPr="008935E3">
              <w:rPr>
                <w:rFonts w:cs="Arial"/>
                <w:color w:val="000000"/>
              </w:rPr>
              <w:t>18</w:t>
            </w:r>
            <w:r>
              <w:rPr>
                <w:rFonts w:cs="Arial"/>
                <w:color w:val="000000"/>
              </w:rPr>
              <w:t>.</w:t>
            </w:r>
            <w:r w:rsidRPr="008935E3">
              <w:rPr>
                <w:rFonts w:cs="Arial"/>
                <w:color w:val="000000"/>
              </w:rPr>
              <w:t>141,1</w:t>
            </w:r>
          </w:p>
        </w:tc>
        <w:tc>
          <w:tcPr>
            <w:tcW w:w="1418" w:type="dxa"/>
            <w:vAlign w:val="bottom"/>
          </w:tcPr>
          <w:p w14:paraId="305C96D0" w14:textId="411F2EB8" w:rsidR="00795D56" w:rsidRPr="00843561" w:rsidRDefault="00795D56" w:rsidP="00795D56">
            <w:pPr>
              <w:spacing w:before="0" w:after="0"/>
              <w:ind w:left="113"/>
              <w:jc w:val="right"/>
              <w:rPr>
                <w:rFonts w:cs="Arial"/>
                <w:color w:val="000000"/>
              </w:rPr>
            </w:pPr>
            <w:r w:rsidRPr="00B65D25">
              <w:rPr>
                <w:rFonts w:cs="Arial"/>
                <w:color w:val="000000"/>
              </w:rPr>
              <w:t>18.966,53</w:t>
            </w:r>
          </w:p>
        </w:tc>
        <w:tc>
          <w:tcPr>
            <w:tcW w:w="1559" w:type="dxa"/>
            <w:vAlign w:val="bottom"/>
          </w:tcPr>
          <w:p w14:paraId="005A0270" w14:textId="388C2A5A" w:rsidR="00795D56" w:rsidRPr="00843561" w:rsidRDefault="00795D56" w:rsidP="00795D56">
            <w:pPr>
              <w:spacing w:before="0" w:after="0"/>
              <w:ind w:left="113"/>
              <w:jc w:val="right"/>
              <w:rPr>
                <w:rFonts w:cs="Arial"/>
                <w:color w:val="000000"/>
              </w:rPr>
            </w:pPr>
            <w:r w:rsidRPr="00B65D25">
              <w:rPr>
                <w:rFonts w:cs="Arial"/>
                <w:color w:val="000000"/>
              </w:rPr>
              <w:t>19.275,68</w:t>
            </w:r>
          </w:p>
        </w:tc>
        <w:tc>
          <w:tcPr>
            <w:tcW w:w="1418" w:type="dxa"/>
            <w:vAlign w:val="bottom"/>
          </w:tcPr>
          <w:p w14:paraId="5CBBACEC" w14:textId="1DE5A3E0" w:rsidR="00795D56" w:rsidRPr="00843561" w:rsidRDefault="00795D56" w:rsidP="00795D56">
            <w:pPr>
              <w:spacing w:before="0" w:after="0"/>
              <w:ind w:left="113"/>
              <w:jc w:val="right"/>
              <w:rPr>
                <w:rFonts w:cs="Arial"/>
                <w:color w:val="000000"/>
              </w:rPr>
            </w:pPr>
            <w:r w:rsidRPr="00391903">
              <w:rPr>
                <w:rFonts w:cs="Arial"/>
                <w:color w:val="000000"/>
              </w:rPr>
              <w:t>19.890,69</w:t>
            </w:r>
          </w:p>
        </w:tc>
        <w:tc>
          <w:tcPr>
            <w:tcW w:w="1417" w:type="dxa"/>
            <w:vAlign w:val="bottom"/>
          </w:tcPr>
          <w:p w14:paraId="29D567E3" w14:textId="6E123135" w:rsidR="00795D56" w:rsidRPr="00391903" w:rsidRDefault="00795D56" w:rsidP="00795D56">
            <w:pPr>
              <w:spacing w:before="0" w:after="0"/>
              <w:ind w:left="113"/>
              <w:jc w:val="right"/>
              <w:rPr>
                <w:rFonts w:cs="Arial"/>
                <w:color w:val="000000"/>
              </w:rPr>
            </w:pPr>
            <w:r w:rsidRPr="00795D56">
              <w:rPr>
                <w:rFonts w:cs="Arial"/>
                <w:color w:val="000000"/>
              </w:rPr>
              <w:t>20</w:t>
            </w:r>
            <w:r>
              <w:rPr>
                <w:rFonts w:cs="Arial"/>
                <w:color w:val="000000"/>
              </w:rPr>
              <w:t>.</w:t>
            </w:r>
            <w:r w:rsidRPr="00795D56">
              <w:rPr>
                <w:rFonts w:cs="Arial"/>
                <w:color w:val="000000"/>
              </w:rPr>
              <w:t>345,67</w:t>
            </w:r>
          </w:p>
        </w:tc>
      </w:tr>
      <w:tr w:rsidR="00795D56" w:rsidRPr="00037A46" w14:paraId="1884CDF0" w14:textId="7AFF3778" w:rsidTr="00391903">
        <w:trPr>
          <w:trHeight w:val="300"/>
          <w:jc w:val="center"/>
        </w:trPr>
        <w:tc>
          <w:tcPr>
            <w:tcW w:w="1163" w:type="dxa"/>
            <w:shd w:val="clear" w:color="auto" w:fill="C0C0C0"/>
            <w:noWrap/>
          </w:tcPr>
          <w:p w14:paraId="6CC92462" w14:textId="709F0663" w:rsidR="00795D56" w:rsidRPr="00037A46" w:rsidRDefault="00795D56" w:rsidP="00795D56">
            <w:pPr>
              <w:spacing w:before="0" w:after="0"/>
              <w:ind w:hanging="764"/>
              <w:jc w:val="right"/>
              <w:rPr>
                <w:b/>
                <w:bCs/>
                <w:lang w:val="en-US"/>
              </w:rPr>
            </w:pPr>
            <w:r>
              <w:rPr>
                <w:b/>
                <w:bCs/>
                <w:lang w:val="en-US"/>
              </w:rPr>
              <w:t>30</w:t>
            </w:r>
          </w:p>
        </w:tc>
        <w:tc>
          <w:tcPr>
            <w:tcW w:w="1539" w:type="dxa"/>
            <w:tcBorders>
              <w:top w:val="nil"/>
              <w:left w:val="nil"/>
              <w:bottom w:val="nil"/>
              <w:right w:val="single" w:sz="4" w:space="0" w:color="auto"/>
            </w:tcBorders>
            <w:noWrap/>
            <w:vAlign w:val="bottom"/>
          </w:tcPr>
          <w:p w14:paraId="7B85AA06" w14:textId="140F55BC"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754,12</w:t>
            </w:r>
          </w:p>
        </w:tc>
        <w:tc>
          <w:tcPr>
            <w:tcW w:w="1276" w:type="dxa"/>
            <w:tcBorders>
              <w:top w:val="nil"/>
              <w:left w:val="single" w:sz="4" w:space="0" w:color="auto"/>
              <w:bottom w:val="nil"/>
              <w:right w:val="single" w:sz="4" w:space="0" w:color="auto"/>
            </w:tcBorders>
            <w:noWrap/>
            <w:vAlign w:val="bottom"/>
          </w:tcPr>
          <w:p w14:paraId="51D8B412" w14:textId="5C77DDD9"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141,05</w:t>
            </w:r>
          </w:p>
        </w:tc>
        <w:tc>
          <w:tcPr>
            <w:tcW w:w="1399" w:type="dxa"/>
            <w:tcBorders>
              <w:top w:val="nil"/>
              <w:left w:val="single" w:sz="4" w:space="0" w:color="auto"/>
              <w:bottom w:val="nil"/>
              <w:right w:val="single" w:sz="4" w:space="0" w:color="auto"/>
            </w:tcBorders>
            <w:noWrap/>
            <w:vAlign w:val="bottom"/>
          </w:tcPr>
          <w:p w14:paraId="0180F52D" w14:textId="083811D8"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606,64</w:t>
            </w:r>
          </w:p>
        </w:tc>
        <w:tc>
          <w:tcPr>
            <w:tcW w:w="1417" w:type="dxa"/>
            <w:vAlign w:val="bottom"/>
          </w:tcPr>
          <w:p w14:paraId="633F7A8F" w14:textId="6EF9F054" w:rsidR="00795D56" w:rsidRPr="00843561" w:rsidRDefault="00795D56" w:rsidP="00795D56">
            <w:pPr>
              <w:spacing w:before="0" w:after="0"/>
              <w:ind w:left="113"/>
              <w:jc w:val="right"/>
              <w:rPr>
                <w:rFonts w:cs="Arial"/>
                <w:color w:val="000000"/>
              </w:rPr>
            </w:pPr>
            <w:r w:rsidRPr="008935E3">
              <w:rPr>
                <w:rFonts w:cs="Arial"/>
                <w:color w:val="000000"/>
              </w:rPr>
              <w:t>18</w:t>
            </w:r>
            <w:r>
              <w:rPr>
                <w:rFonts w:cs="Arial"/>
                <w:color w:val="000000"/>
              </w:rPr>
              <w:t>.</w:t>
            </w:r>
            <w:r w:rsidRPr="008935E3">
              <w:rPr>
                <w:rFonts w:cs="Arial"/>
                <w:color w:val="000000"/>
              </w:rPr>
              <w:t>169,01</w:t>
            </w:r>
          </w:p>
        </w:tc>
        <w:tc>
          <w:tcPr>
            <w:tcW w:w="1418" w:type="dxa"/>
            <w:vAlign w:val="bottom"/>
          </w:tcPr>
          <w:p w14:paraId="3DD81427" w14:textId="64501B90" w:rsidR="00795D56" w:rsidRPr="00843561" w:rsidRDefault="00795D56" w:rsidP="00795D56">
            <w:pPr>
              <w:spacing w:before="0" w:after="0"/>
              <w:ind w:left="113"/>
              <w:jc w:val="right"/>
              <w:rPr>
                <w:rFonts w:cs="Arial"/>
                <w:color w:val="000000"/>
              </w:rPr>
            </w:pPr>
            <w:r w:rsidRPr="00B65D25">
              <w:rPr>
                <w:rFonts w:cs="Arial"/>
                <w:color w:val="000000"/>
              </w:rPr>
              <w:t>19.007,28</w:t>
            </w:r>
          </w:p>
        </w:tc>
        <w:tc>
          <w:tcPr>
            <w:tcW w:w="1559" w:type="dxa"/>
            <w:vAlign w:val="bottom"/>
          </w:tcPr>
          <w:p w14:paraId="0E147266" w14:textId="74419862" w:rsidR="00795D56" w:rsidRPr="00843561" w:rsidRDefault="00795D56" w:rsidP="00795D56">
            <w:pPr>
              <w:spacing w:before="0" w:after="0"/>
              <w:ind w:left="113"/>
              <w:jc w:val="right"/>
              <w:rPr>
                <w:rFonts w:cs="Arial"/>
                <w:color w:val="000000"/>
              </w:rPr>
            </w:pPr>
            <w:r w:rsidRPr="00B65D25">
              <w:rPr>
                <w:rFonts w:cs="Arial"/>
                <w:color w:val="000000"/>
              </w:rPr>
              <w:t>19.309,34</w:t>
            </w:r>
          </w:p>
        </w:tc>
        <w:tc>
          <w:tcPr>
            <w:tcW w:w="1418" w:type="dxa"/>
            <w:vAlign w:val="bottom"/>
          </w:tcPr>
          <w:p w14:paraId="59349163" w14:textId="0DCC84EC" w:rsidR="00795D56" w:rsidRPr="00843561" w:rsidRDefault="00795D56" w:rsidP="00795D56">
            <w:pPr>
              <w:spacing w:before="0" w:after="0"/>
              <w:ind w:left="113"/>
              <w:jc w:val="right"/>
              <w:rPr>
                <w:rFonts w:cs="Arial"/>
                <w:color w:val="000000"/>
              </w:rPr>
            </w:pPr>
            <w:r w:rsidRPr="00391903">
              <w:rPr>
                <w:rFonts w:cs="Arial"/>
                <w:color w:val="000000"/>
              </w:rPr>
              <w:t>19.925,42</w:t>
            </w:r>
          </w:p>
        </w:tc>
        <w:tc>
          <w:tcPr>
            <w:tcW w:w="1417" w:type="dxa"/>
            <w:vAlign w:val="bottom"/>
          </w:tcPr>
          <w:p w14:paraId="2BFFE5CA" w14:textId="4AF6B205" w:rsidR="00795D56" w:rsidRPr="00391903" w:rsidRDefault="00795D56" w:rsidP="00795D56">
            <w:pPr>
              <w:spacing w:before="0" w:after="0"/>
              <w:ind w:left="113"/>
              <w:jc w:val="right"/>
              <w:rPr>
                <w:rFonts w:cs="Arial"/>
                <w:color w:val="000000"/>
              </w:rPr>
            </w:pPr>
            <w:r w:rsidRPr="00795D56">
              <w:rPr>
                <w:rFonts w:cs="Arial"/>
                <w:color w:val="000000"/>
              </w:rPr>
              <w:t>20</w:t>
            </w:r>
            <w:r>
              <w:rPr>
                <w:rFonts w:cs="Arial"/>
                <w:color w:val="000000"/>
              </w:rPr>
              <w:t>.</w:t>
            </w:r>
            <w:r w:rsidRPr="00795D56">
              <w:rPr>
                <w:rFonts w:cs="Arial"/>
                <w:color w:val="000000"/>
              </w:rPr>
              <w:t>381,69</w:t>
            </w:r>
          </w:p>
        </w:tc>
      </w:tr>
      <w:tr w:rsidR="00795D56" w:rsidRPr="00037A46" w14:paraId="20CEFBDF" w14:textId="131F3F24" w:rsidTr="00391903">
        <w:trPr>
          <w:trHeight w:val="300"/>
          <w:jc w:val="center"/>
        </w:trPr>
        <w:tc>
          <w:tcPr>
            <w:tcW w:w="1163" w:type="dxa"/>
            <w:shd w:val="clear" w:color="auto" w:fill="C0C0C0"/>
            <w:noWrap/>
          </w:tcPr>
          <w:p w14:paraId="39DD38B8" w14:textId="642F5816" w:rsidR="00795D56" w:rsidRPr="00037A46" w:rsidRDefault="00795D56" w:rsidP="00795D56">
            <w:pPr>
              <w:spacing w:before="0" w:after="0"/>
              <w:ind w:hanging="764"/>
              <w:jc w:val="right"/>
              <w:rPr>
                <w:b/>
                <w:bCs/>
                <w:lang w:val="en-US"/>
              </w:rPr>
            </w:pPr>
            <w:r>
              <w:rPr>
                <w:b/>
                <w:bCs/>
                <w:lang w:val="en-US"/>
              </w:rPr>
              <w:t>31</w:t>
            </w:r>
          </w:p>
        </w:tc>
        <w:tc>
          <w:tcPr>
            <w:tcW w:w="1539" w:type="dxa"/>
            <w:tcBorders>
              <w:top w:val="nil"/>
              <w:left w:val="nil"/>
              <w:bottom w:val="nil"/>
              <w:right w:val="single" w:sz="4" w:space="0" w:color="auto"/>
            </w:tcBorders>
            <w:noWrap/>
            <w:vAlign w:val="bottom"/>
          </w:tcPr>
          <w:p w14:paraId="76D5BE16" w14:textId="2B58BFBA"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775,13</w:t>
            </w:r>
          </w:p>
        </w:tc>
        <w:tc>
          <w:tcPr>
            <w:tcW w:w="1276" w:type="dxa"/>
            <w:tcBorders>
              <w:top w:val="nil"/>
              <w:left w:val="single" w:sz="4" w:space="0" w:color="auto"/>
              <w:bottom w:val="nil"/>
              <w:right w:val="single" w:sz="4" w:space="0" w:color="auto"/>
            </w:tcBorders>
            <w:noWrap/>
            <w:vAlign w:val="bottom"/>
          </w:tcPr>
          <w:p w14:paraId="00EA4AA2" w14:textId="4AE55EEF"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214,03</w:t>
            </w:r>
          </w:p>
        </w:tc>
        <w:tc>
          <w:tcPr>
            <w:tcW w:w="1399" w:type="dxa"/>
            <w:tcBorders>
              <w:top w:val="nil"/>
              <w:left w:val="single" w:sz="4" w:space="0" w:color="auto"/>
              <w:bottom w:val="nil"/>
              <w:right w:val="single" w:sz="4" w:space="0" w:color="auto"/>
            </w:tcBorders>
            <w:noWrap/>
            <w:vAlign w:val="bottom"/>
          </w:tcPr>
          <w:p w14:paraId="373DC70C" w14:textId="18465891"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681,92</w:t>
            </w:r>
          </w:p>
        </w:tc>
        <w:tc>
          <w:tcPr>
            <w:tcW w:w="1417" w:type="dxa"/>
            <w:vAlign w:val="bottom"/>
          </w:tcPr>
          <w:p w14:paraId="6210D281" w14:textId="0585A681" w:rsidR="00795D56" w:rsidRPr="00843561" w:rsidRDefault="00795D56" w:rsidP="00795D56">
            <w:pPr>
              <w:spacing w:before="0" w:after="0"/>
              <w:ind w:left="113"/>
              <w:jc w:val="right"/>
              <w:rPr>
                <w:rFonts w:cs="Arial"/>
                <w:color w:val="000000"/>
              </w:rPr>
            </w:pPr>
            <w:r w:rsidRPr="008935E3">
              <w:rPr>
                <w:rFonts w:cs="Arial"/>
                <w:color w:val="000000"/>
              </w:rPr>
              <w:t>18</w:t>
            </w:r>
            <w:r>
              <w:rPr>
                <w:rFonts w:cs="Arial"/>
                <w:color w:val="000000"/>
              </w:rPr>
              <w:t>.</w:t>
            </w:r>
            <w:r w:rsidRPr="008935E3">
              <w:rPr>
                <w:rFonts w:cs="Arial"/>
                <w:color w:val="000000"/>
              </w:rPr>
              <w:t>246,72</w:t>
            </w:r>
          </w:p>
        </w:tc>
        <w:tc>
          <w:tcPr>
            <w:tcW w:w="1418" w:type="dxa"/>
            <w:vAlign w:val="bottom"/>
          </w:tcPr>
          <w:p w14:paraId="3A6A287C" w14:textId="703E5188" w:rsidR="00795D56" w:rsidRPr="00843561" w:rsidRDefault="00795D56" w:rsidP="00795D56">
            <w:pPr>
              <w:spacing w:before="0" w:after="0"/>
              <w:ind w:left="113"/>
              <w:jc w:val="right"/>
              <w:rPr>
                <w:rFonts w:cs="Arial"/>
                <w:color w:val="000000"/>
              </w:rPr>
            </w:pPr>
            <w:r w:rsidRPr="00B65D25">
              <w:rPr>
                <w:rFonts w:cs="Arial"/>
                <w:color w:val="000000"/>
              </w:rPr>
              <w:t>19.097,15</w:t>
            </w:r>
          </w:p>
        </w:tc>
        <w:tc>
          <w:tcPr>
            <w:tcW w:w="1559" w:type="dxa"/>
            <w:vAlign w:val="bottom"/>
          </w:tcPr>
          <w:p w14:paraId="517CF701" w14:textId="137FD1B4" w:rsidR="00795D56" w:rsidRPr="00843561" w:rsidRDefault="00795D56" w:rsidP="00795D56">
            <w:pPr>
              <w:spacing w:before="0" w:after="0"/>
              <w:ind w:left="113"/>
              <w:jc w:val="right"/>
              <w:rPr>
                <w:rFonts w:cs="Arial"/>
                <w:color w:val="000000"/>
              </w:rPr>
            </w:pPr>
            <w:r w:rsidRPr="00B65D25">
              <w:rPr>
                <w:rFonts w:cs="Arial"/>
                <w:color w:val="000000"/>
              </w:rPr>
              <w:t>19.392,39</w:t>
            </w:r>
          </w:p>
        </w:tc>
        <w:tc>
          <w:tcPr>
            <w:tcW w:w="1418" w:type="dxa"/>
            <w:vAlign w:val="bottom"/>
          </w:tcPr>
          <w:p w14:paraId="19BAAEAC" w14:textId="7A13FC37" w:rsidR="00795D56" w:rsidRPr="00843561" w:rsidRDefault="00795D56" w:rsidP="00795D56">
            <w:pPr>
              <w:spacing w:before="0" w:after="0"/>
              <w:ind w:left="113"/>
              <w:jc w:val="right"/>
              <w:rPr>
                <w:rFonts w:cs="Arial"/>
                <w:color w:val="000000"/>
              </w:rPr>
            </w:pPr>
            <w:r w:rsidRPr="00391903">
              <w:rPr>
                <w:rFonts w:cs="Arial"/>
                <w:color w:val="000000"/>
              </w:rPr>
              <w:t>20.009,48</w:t>
            </w:r>
          </w:p>
        </w:tc>
        <w:tc>
          <w:tcPr>
            <w:tcW w:w="1417" w:type="dxa"/>
            <w:vAlign w:val="bottom"/>
          </w:tcPr>
          <w:p w14:paraId="30C609DE" w14:textId="751835B7" w:rsidR="00795D56" w:rsidRPr="00391903" w:rsidRDefault="00795D56" w:rsidP="00795D56">
            <w:pPr>
              <w:spacing w:before="0" w:after="0"/>
              <w:ind w:left="113"/>
              <w:jc w:val="right"/>
              <w:rPr>
                <w:rFonts w:cs="Arial"/>
                <w:color w:val="000000"/>
              </w:rPr>
            </w:pPr>
            <w:r w:rsidRPr="00795D56">
              <w:rPr>
                <w:rFonts w:cs="Arial"/>
                <w:color w:val="000000"/>
              </w:rPr>
              <w:t>20</w:t>
            </w:r>
            <w:r>
              <w:rPr>
                <w:rFonts w:cs="Arial"/>
                <w:color w:val="000000"/>
              </w:rPr>
              <w:t>.</w:t>
            </w:r>
            <w:r w:rsidRPr="00795D56">
              <w:rPr>
                <w:rFonts w:cs="Arial"/>
                <w:color w:val="000000"/>
              </w:rPr>
              <w:t>415,14</w:t>
            </w:r>
          </w:p>
        </w:tc>
      </w:tr>
      <w:tr w:rsidR="00795D56" w:rsidRPr="00037A46" w14:paraId="2D94FE9D" w14:textId="38754F8F" w:rsidTr="00391903">
        <w:trPr>
          <w:trHeight w:val="300"/>
          <w:jc w:val="center"/>
        </w:trPr>
        <w:tc>
          <w:tcPr>
            <w:tcW w:w="1163" w:type="dxa"/>
            <w:shd w:val="clear" w:color="auto" w:fill="C0C0C0"/>
            <w:noWrap/>
          </w:tcPr>
          <w:p w14:paraId="3FA157C1" w14:textId="1FC82B36" w:rsidR="00795D56" w:rsidRPr="00037A46" w:rsidRDefault="00795D56" w:rsidP="00795D56">
            <w:pPr>
              <w:spacing w:before="0" w:after="0"/>
              <w:ind w:hanging="764"/>
              <w:jc w:val="right"/>
              <w:rPr>
                <w:b/>
                <w:bCs/>
                <w:lang w:val="en-US"/>
              </w:rPr>
            </w:pPr>
            <w:r>
              <w:rPr>
                <w:b/>
                <w:bCs/>
                <w:lang w:val="en-US"/>
              </w:rPr>
              <w:t>32</w:t>
            </w:r>
          </w:p>
        </w:tc>
        <w:tc>
          <w:tcPr>
            <w:tcW w:w="1539" w:type="dxa"/>
            <w:tcBorders>
              <w:top w:val="nil"/>
              <w:left w:val="nil"/>
              <w:bottom w:val="nil"/>
              <w:right w:val="single" w:sz="4" w:space="0" w:color="auto"/>
            </w:tcBorders>
            <w:noWrap/>
            <w:vAlign w:val="bottom"/>
          </w:tcPr>
          <w:p w14:paraId="2BB0545E" w14:textId="06BFFF6A"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794,66</w:t>
            </w:r>
          </w:p>
        </w:tc>
        <w:tc>
          <w:tcPr>
            <w:tcW w:w="1276" w:type="dxa"/>
            <w:tcBorders>
              <w:top w:val="nil"/>
              <w:left w:val="single" w:sz="4" w:space="0" w:color="auto"/>
              <w:bottom w:val="nil"/>
              <w:right w:val="single" w:sz="4" w:space="0" w:color="auto"/>
            </w:tcBorders>
            <w:noWrap/>
            <w:vAlign w:val="bottom"/>
          </w:tcPr>
          <w:p w14:paraId="26A1580B" w14:textId="79BC6115"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233,56</w:t>
            </w:r>
          </w:p>
        </w:tc>
        <w:tc>
          <w:tcPr>
            <w:tcW w:w="1399" w:type="dxa"/>
            <w:tcBorders>
              <w:top w:val="nil"/>
              <w:left w:val="single" w:sz="4" w:space="0" w:color="auto"/>
              <w:bottom w:val="nil"/>
              <w:right w:val="single" w:sz="4" w:space="0" w:color="auto"/>
            </w:tcBorders>
            <w:noWrap/>
            <w:vAlign w:val="bottom"/>
          </w:tcPr>
          <w:p w14:paraId="16BB52D3" w14:textId="52C2DA87"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703,55</w:t>
            </w:r>
          </w:p>
        </w:tc>
        <w:tc>
          <w:tcPr>
            <w:tcW w:w="1417" w:type="dxa"/>
            <w:vAlign w:val="bottom"/>
          </w:tcPr>
          <w:p w14:paraId="55FC76C7" w14:textId="73514A33" w:rsidR="00795D56" w:rsidRPr="00843561" w:rsidRDefault="00795D56" w:rsidP="00795D56">
            <w:pPr>
              <w:spacing w:before="0" w:after="0"/>
              <w:ind w:left="113"/>
              <w:jc w:val="right"/>
              <w:rPr>
                <w:rFonts w:cs="Arial"/>
                <w:color w:val="000000"/>
              </w:rPr>
            </w:pPr>
            <w:r w:rsidRPr="008935E3">
              <w:rPr>
                <w:rFonts w:cs="Arial"/>
                <w:color w:val="000000"/>
              </w:rPr>
              <w:t>18</w:t>
            </w:r>
            <w:r>
              <w:rPr>
                <w:rFonts w:cs="Arial"/>
                <w:color w:val="000000"/>
              </w:rPr>
              <w:t>.</w:t>
            </w:r>
            <w:r w:rsidRPr="008935E3">
              <w:rPr>
                <w:rFonts w:cs="Arial"/>
                <w:color w:val="000000"/>
              </w:rPr>
              <w:t>270,71</w:t>
            </w:r>
          </w:p>
        </w:tc>
        <w:tc>
          <w:tcPr>
            <w:tcW w:w="1418" w:type="dxa"/>
            <w:vAlign w:val="bottom"/>
          </w:tcPr>
          <w:p w14:paraId="319ED8DE" w14:textId="21CAAFAA" w:rsidR="00795D56" w:rsidRPr="00843561" w:rsidRDefault="00795D56" w:rsidP="00795D56">
            <w:pPr>
              <w:spacing w:before="0" w:after="0"/>
              <w:ind w:left="113"/>
              <w:jc w:val="right"/>
              <w:rPr>
                <w:rFonts w:cs="Arial"/>
                <w:color w:val="000000"/>
              </w:rPr>
            </w:pPr>
            <w:r w:rsidRPr="00B65D25">
              <w:rPr>
                <w:rFonts w:cs="Arial"/>
                <w:color w:val="000000"/>
              </w:rPr>
              <w:t>19.132,22</w:t>
            </w:r>
          </w:p>
        </w:tc>
        <w:tc>
          <w:tcPr>
            <w:tcW w:w="1559" w:type="dxa"/>
            <w:vAlign w:val="bottom"/>
          </w:tcPr>
          <w:p w14:paraId="6493FC8F" w14:textId="299CA1A9" w:rsidR="00795D56" w:rsidRPr="00843561" w:rsidRDefault="00795D56" w:rsidP="00795D56">
            <w:pPr>
              <w:spacing w:before="0" w:after="0"/>
              <w:ind w:left="113"/>
              <w:jc w:val="right"/>
              <w:rPr>
                <w:rFonts w:cs="Arial"/>
                <w:color w:val="000000"/>
              </w:rPr>
            </w:pPr>
            <w:r w:rsidRPr="00B65D25">
              <w:rPr>
                <w:rFonts w:cs="Arial"/>
                <w:color w:val="000000"/>
              </w:rPr>
              <w:t>19.421,24</w:t>
            </w:r>
          </w:p>
        </w:tc>
        <w:tc>
          <w:tcPr>
            <w:tcW w:w="1418" w:type="dxa"/>
            <w:vAlign w:val="bottom"/>
          </w:tcPr>
          <w:p w14:paraId="09018153" w14:textId="6BBFC9CE" w:rsidR="00795D56" w:rsidRPr="00843561" w:rsidRDefault="00795D56" w:rsidP="00795D56">
            <w:pPr>
              <w:spacing w:before="0" w:after="0"/>
              <w:ind w:left="113"/>
              <w:jc w:val="right"/>
              <w:rPr>
                <w:rFonts w:cs="Arial"/>
                <w:color w:val="000000"/>
              </w:rPr>
            </w:pPr>
            <w:r w:rsidRPr="00391903">
              <w:rPr>
                <w:rFonts w:cs="Arial"/>
                <w:color w:val="000000"/>
              </w:rPr>
              <w:t>20.039,28</w:t>
            </w:r>
          </w:p>
        </w:tc>
        <w:tc>
          <w:tcPr>
            <w:tcW w:w="1417" w:type="dxa"/>
            <w:vAlign w:val="bottom"/>
          </w:tcPr>
          <w:p w14:paraId="0779E67D" w14:textId="3CD1ADC2" w:rsidR="00795D56" w:rsidRPr="00391903" w:rsidRDefault="00795D56" w:rsidP="00795D56">
            <w:pPr>
              <w:spacing w:before="0" w:after="0"/>
              <w:ind w:left="113"/>
              <w:jc w:val="right"/>
              <w:rPr>
                <w:rFonts w:cs="Arial"/>
                <w:color w:val="000000"/>
              </w:rPr>
            </w:pPr>
            <w:r w:rsidRPr="00795D56">
              <w:rPr>
                <w:rFonts w:cs="Arial"/>
                <w:color w:val="000000"/>
              </w:rPr>
              <w:t>20</w:t>
            </w:r>
            <w:r>
              <w:rPr>
                <w:rFonts w:cs="Arial"/>
                <w:color w:val="000000"/>
              </w:rPr>
              <w:t>.</w:t>
            </w:r>
            <w:r w:rsidRPr="00795D56">
              <w:rPr>
                <w:rFonts w:cs="Arial"/>
                <w:color w:val="000000"/>
              </w:rPr>
              <w:t>446,02</w:t>
            </w:r>
          </w:p>
        </w:tc>
      </w:tr>
      <w:tr w:rsidR="00795D56" w:rsidRPr="00037A46" w14:paraId="7ACEA681" w14:textId="6A8BEC1A" w:rsidTr="00391903">
        <w:trPr>
          <w:trHeight w:val="300"/>
          <w:jc w:val="center"/>
        </w:trPr>
        <w:tc>
          <w:tcPr>
            <w:tcW w:w="1163" w:type="dxa"/>
            <w:shd w:val="clear" w:color="auto" w:fill="C0C0C0"/>
            <w:noWrap/>
          </w:tcPr>
          <w:p w14:paraId="47F8A620" w14:textId="594CC505" w:rsidR="00795D56" w:rsidRPr="00037A46" w:rsidRDefault="00795D56" w:rsidP="00795D56">
            <w:pPr>
              <w:spacing w:before="0" w:after="0"/>
              <w:ind w:hanging="764"/>
              <w:jc w:val="right"/>
              <w:rPr>
                <w:b/>
                <w:bCs/>
                <w:lang w:val="en-US"/>
              </w:rPr>
            </w:pPr>
            <w:r>
              <w:rPr>
                <w:b/>
                <w:bCs/>
                <w:lang w:val="en-US"/>
              </w:rPr>
              <w:t>33</w:t>
            </w:r>
          </w:p>
        </w:tc>
        <w:tc>
          <w:tcPr>
            <w:tcW w:w="1539" w:type="dxa"/>
            <w:tcBorders>
              <w:top w:val="nil"/>
              <w:left w:val="nil"/>
              <w:bottom w:val="nil"/>
              <w:right w:val="single" w:sz="4" w:space="0" w:color="auto"/>
            </w:tcBorders>
            <w:noWrap/>
            <w:vAlign w:val="bottom"/>
          </w:tcPr>
          <w:p w14:paraId="2909F258" w14:textId="684D932E"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812,7</w:t>
            </w:r>
          </w:p>
        </w:tc>
        <w:tc>
          <w:tcPr>
            <w:tcW w:w="1276" w:type="dxa"/>
            <w:tcBorders>
              <w:top w:val="nil"/>
              <w:left w:val="single" w:sz="4" w:space="0" w:color="auto"/>
              <w:bottom w:val="nil"/>
              <w:right w:val="single" w:sz="4" w:space="0" w:color="auto"/>
            </w:tcBorders>
            <w:noWrap/>
            <w:vAlign w:val="bottom"/>
          </w:tcPr>
          <w:p w14:paraId="7DA2CFD7" w14:textId="7F1F95A2"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251,6</w:t>
            </w:r>
          </w:p>
        </w:tc>
        <w:tc>
          <w:tcPr>
            <w:tcW w:w="1399" w:type="dxa"/>
            <w:tcBorders>
              <w:top w:val="nil"/>
              <w:left w:val="single" w:sz="4" w:space="0" w:color="auto"/>
              <w:bottom w:val="nil"/>
              <w:right w:val="single" w:sz="4" w:space="0" w:color="auto"/>
            </w:tcBorders>
            <w:noWrap/>
            <w:vAlign w:val="bottom"/>
          </w:tcPr>
          <w:p w14:paraId="6A0C5BF2" w14:textId="7DFC4A7F"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723,55</w:t>
            </w:r>
          </w:p>
        </w:tc>
        <w:tc>
          <w:tcPr>
            <w:tcW w:w="1417" w:type="dxa"/>
            <w:vAlign w:val="bottom"/>
          </w:tcPr>
          <w:p w14:paraId="3E31FA61" w14:textId="10986E3B" w:rsidR="00795D56" w:rsidRPr="00843561" w:rsidRDefault="00795D56" w:rsidP="00795D56">
            <w:pPr>
              <w:spacing w:before="0" w:after="0"/>
              <w:ind w:left="113"/>
              <w:jc w:val="right"/>
              <w:rPr>
                <w:rFonts w:cs="Arial"/>
                <w:color w:val="000000"/>
              </w:rPr>
            </w:pPr>
            <w:r w:rsidRPr="008935E3">
              <w:rPr>
                <w:rFonts w:cs="Arial"/>
                <w:color w:val="000000"/>
              </w:rPr>
              <w:t>18</w:t>
            </w:r>
            <w:r>
              <w:rPr>
                <w:rFonts w:cs="Arial"/>
                <w:color w:val="000000"/>
              </w:rPr>
              <w:t>.</w:t>
            </w:r>
            <w:r w:rsidRPr="008935E3">
              <w:rPr>
                <w:rFonts w:cs="Arial"/>
                <w:color w:val="000000"/>
              </w:rPr>
              <w:t>292,87</w:t>
            </w:r>
          </w:p>
        </w:tc>
        <w:tc>
          <w:tcPr>
            <w:tcW w:w="1418" w:type="dxa"/>
            <w:vAlign w:val="bottom"/>
          </w:tcPr>
          <w:p w14:paraId="339E6C73" w14:textId="77C1DDE7" w:rsidR="00795D56" w:rsidRPr="00843561" w:rsidRDefault="00795D56" w:rsidP="00795D56">
            <w:pPr>
              <w:spacing w:before="0" w:after="0"/>
              <w:ind w:left="113"/>
              <w:jc w:val="right"/>
              <w:rPr>
                <w:rFonts w:cs="Arial"/>
                <w:color w:val="000000"/>
              </w:rPr>
            </w:pPr>
            <w:r w:rsidRPr="00B65D25">
              <w:rPr>
                <w:rFonts w:cs="Arial"/>
                <w:color w:val="000000"/>
              </w:rPr>
              <w:t>19.164,73</w:t>
            </w:r>
          </w:p>
        </w:tc>
        <w:tc>
          <w:tcPr>
            <w:tcW w:w="1559" w:type="dxa"/>
            <w:vAlign w:val="bottom"/>
          </w:tcPr>
          <w:p w14:paraId="4D6DDB23" w14:textId="0F6C421A" w:rsidR="00795D56" w:rsidRPr="00843561" w:rsidRDefault="00795D56" w:rsidP="00795D56">
            <w:pPr>
              <w:spacing w:before="0" w:after="0"/>
              <w:ind w:left="113"/>
              <w:jc w:val="right"/>
              <w:rPr>
                <w:rFonts w:cs="Arial"/>
                <w:color w:val="000000"/>
              </w:rPr>
            </w:pPr>
            <w:r w:rsidRPr="00B65D25">
              <w:rPr>
                <w:rFonts w:cs="Arial"/>
                <w:color w:val="000000"/>
              </w:rPr>
              <w:t>19.447,93</w:t>
            </w:r>
          </w:p>
        </w:tc>
        <w:tc>
          <w:tcPr>
            <w:tcW w:w="1418" w:type="dxa"/>
            <w:vAlign w:val="bottom"/>
          </w:tcPr>
          <w:p w14:paraId="1ACD1EB5" w14:textId="37ADDF8B" w:rsidR="00795D56" w:rsidRPr="00843561" w:rsidRDefault="00795D56" w:rsidP="00795D56">
            <w:pPr>
              <w:spacing w:before="0" w:after="0"/>
              <w:ind w:left="113"/>
              <w:jc w:val="right"/>
              <w:rPr>
                <w:rFonts w:cs="Arial"/>
                <w:color w:val="000000"/>
              </w:rPr>
            </w:pPr>
            <w:r w:rsidRPr="00391903">
              <w:rPr>
                <w:rFonts w:cs="Arial"/>
                <w:color w:val="000000"/>
              </w:rPr>
              <w:t>20.066,92</w:t>
            </w:r>
          </w:p>
        </w:tc>
        <w:tc>
          <w:tcPr>
            <w:tcW w:w="1417" w:type="dxa"/>
            <w:vAlign w:val="bottom"/>
          </w:tcPr>
          <w:p w14:paraId="14ED7F1C" w14:textId="5303C41E" w:rsidR="00795D56" w:rsidRPr="00391903" w:rsidRDefault="00795D56" w:rsidP="00795D56">
            <w:pPr>
              <w:spacing w:before="0" w:after="0"/>
              <w:ind w:left="113"/>
              <w:jc w:val="right"/>
              <w:rPr>
                <w:rFonts w:cs="Arial"/>
                <w:color w:val="000000"/>
              </w:rPr>
            </w:pPr>
            <w:r w:rsidRPr="00795D56">
              <w:rPr>
                <w:rFonts w:cs="Arial"/>
                <w:color w:val="000000"/>
              </w:rPr>
              <w:t>20</w:t>
            </w:r>
            <w:r>
              <w:rPr>
                <w:rFonts w:cs="Arial"/>
                <w:color w:val="000000"/>
              </w:rPr>
              <w:t>.</w:t>
            </w:r>
            <w:r w:rsidRPr="00795D56">
              <w:rPr>
                <w:rFonts w:cs="Arial"/>
                <w:color w:val="000000"/>
              </w:rPr>
              <w:t>474,74</w:t>
            </w:r>
          </w:p>
        </w:tc>
      </w:tr>
      <w:tr w:rsidR="00795D56" w:rsidRPr="00037A46" w14:paraId="60047D97" w14:textId="76320A98" w:rsidTr="00391903">
        <w:trPr>
          <w:trHeight w:val="300"/>
          <w:jc w:val="center"/>
        </w:trPr>
        <w:tc>
          <w:tcPr>
            <w:tcW w:w="1163" w:type="dxa"/>
            <w:shd w:val="clear" w:color="auto" w:fill="C0C0C0"/>
            <w:noWrap/>
          </w:tcPr>
          <w:p w14:paraId="64D69CB2" w14:textId="38BDE9A1" w:rsidR="00795D56" w:rsidRPr="00037A46" w:rsidRDefault="00795D56" w:rsidP="00795D56">
            <w:pPr>
              <w:spacing w:before="0" w:after="0"/>
              <w:ind w:hanging="764"/>
              <w:jc w:val="right"/>
              <w:rPr>
                <w:b/>
                <w:bCs/>
                <w:lang w:val="en-US"/>
              </w:rPr>
            </w:pPr>
            <w:r>
              <w:rPr>
                <w:b/>
                <w:bCs/>
                <w:lang w:val="en-US"/>
              </w:rPr>
              <w:t>34</w:t>
            </w:r>
          </w:p>
        </w:tc>
        <w:tc>
          <w:tcPr>
            <w:tcW w:w="1539" w:type="dxa"/>
            <w:tcBorders>
              <w:top w:val="nil"/>
              <w:left w:val="nil"/>
              <w:bottom w:val="nil"/>
              <w:right w:val="single" w:sz="4" w:space="0" w:color="auto"/>
            </w:tcBorders>
            <w:noWrap/>
            <w:vAlign w:val="bottom"/>
          </w:tcPr>
          <w:p w14:paraId="18463FFE" w14:textId="03142BA0"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829,46</w:t>
            </w:r>
          </w:p>
        </w:tc>
        <w:tc>
          <w:tcPr>
            <w:tcW w:w="1276" w:type="dxa"/>
            <w:tcBorders>
              <w:top w:val="nil"/>
              <w:left w:val="single" w:sz="4" w:space="0" w:color="auto"/>
              <w:bottom w:val="nil"/>
              <w:right w:val="single" w:sz="4" w:space="0" w:color="auto"/>
            </w:tcBorders>
            <w:noWrap/>
            <w:vAlign w:val="bottom"/>
          </w:tcPr>
          <w:p w14:paraId="5A11B941" w14:textId="56F7E52B"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268,3</w:t>
            </w:r>
          </w:p>
        </w:tc>
        <w:tc>
          <w:tcPr>
            <w:tcW w:w="1399" w:type="dxa"/>
            <w:tcBorders>
              <w:top w:val="nil"/>
              <w:left w:val="single" w:sz="4" w:space="0" w:color="auto"/>
              <w:bottom w:val="nil"/>
              <w:right w:val="single" w:sz="4" w:space="0" w:color="auto"/>
            </w:tcBorders>
            <w:noWrap/>
            <w:vAlign w:val="bottom"/>
          </w:tcPr>
          <w:p w14:paraId="74FCE57A" w14:textId="303BB786"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742,13</w:t>
            </w:r>
          </w:p>
        </w:tc>
        <w:tc>
          <w:tcPr>
            <w:tcW w:w="1417" w:type="dxa"/>
            <w:vAlign w:val="bottom"/>
          </w:tcPr>
          <w:p w14:paraId="4502B7C2" w14:textId="42C98FE5" w:rsidR="00795D56" w:rsidRPr="00843561" w:rsidRDefault="00795D56" w:rsidP="00795D56">
            <w:pPr>
              <w:spacing w:before="0" w:after="0"/>
              <w:ind w:left="113"/>
              <w:jc w:val="right"/>
              <w:rPr>
                <w:rFonts w:cs="Arial"/>
                <w:color w:val="000000"/>
              </w:rPr>
            </w:pPr>
            <w:r w:rsidRPr="008935E3">
              <w:rPr>
                <w:rFonts w:cs="Arial"/>
                <w:color w:val="000000"/>
              </w:rPr>
              <w:t>18</w:t>
            </w:r>
            <w:r>
              <w:rPr>
                <w:rFonts w:cs="Arial"/>
                <w:color w:val="000000"/>
              </w:rPr>
              <w:t>.</w:t>
            </w:r>
            <w:r w:rsidRPr="008935E3">
              <w:rPr>
                <w:rFonts w:cs="Arial"/>
                <w:color w:val="000000"/>
              </w:rPr>
              <w:t>313,35</w:t>
            </w:r>
          </w:p>
        </w:tc>
        <w:tc>
          <w:tcPr>
            <w:tcW w:w="1418" w:type="dxa"/>
            <w:vAlign w:val="bottom"/>
          </w:tcPr>
          <w:p w14:paraId="7B99FFB9" w14:textId="636ADC41" w:rsidR="00795D56" w:rsidRPr="00843561" w:rsidRDefault="00795D56" w:rsidP="00795D56">
            <w:pPr>
              <w:spacing w:before="0" w:after="0"/>
              <w:ind w:left="113"/>
              <w:jc w:val="right"/>
              <w:rPr>
                <w:rFonts w:cs="Arial"/>
                <w:color w:val="000000"/>
              </w:rPr>
            </w:pPr>
            <w:r w:rsidRPr="00B65D25">
              <w:rPr>
                <w:rFonts w:cs="Arial"/>
                <w:color w:val="000000"/>
              </w:rPr>
              <w:t>19.194,86</w:t>
            </w:r>
          </w:p>
        </w:tc>
        <w:tc>
          <w:tcPr>
            <w:tcW w:w="1559" w:type="dxa"/>
            <w:vAlign w:val="bottom"/>
          </w:tcPr>
          <w:p w14:paraId="6B1DC54A" w14:textId="47309D30" w:rsidR="00795D56" w:rsidRPr="00843561" w:rsidRDefault="00795D56" w:rsidP="00795D56">
            <w:pPr>
              <w:spacing w:before="0" w:after="0"/>
              <w:ind w:left="113"/>
              <w:jc w:val="right"/>
              <w:rPr>
                <w:rFonts w:cs="Arial"/>
                <w:color w:val="000000"/>
              </w:rPr>
            </w:pPr>
            <w:r w:rsidRPr="00B65D25">
              <w:rPr>
                <w:rFonts w:cs="Arial"/>
                <w:color w:val="000000"/>
              </w:rPr>
              <w:t>19.472,8</w:t>
            </w:r>
          </w:p>
        </w:tc>
        <w:tc>
          <w:tcPr>
            <w:tcW w:w="1418" w:type="dxa"/>
            <w:vAlign w:val="bottom"/>
          </w:tcPr>
          <w:p w14:paraId="406AA314" w14:textId="2465AD24" w:rsidR="00795D56" w:rsidRPr="00843561" w:rsidRDefault="00795D56" w:rsidP="00795D56">
            <w:pPr>
              <w:spacing w:before="0" w:after="0"/>
              <w:ind w:left="113"/>
              <w:jc w:val="right"/>
              <w:rPr>
                <w:rFonts w:cs="Arial"/>
                <w:color w:val="000000"/>
              </w:rPr>
            </w:pPr>
            <w:r w:rsidRPr="00391903">
              <w:rPr>
                <w:rFonts w:cs="Arial"/>
                <w:color w:val="000000"/>
              </w:rPr>
              <w:t>20.092,4</w:t>
            </w:r>
          </w:p>
        </w:tc>
        <w:tc>
          <w:tcPr>
            <w:tcW w:w="1417" w:type="dxa"/>
            <w:vAlign w:val="bottom"/>
          </w:tcPr>
          <w:p w14:paraId="78CD569C" w14:textId="20655AF1" w:rsidR="00795D56" w:rsidRPr="00391903" w:rsidRDefault="00795D56" w:rsidP="00795D56">
            <w:pPr>
              <w:spacing w:before="0" w:after="0"/>
              <w:ind w:left="113"/>
              <w:jc w:val="right"/>
              <w:rPr>
                <w:rFonts w:cs="Arial"/>
                <w:color w:val="000000"/>
              </w:rPr>
            </w:pPr>
            <w:r w:rsidRPr="00795D56">
              <w:rPr>
                <w:rFonts w:cs="Arial"/>
                <w:color w:val="000000"/>
              </w:rPr>
              <w:t>20</w:t>
            </w:r>
            <w:r>
              <w:rPr>
                <w:rFonts w:cs="Arial"/>
                <w:color w:val="000000"/>
              </w:rPr>
              <w:t>.</w:t>
            </w:r>
            <w:r w:rsidRPr="00795D56">
              <w:rPr>
                <w:rFonts w:cs="Arial"/>
                <w:color w:val="000000"/>
              </w:rPr>
              <w:t>501,3</w:t>
            </w:r>
          </w:p>
        </w:tc>
      </w:tr>
      <w:tr w:rsidR="00795D56" w:rsidRPr="00037A46" w14:paraId="7BBEB71C" w14:textId="7880A65D" w:rsidTr="00266D35">
        <w:trPr>
          <w:trHeight w:val="300"/>
          <w:jc w:val="center"/>
        </w:trPr>
        <w:tc>
          <w:tcPr>
            <w:tcW w:w="1163" w:type="dxa"/>
            <w:shd w:val="clear" w:color="auto" w:fill="C0C0C0"/>
            <w:noWrap/>
          </w:tcPr>
          <w:p w14:paraId="7F280820" w14:textId="7E6DD8B9" w:rsidR="00795D56" w:rsidRDefault="00795D56" w:rsidP="00795D56">
            <w:pPr>
              <w:spacing w:before="0" w:after="0"/>
              <w:ind w:hanging="764"/>
              <w:jc w:val="right"/>
              <w:rPr>
                <w:b/>
                <w:bCs/>
                <w:lang w:val="en-US"/>
              </w:rPr>
            </w:pPr>
            <w:r>
              <w:rPr>
                <w:b/>
                <w:bCs/>
                <w:lang w:val="en-US"/>
              </w:rPr>
              <w:t>35</w:t>
            </w:r>
          </w:p>
        </w:tc>
        <w:tc>
          <w:tcPr>
            <w:tcW w:w="1539" w:type="dxa"/>
            <w:tcBorders>
              <w:top w:val="nil"/>
              <w:left w:val="nil"/>
              <w:bottom w:val="single" w:sz="4" w:space="0" w:color="auto"/>
              <w:right w:val="single" w:sz="4" w:space="0" w:color="auto"/>
            </w:tcBorders>
            <w:noWrap/>
            <w:vAlign w:val="bottom"/>
          </w:tcPr>
          <w:p w14:paraId="3DCCC2AA" w14:textId="37DA506C"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844,94</w:t>
            </w:r>
          </w:p>
        </w:tc>
        <w:tc>
          <w:tcPr>
            <w:tcW w:w="1276" w:type="dxa"/>
            <w:tcBorders>
              <w:top w:val="nil"/>
              <w:left w:val="single" w:sz="4" w:space="0" w:color="auto"/>
              <w:bottom w:val="single" w:sz="4" w:space="0" w:color="auto"/>
              <w:right w:val="single" w:sz="4" w:space="0" w:color="auto"/>
            </w:tcBorders>
            <w:noWrap/>
            <w:vAlign w:val="bottom"/>
          </w:tcPr>
          <w:p w14:paraId="7354C427" w14:textId="6E4B39DE"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283,77</w:t>
            </w:r>
          </w:p>
        </w:tc>
        <w:tc>
          <w:tcPr>
            <w:tcW w:w="1399" w:type="dxa"/>
            <w:tcBorders>
              <w:top w:val="nil"/>
              <w:left w:val="single" w:sz="4" w:space="0" w:color="auto"/>
              <w:bottom w:val="single" w:sz="4" w:space="0" w:color="auto"/>
              <w:right w:val="single" w:sz="4" w:space="0" w:color="auto"/>
            </w:tcBorders>
            <w:noWrap/>
            <w:vAlign w:val="bottom"/>
          </w:tcPr>
          <w:p w14:paraId="15F6088D" w14:textId="6A112EC2"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759,3</w:t>
            </w:r>
          </w:p>
        </w:tc>
        <w:tc>
          <w:tcPr>
            <w:tcW w:w="1417" w:type="dxa"/>
            <w:vAlign w:val="bottom"/>
          </w:tcPr>
          <w:p w14:paraId="6A92CBDD" w14:textId="49A22273" w:rsidR="00795D56" w:rsidRPr="00843561" w:rsidRDefault="00795D56" w:rsidP="00795D56">
            <w:pPr>
              <w:spacing w:before="0" w:after="0"/>
              <w:ind w:left="113"/>
              <w:jc w:val="right"/>
              <w:rPr>
                <w:rFonts w:cs="Arial"/>
                <w:color w:val="000000"/>
              </w:rPr>
            </w:pPr>
            <w:r w:rsidRPr="008935E3">
              <w:rPr>
                <w:rFonts w:cs="Arial"/>
                <w:color w:val="000000"/>
              </w:rPr>
              <w:t>18</w:t>
            </w:r>
            <w:r>
              <w:rPr>
                <w:rFonts w:cs="Arial"/>
                <w:color w:val="000000"/>
              </w:rPr>
              <w:t>.</w:t>
            </w:r>
            <w:r w:rsidRPr="008935E3">
              <w:rPr>
                <w:rFonts w:cs="Arial"/>
                <w:color w:val="000000"/>
              </w:rPr>
              <w:t>332,33</w:t>
            </w:r>
          </w:p>
        </w:tc>
        <w:tc>
          <w:tcPr>
            <w:tcW w:w="1418" w:type="dxa"/>
            <w:vAlign w:val="bottom"/>
          </w:tcPr>
          <w:p w14:paraId="045BA4F2" w14:textId="159094D7" w:rsidR="00795D56" w:rsidRPr="00843561" w:rsidRDefault="00795D56" w:rsidP="00795D56">
            <w:pPr>
              <w:spacing w:before="0" w:after="0"/>
              <w:ind w:left="113"/>
              <w:jc w:val="right"/>
              <w:rPr>
                <w:rFonts w:cs="Arial"/>
                <w:color w:val="000000"/>
              </w:rPr>
            </w:pPr>
            <w:r w:rsidRPr="00B65D25">
              <w:rPr>
                <w:rFonts w:cs="Arial"/>
                <w:color w:val="000000"/>
              </w:rPr>
              <w:t>19.222,77</w:t>
            </w:r>
          </w:p>
        </w:tc>
        <w:tc>
          <w:tcPr>
            <w:tcW w:w="1559" w:type="dxa"/>
            <w:vAlign w:val="bottom"/>
          </w:tcPr>
          <w:p w14:paraId="152AEFD4" w14:textId="2F0B07B1" w:rsidR="00795D56" w:rsidRPr="00843561" w:rsidRDefault="00795D56" w:rsidP="00795D56">
            <w:pPr>
              <w:spacing w:before="0" w:after="0"/>
              <w:ind w:left="113"/>
              <w:jc w:val="right"/>
              <w:rPr>
                <w:rFonts w:cs="Arial"/>
                <w:color w:val="000000"/>
              </w:rPr>
            </w:pPr>
            <w:r w:rsidRPr="00B65D25">
              <w:rPr>
                <w:rFonts w:cs="Arial"/>
                <w:color w:val="000000"/>
              </w:rPr>
              <w:t>19.495,64</w:t>
            </w:r>
          </w:p>
        </w:tc>
        <w:tc>
          <w:tcPr>
            <w:tcW w:w="1418" w:type="dxa"/>
            <w:vAlign w:val="bottom"/>
          </w:tcPr>
          <w:p w14:paraId="32706C22" w14:textId="6BB00927" w:rsidR="00795D56" w:rsidRPr="00843561" w:rsidRDefault="00795D56" w:rsidP="00795D56">
            <w:pPr>
              <w:spacing w:before="0" w:after="0"/>
              <w:ind w:left="113"/>
              <w:jc w:val="right"/>
              <w:rPr>
                <w:rFonts w:cs="Arial"/>
                <w:color w:val="000000"/>
              </w:rPr>
            </w:pPr>
            <w:r w:rsidRPr="00391903">
              <w:rPr>
                <w:rFonts w:cs="Arial"/>
                <w:color w:val="000000"/>
              </w:rPr>
              <w:t>20.116,12</w:t>
            </w:r>
          </w:p>
        </w:tc>
        <w:tc>
          <w:tcPr>
            <w:tcW w:w="1417" w:type="dxa"/>
            <w:vAlign w:val="bottom"/>
          </w:tcPr>
          <w:p w14:paraId="7A7B3C30" w14:textId="6B5E86EC" w:rsidR="00795D56" w:rsidRPr="00391903" w:rsidRDefault="00795D56" w:rsidP="00795D56">
            <w:pPr>
              <w:spacing w:before="0" w:after="0"/>
              <w:ind w:left="113"/>
              <w:jc w:val="right"/>
              <w:rPr>
                <w:rFonts w:cs="Arial"/>
                <w:color w:val="000000"/>
              </w:rPr>
            </w:pPr>
            <w:r w:rsidRPr="00795D56">
              <w:rPr>
                <w:rFonts w:cs="Arial"/>
                <w:color w:val="000000"/>
              </w:rPr>
              <w:t>20</w:t>
            </w:r>
            <w:r>
              <w:rPr>
                <w:rFonts w:cs="Arial"/>
                <w:color w:val="000000"/>
              </w:rPr>
              <w:t>.</w:t>
            </w:r>
            <w:r w:rsidRPr="00795D56">
              <w:rPr>
                <w:rFonts w:cs="Arial"/>
                <w:color w:val="000000"/>
              </w:rPr>
              <w:t>525,89</w:t>
            </w:r>
          </w:p>
        </w:tc>
      </w:tr>
    </w:tbl>
    <w:p w14:paraId="7D3E1765" w14:textId="77777777" w:rsidR="00520105" w:rsidRDefault="00520105" w:rsidP="00520105">
      <w:pPr>
        <w:tabs>
          <w:tab w:val="left" w:pos="2160"/>
        </w:tabs>
        <w:rPr>
          <w:lang w:val="nl-BE"/>
        </w:rPr>
      </w:pPr>
    </w:p>
    <w:p w14:paraId="354C1AD6" w14:textId="77777777" w:rsidR="00795D56" w:rsidRDefault="00795D56" w:rsidP="00520105">
      <w:pPr>
        <w:tabs>
          <w:tab w:val="left" w:pos="2160"/>
        </w:tabs>
        <w:rPr>
          <w:lang w:val="nl-BE"/>
        </w:rPr>
      </w:pPr>
    </w:p>
    <w:p w14:paraId="10CDAB63" w14:textId="77777777" w:rsidR="00795D56" w:rsidRDefault="00795D56" w:rsidP="00520105">
      <w:pPr>
        <w:tabs>
          <w:tab w:val="left" w:pos="2160"/>
        </w:tabs>
        <w:rPr>
          <w:lang w:val="nl-BE"/>
        </w:rPr>
      </w:pPr>
    </w:p>
    <w:p w14:paraId="269F3AB3" w14:textId="77777777" w:rsidR="00795D56" w:rsidRDefault="00795D56" w:rsidP="00520105">
      <w:pPr>
        <w:tabs>
          <w:tab w:val="left" w:pos="2160"/>
        </w:tabs>
        <w:rPr>
          <w:lang w:val="nl-BE"/>
        </w:rPr>
      </w:pPr>
    </w:p>
    <w:p w14:paraId="028041A0" w14:textId="77777777" w:rsidR="00795D56" w:rsidRDefault="00795D56" w:rsidP="00520105">
      <w:pPr>
        <w:tabs>
          <w:tab w:val="left" w:pos="2160"/>
        </w:tabs>
        <w:rPr>
          <w:lang w:val="nl-BE"/>
        </w:rPr>
      </w:pPr>
    </w:p>
    <w:p w14:paraId="11168DA1" w14:textId="77777777" w:rsidR="00795D56" w:rsidRDefault="00795D56" w:rsidP="00520105">
      <w:pPr>
        <w:tabs>
          <w:tab w:val="left" w:pos="2160"/>
        </w:tabs>
        <w:rPr>
          <w:lang w:val="nl-BE"/>
        </w:rPr>
      </w:pPr>
    </w:p>
    <w:p w14:paraId="4ED1B6A0" w14:textId="77777777" w:rsidR="00B65D25" w:rsidRDefault="00B65D25" w:rsidP="00520105">
      <w:pPr>
        <w:tabs>
          <w:tab w:val="left" w:pos="2160"/>
        </w:tabs>
        <w:rPr>
          <w:lang w:val="nl-BE"/>
        </w:rPr>
      </w:pPr>
    </w:p>
    <w:p w14:paraId="702C53EA" w14:textId="77777777" w:rsidR="00B65D25" w:rsidRDefault="00B65D25" w:rsidP="00520105">
      <w:pPr>
        <w:tabs>
          <w:tab w:val="left" w:pos="2160"/>
        </w:tabs>
        <w:rPr>
          <w:lang w:val="nl-BE"/>
        </w:rPr>
      </w:pPr>
    </w:p>
    <w:tbl>
      <w:tblPr>
        <w:tblW w:w="14024" w:type="dxa"/>
        <w:jc w:val="center"/>
        <w:tblBorders>
          <w:top w:val="single" w:sz="8" w:space="0" w:color="auto"/>
          <w:left w:val="single" w:sz="8" w:space="0" w:color="auto"/>
          <w:bottom w:val="single" w:sz="8" w:space="0" w:color="auto"/>
          <w:right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163"/>
        <w:gridCol w:w="1143"/>
        <w:gridCol w:w="1228"/>
        <w:gridCol w:w="1276"/>
        <w:gridCol w:w="1276"/>
        <w:gridCol w:w="1417"/>
        <w:gridCol w:w="1276"/>
        <w:gridCol w:w="1417"/>
        <w:gridCol w:w="1276"/>
        <w:gridCol w:w="1276"/>
        <w:gridCol w:w="1276"/>
      </w:tblGrid>
      <w:tr w:rsidR="002A30E5" w:rsidRPr="00B01394" w14:paraId="5BB6232E" w14:textId="363EBA33" w:rsidTr="002A30E5">
        <w:trPr>
          <w:trHeight w:val="749"/>
          <w:jc w:val="center"/>
        </w:trPr>
        <w:tc>
          <w:tcPr>
            <w:tcW w:w="1163" w:type="dxa"/>
            <w:tcBorders>
              <w:top w:val="single" w:sz="8" w:space="0" w:color="auto"/>
              <w:bottom w:val="single" w:sz="8" w:space="0" w:color="auto"/>
            </w:tcBorders>
            <w:shd w:val="clear" w:color="auto" w:fill="E3E3E3"/>
            <w:vAlign w:val="center"/>
          </w:tcPr>
          <w:p w14:paraId="6F9C368F" w14:textId="77777777" w:rsidR="002A30E5" w:rsidRPr="00037A46" w:rsidRDefault="002A30E5" w:rsidP="002A30E5">
            <w:pPr>
              <w:spacing w:before="0" w:after="0"/>
              <w:ind w:hanging="764"/>
              <w:jc w:val="center"/>
              <w:rPr>
                <w:b/>
                <w:bCs/>
                <w:lang w:val="en-US"/>
              </w:rPr>
            </w:pPr>
            <w:r w:rsidRPr="00037A46">
              <w:lastRenderedPageBreak/>
              <w:br w:type="page"/>
            </w:r>
            <w:proofErr w:type="spellStart"/>
            <w:r w:rsidRPr="00037A46">
              <w:rPr>
                <w:b/>
                <w:bCs/>
                <w:lang w:val="en-US"/>
              </w:rPr>
              <w:t>salaris</w:t>
            </w:r>
            <w:proofErr w:type="spellEnd"/>
            <w:r w:rsidRPr="00037A46">
              <w:rPr>
                <w:b/>
                <w:bCs/>
                <w:lang w:val="en-US"/>
              </w:rPr>
              <w:t>-</w:t>
            </w:r>
          </w:p>
          <w:p w14:paraId="56E60435" w14:textId="77777777" w:rsidR="002A30E5" w:rsidRPr="00037A46" w:rsidRDefault="002A30E5" w:rsidP="002A30E5">
            <w:pPr>
              <w:spacing w:before="0" w:after="0"/>
              <w:ind w:left="87"/>
              <w:jc w:val="center"/>
              <w:rPr>
                <w:b/>
                <w:bCs/>
                <w:lang w:val="en-US"/>
              </w:rPr>
            </w:pPr>
            <w:proofErr w:type="spellStart"/>
            <w:r w:rsidRPr="00037A46">
              <w:rPr>
                <w:b/>
                <w:bCs/>
                <w:lang w:val="en-US"/>
              </w:rPr>
              <w:t>schalen</w:t>
            </w:r>
            <w:proofErr w:type="spellEnd"/>
            <w:r w:rsidRPr="00037A46">
              <w:rPr>
                <w:b/>
                <w:bCs/>
                <w:lang w:val="en-US"/>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7C526A" w14:textId="011A822F" w:rsidR="002A30E5" w:rsidRDefault="002A30E5" w:rsidP="002A30E5">
            <w:pPr>
              <w:spacing w:before="0" w:after="0"/>
              <w:ind w:left="113"/>
              <w:jc w:val="right"/>
              <w:rPr>
                <w:b/>
                <w:bCs/>
                <w:lang w:val="en-US"/>
              </w:rPr>
            </w:pPr>
            <w:r>
              <w:rPr>
                <w:b/>
                <w:bCs/>
                <w:lang w:val="en-US"/>
              </w:rPr>
              <w:t>CAT 12</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DD62DF" w14:textId="4F8AF108" w:rsidR="002A30E5" w:rsidRDefault="002A30E5" w:rsidP="002A30E5">
            <w:pPr>
              <w:spacing w:before="0" w:after="0"/>
              <w:ind w:left="113"/>
              <w:jc w:val="right"/>
              <w:rPr>
                <w:b/>
                <w:bCs/>
                <w:lang w:val="en-US"/>
              </w:rPr>
            </w:pPr>
            <w:r>
              <w:rPr>
                <w:b/>
                <w:bCs/>
                <w:lang w:val="en-US"/>
              </w:rPr>
              <w:t>CAT 13</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F0A720" w14:textId="62A1C0B9" w:rsidR="002A30E5" w:rsidRPr="00B01394" w:rsidRDefault="002A30E5" w:rsidP="002A30E5">
            <w:pPr>
              <w:spacing w:before="0" w:after="0"/>
              <w:ind w:left="113"/>
              <w:jc w:val="right"/>
              <w:rPr>
                <w:b/>
                <w:bCs/>
                <w:lang w:val="en-US"/>
              </w:rPr>
            </w:pPr>
            <w:r>
              <w:rPr>
                <w:b/>
                <w:bCs/>
                <w:lang w:val="en-US"/>
              </w:rPr>
              <w:t>CAT 14b</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483DA8" w14:textId="77777777" w:rsidR="002A30E5" w:rsidRPr="00B01394" w:rsidRDefault="002A30E5" w:rsidP="002A30E5">
            <w:pPr>
              <w:spacing w:before="0" w:after="0"/>
              <w:ind w:left="113"/>
              <w:jc w:val="right"/>
              <w:rPr>
                <w:b/>
                <w:bCs/>
                <w:lang w:val="en-US"/>
              </w:rPr>
            </w:pPr>
            <w:r>
              <w:rPr>
                <w:b/>
                <w:bCs/>
                <w:lang w:val="en-US"/>
              </w:rPr>
              <w:t>CAT 14</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72375C" w14:textId="77777777" w:rsidR="002A30E5" w:rsidRPr="00B01394" w:rsidRDefault="002A30E5" w:rsidP="002A30E5">
            <w:pPr>
              <w:spacing w:before="0" w:after="0"/>
              <w:ind w:left="113"/>
              <w:jc w:val="right"/>
              <w:rPr>
                <w:b/>
                <w:bCs/>
                <w:lang w:val="en-US"/>
              </w:rPr>
            </w:pPr>
            <w:r>
              <w:rPr>
                <w:b/>
                <w:bCs/>
                <w:lang w:val="en-US"/>
              </w:rPr>
              <w:t>CAT 15</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833EF0" w14:textId="318044BA" w:rsidR="002A30E5" w:rsidRDefault="002A30E5" w:rsidP="002A30E5">
            <w:pPr>
              <w:spacing w:before="0" w:after="0"/>
              <w:ind w:left="113"/>
              <w:jc w:val="right"/>
              <w:rPr>
                <w:b/>
                <w:bCs/>
                <w:lang w:val="en-US"/>
              </w:rPr>
            </w:pPr>
            <w:r>
              <w:rPr>
                <w:b/>
                <w:bCs/>
                <w:lang w:val="en-US"/>
              </w:rPr>
              <w:t>CAT 16</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C2C2C0" w14:textId="4DED61BF" w:rsidR="002A30E5" w:rsidRPr="00B01394" w:rsidRDefault="002A30E5" w:rsidP="002A30E5">
            <w:pPr>
              <w:spacing w:before="0" w:after="0"/>
              <w:ind w:left="113"/>
              <w:jc w:val="right"/>
              <w:rPr>
                <w:b/>
                <w:bCs/>
                <w:lang w:val="en-US"/>
              </w:rPr>
            </w:pPr>
            <w:r>
              <w:rPr>
                <w:b/>
                <w:bCs/>
                <w:lang w:val="en-US"/>
              </w:rPr>
              <w:t>CAT 17</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EA171D" w14:textId="513B7BD3" w:rsidR="002A30E5" w:rsidRDefault="002A30E5" w:rsidP="002A30E5">
            <w:pPr>
              <w:spacing w:before="0" w:after="0"/>
              <w:ind w:left="113"/>
              <w:jc w:val="right"/>
              <w:rPr>
                <w:b/>
                <w:bCs/>
                <w:lang w:val="en-US"/>
              </w:rPr>
            </w:pPr>
            <w:r>
              <w:rPr>
                <w:b/>
                <w:bCs/>
                <w:lang w:val="en-US"/>
              </w:rPr>
              <w:t>CAT 18</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B1566A" w14:textId="09C807E4" w:rsidR="002A30E5" w:rsidRDefault="002A30E5" w:rsidP="002A30E5">
            <w:pPr>
              <w:spacing w:before="0" w:after="0"/>
              <w:ind w:left="113"/>
              <w:jc w:val="right"/>
              <w:rPr>
                <w:b/>
                <w:bCs/>
                <w:lang w:val="en-US"/>
              </w:rPr>
            </w:pPr>
            <w:r>
              <w:rPr>
                <w:b/>
                <w:bCs/>
                <w:lang w:val="en-US"/>
              </w:rPr>
              <w:t>CAT 19</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25E625" w14:textId="1CAB16D3" w:rsidR="002A30E5" w:rsidRDefault="002A30E5" w:rsidP="002A30E5">
            <w:pPr>
              <w:spacing w:before="0" w:after="0"/>
              <w:ind w:left="113"/>
              <w:jc w:val="right"/>
              <w:rPr>
                <w:b/>
                <w:bCs/>
                <w:lang w:val="en-US"/>
              </w:rPr>
            </w:pPr>
            <w:r>
              <w:rPr>
                <w:b/>
                <w:bCs/>
                <w:lang w:val="en-US"/>
              </w:rPr>
              <w:t>CAT 20</w:t>
            </w:r>
          </w:p>
        </w:tc>
      </w:tr>
      <w:tr w:rsidR="002A30E5" w:rsidRPr="00B01394" w14:paraId="2D05FD9F" w14:textId="2529A1FC" w:rsidTr="002A30E5">
        <w:trPr>
          <w:trHeight w:val="315"/>
          <w:jc w:val="center"/>
        </w:trPr>
        <w:tc>
          <w:tcPr>
            <w:tcW w:w="1163" w:type="dxa"/>
            <w:tcBorders>
              <w:top w:val="single" w:sz="8" w:space="0" w:color="auto"/>
              <w:bottom w:val="nil"/>
            </w:tcBorders>
            <w:shd w:val="clear" w:color="auto" w:fill="C0C0C0"/>
            <w:noWrap/>
            <w:vAlign w:val="bottom"/>
          </w:tcPr>
          <w:p w14:paraId="757076F8" w14:textId="77777777" w:rsidR="002A30E5" w:rsidRPr="00037A46" w:rsidRDefault="002A30E5" w:rsidP="002A30E5">
            <w:pPr>
              <w:spacing w:before="0" w:after="0"/>
              <w:ind w:hanging="764"/>
              <w:rPr>
                <w:b/>
                <w:bCs/>
              </w:rPr>
            </w:pPr>
            <w:r w:rsidRPr="00037A46">
              <w:rPr>
                <w:b/>
                <w:bCs/>
              </w:rPr>
              <w:t>minimum</w:t>
            </w:r>
          </w:p>
        </w:tc>
        <w:tc>
          <w:tcPr>
            <w:tcW w:w="1143" w:type="dxa"/>
            <w:tcBorders>
              <w:top w:val="single" w:sz="4" w:space="0" w:color="auto"/>
              <w:bottom w:val="nil"/>
            </w:tcBorders>
            <w:vAlign w:val="bottom"/>
          </w:tcPr>
          <w:p w14:paraId="02A3FE8C" w14:textId="422FD112" w:rsidR="002A30E5" w:rsidRPr="00843561" w:rsidRDefault="002A30E5" w:rsidP="002A30E5">
            <w:pPr>
              <w:spacing w:before="0" w:after="0"/>
              <w:ind w:left="113"/>
              <w:jc w:val="right"/>
              <w:rPr>
                <w:rFonts w:cs="Arial"/>
                <w:color w:val="000000"/>
              </w:rPr>
            </w:pPr>
            <w:r>
              <w:rPr>
                <w:rFonts w:cs="Arial"/>
                <w:color w:val="000000"/>
              </w:rPr>
              <w:t>16757.63</w:t>
            </w:r>
          </w:p>
        </w:tc>
        <w:tc>
          <w:tcPr>
            <w:tcW w:w="1228" w:type="dxa"/>
            <w:tcBorders>
              <w:top w:val="single" w:sz="4" w:space="0" w:color="auto"/>
              <w:bottom w:val="nil"/>
            </w:tcBorders>
            <w:vAlign w:val="bottom"/>
          </w:tcPr>
          <w:p w14:paraId="32186735" w14:textId="67A52487" w:rsidR="002A30E5" w:rsidRPr="00843561" w:rsidRDefault="002A30E5" w:rsidP="002A30E5">
            <w:pPr>
              <w:spacing w:before="0" w:after="0"/>
              <w:ind w:left="113"/>
              <w:jc w:val="right"/>
              <w:rPr>
                <w:rFonts w:cs="Arial"/>
                <w:color w:val="000000"/>
              </w:rPr>
            </w:pPr>
            <w:r>
              <w:rPr>
                <w:rFonts w:cs="Arial"/>
                <w:color w:val="000000"/>
              </w:rPr>
              <w:t>17.322,96</w:t>
            </w:r>
          </w:p>
        </w:tc>
        <w:tc>
          <w:tcPr>
            <w:tcW w:w="1276" w:type="dxa"/>
            <w:tcBorders>
              <w:top w:val="single" w:sz="4" w:space="0" w:color="auto"/>
              <w:bottom w:val="nil"/>
            </w:tcBorders>
            <w:vAlign w:val="bottom"/>
          </w:tcPr>
          <w:p w14:paraId="57170CA2" w14:textId="1282D2D4" w:rsidR="002A30E5" w:rsidRPr="004A6580" w:rsidRDefault="002A30E5" w:rsidP="002A30E5">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322,96</w:t>
            </w:r>
          </w:p>
        </w:tc>
        <w:tc>
          <w:tcPr>
            <w:tcW w:w="1276" w:type="dxa"/>
            <w:tcBorders>
              <w:top w:val="single" w:sz="4" w:space="0" w:color="auto"/>
              <w:bottom w:val="nil"/>
            </w:tcBorders>
            <w:vAlign w:val="bottom"/>
          </w:tcPr>
          <w:p w14:paraId="2A4C8682" w14:textId="77777777" w:rsidR="002A30E5" w:rsidRPr="004A6580" w:rsidRDefault="002A30E5" w:rsidP="002A30E5">
            <w:pPr>
              <w:spacing w:before="0" w:after="0"/>
              <w:ind w:left="113"/>
              <w:jc w:val="right"/>
              <w:rPr>
                <w:rFonts w:cs="Arial"/>
                <w:color w:val="000000"/>
              </w:rPr>
            </w:pPr>
            <w:r w:rsidRPr="00843561">
              <w:rPr>
                <w:rFonts w:cs="Arial"/>
                <w:color w:val="000000"/>
              </w:rPr>
              <w:t>18</w:t>
            </w:r>
            <w:r>
              <w:rPr>
                <w:rFonts w:cs="Arial"/>
                <w:color w:val="000000"/>
              </w:rPr>
              <w:t>.</w:t>
            </w:r>
            <w:r w:rsidRPr="00843561">
              <w:rPr>
                <w:rFonts w:cs="Arial"/>
                <w:color w:val="000000"/>
              </w:rPr>
              <w:t>736,23</w:t>
            </w:r>
          </w:p>
        </w:tc>
        <w:tc>
          <w:tcPr>
            <w:tcW w:w="1417" w:type="dxa"/>
            <w:tcBorders>
              <w:top w:val="single" w:sz="4" w:space="0" w:color="auto"/>
              <w:bottom w:val="nil"/>
            </w:tcBorders>
            <w:vAlign w:val="bottom"/>
          </w:tcPr>
          <w:p w14:paraId="54D0F308" w14:textId="77777777" w:rsidR="002A30E5" w:rsidRPr="004A6580" w:rsidRDefault="002A30E5" w:rsidP="002A30E5">
            <w:pPr>
              <w:spacing w:before="0" w:after="0"/>
              <w:ind w:left="113"/>
              <w:jc w:val="right"/>
              <w:rPr>
                <w:rFonts w:cs="Arial"/>
                <w:color w:val="000000"/>
              </w:rPr>
            </w:pPr>
            <w:r w:rsidRPr="00843561">
              <w:rPr>
                <w:rFonts w:cs="Arial"/>
                <w:color w:val="000000"/>
              </w:rPr>
              <w:t>20</w:t>
            </w:r>
            <w:r>
              <w:rPr>
                <w:rFonts w:cs="Arial"/>
                <w:color w:val="000000"/>
              </w:rPr>
              <w:t>.</w:t>
            </w:r>
            <w:r w:rsidRPr="00843561">
              <w:rPr>
                <w:rFonts w:cs="Arial"/>
                <w:color w:val="000000"/>
              </w:rPr>
              <w:t>068,75</w:t>
            </w:r>
          </w:p>
        </w:tc>
        <w:tc>
          <w:tcPr>
            <w:tcW w:w="1276" w:type="dxa"/>
            <w:tcBorders>
              <w:top w:val="single" w:sz="4" w:space="0" w:color="auto"/>
              <w:bottom w:val="nil"/>
            </w:tcBorders>
            <w:vAlign w:val="bottom"/>
          </w:tcPr>
          <w:p w14:paraId="4F4831B7" w14:textId="695EC37B" w:rsidR="002A30E5" w:rsidRPr="00843561" w:rsidRDefault="002A30E5" w:rsidP="002A30E5">
            <w:pPr>
              <w:spacing w:before="0" w:after="0"/>
              <w:ind w:left="113"/>
              <w:jc w:val="right"/>
              <w:rPr>
                <w:rFonts w:cs="Arial"/>
                <w:color w:val="000000"/>
              </w:rPr>
            </w:pPr>
            <w:r>
              <w:rPr>
                <w:rFonts w:cs="Arial"/>
                <w:color w:val="000000"/>
              </w:rPr>
              <w:t>21.885,84</w:t>
            </w:r>
          </w:p>
        </w:tc>
        <w:tc>
          <w:tcPr>
            <w:tcW w:w="1417" w:type="dxa"/>
            <w:tcBorders>
              <w:top w:val="single" w:sz="4" w:space="0" w:color="auto"/>
              <w:bottom w:val="nil"/>
            </w:tcBorders>
            <w:vAlign w:val="bottom"/>
          </w:tcPr>
          <w:p w14:paraId="6F085085" w14:textId="6E4335F3" w:rsidR="002A30E5" w:rsidRPr="004A6580" w:rsidRDefault="002A30E5" w:rsidP="002A30E5">
            <w:pPr>
              <w:spacing w:before="0" w:after="0"/>
              <w:ind w:left="113"/>
              <w:jc w:val="right"/>
              <w:rPr>
                <w:rFonts w:cs="Arial"/>
                <w:color w:val="000000"/>
              </w:rPr>
            </w:pPr>
            <w:r w:rsidRPr="00843561">
              <w:rPr>
                <w:rFonts w:cs="Arial"/>
                <w:color w:val="000000"/>
              </w:rPr>
              <w:t>23</w:t>
            </w:r>
            <w:r>
              <w:rPr>
                <w:rFonts w:cs="Arial"/>
                <w:color w:val="000000"/>
              </w:rPr>
              <w:t>.</w:t>
            </w:r>
            <w:r w:rsidRPr="00843561">
              <w:rPr>
                <w:rFonts w:cs="Arial"/>
                <w:color w:val="000000"/>
              </w:rPr>
              <w:t>662,6</w:t>
            </w:r>
          </w:p>
        </w:tc>
        <w:tc>
          <w:tcPr>
            <w:tcW w:w="1276" w:type="dxa"/>
            <w:tcBorders>
              <w:top w:val="single" w:sz="4" w:space="0" w:color="auto"/>
              <w:bottom w:val="nil"/>
            </w:tcBorders>
            <w:vAlign w:val="bottom"/>
          </w:tcPr>
          <w:p w14:paraId="017EE2B0" w14:textId="4E3C04A6" w:rsidR="002A30E5" w:rsidRPr="00843561" w:rsidRDefault="002A30E5" w:rsidP="002A30E5">
            <w:pPr>
              <w:spacing w:before="0" w:after="0"/>
              <w:ind w:left="113"/>
              <w:jc w:val="right"/>
              <w:rPr>
                <w:rFonts w:cs="Arial"/>
                <w:color w:val="000000"/>
              </w:rPr>
            </w:pPr>
            <w:r>
              <w:rPr>
                <w:rFonts w:cs="Arial"/>
                <w:color w:val="000000"/>
              </w:rPr>
              <w:t>26.004,62</w:t>
            </w:r>
          </w:p>
        </w:tc>
        <w:tc>
          <w:tcPr>
            <w:tcW w:w="1276" w:type="dxa"/>
            <w:tcBorders>
              <w:top w:val="single" w:sz="4" w:space="0" w:color="auto"/>
              <w:bottom w:val="nil"/>
            </w:tcBorders>
            <w:vAlign w:val="bottom"/>
          </w:tcPr>
          <w:p w14:paraId="424F7874" w14:textId="756FAE85" w:rsidR="002A30E5" w:rsidRPr="00843561" w:rsidRDefault="002A30E5" w:rsidP="002A30E5">
            <w:pPr>
              <w:spacing w:before="0" w:after="0"/>
              <w:ind w:left="113"/>
              <w:jc w:val="right"/>
              <w:rPr>
                <w:rFonts w:cs="Arial"/>
                <w:color w:val="000000"/>
              </w:rPr>
            </w:pPr>
            <w:r>
              <w:rPr>
                <w:rFonts w:cs="Arial"/>
                <w:color w:val="000000"/>
              </w:rPr>
              <w:t>28346,64</w:t>
            </w:r>
          </w:p>
        </w:tc>
        <w:tc>
          <w:tcPr>
            <w:tcW w:w="1276" w:type="dxa"/>
            <w:tcBorders>
              <w:top w:val="single" w:sz="4" w:space="0" w:color="auto"/>
              <w:bottom w:val="nil"/>
            </w:tcBorders>
            <w:vAlign w:val="bottom"/>
          </w:tcPr>
          <w:p w14:paraId="20D36233" w14:textId="433BDE40" w:rsidR="002A30E5" w:rsidRDefault="002A30E5" w:rsidP="002A30E5">
            <w:pPr>
              <w:spacing w:before="0" w:after="0"/>
              <w:ind w:left="113"/>
              <w:jc w:val="right"/>
              <w:rPr>
                <w:rFonts w:cs="Arial"/>
                <w:color w:val="000000"/>
              </w:rPr>
            </w:pPr>
            <w:r>
              <w:rPr>
                <w:rFonts w:cs="Arial"/>
                <w:color w:val="000000"/>
              </w:rPr>
              <w:t>30.688,73</w:t>
            </w:r>
          </w:p>
        </w:tc>
      </w:tr>
      <w:tr w:rsidR="002A30E5" w:rsidRPr="00B01394" w14:paraId="58EC724D" w14:textId="02A4DB57" w:rsidTr="002A30E5">
        <w:trPr>
          <w:trHeight w:val="315"/>
          <w:jc w:val="center"/>
        </w:trPr>
        <w:tc>
          <w:tcPr>
            <w:tcW w:w="1163" w:type="dxa"/>
            <w:tcBorders>
              <w:top w:val="nil"/>
              <w:bottom w:val="single" w:sz="8" w:space="0" w:color="auto"/>
            </w:tcBorders>
            <w:shd w:val="clear" w:color="auto" w:fill="C0C0C0"/>
            <w:noWrap/>
            <w:vAlign w:val="bottom"/>
          </w:tcPr>
          <w:p w14:paraId="59DF879D" w14:textId="77777777" w:rsidR="002A30E5" w:rsidRPr="00037A46" w:rsidRDefault="002A30E5" w:rsidP="002A30E5">
            <w:pPr>
              <w:spacing w:before="0" w:after="0"/>
              <w:ind w:hanging="764"/>
              <w:rPr>
                <w:b/>
                <w:bCs/>
              </w:rPr>
            </w:pPr>
            <w:r w:rsidRPr="00037A46">
              <w:rPr>
                <w:b/>
                <w:bCs/>
              </w:rPr>
              <w:t>maximum</w:t>
            </w:r>
          </w:p>
        </w:tc>
        <w:tc>
          <w:tcPr>
            <w:tcW w:w="1143" w:type="dxa"/>
            <w:tcBorders>
              <w:top w:val="nil"/>
              <w:bottom w:val="single" w:sz="4" w:space="0" w:color="auto"/>
            </w:tcBorders>
            <w:vAlign w:val="bottom"/>
          </w:tcPr>
          <w:p w14:paraId="1B44B202" w14:textId="13BC38E8" w:rsidR="002A30E5" w:rsidRPr="00843561" w:rsidRDefault="002A30E5" w:rsidP="002A30E5">
            <w:pPr>
              <w:spacing w:before="0" w:after="0"/>
              <w:ind w:left="113"/>
              <w:jc w:val="right"/>
              <w:rPr>
                <w:rFonts w:cs="Arial"/>
                <w:color w:val="000000"/>
              </w:rPr>
            </w:pPr>
            <w:r>
              <w:rPr>
                <w:rFonts w:cs="Arial"/>
                <w:color w:val="000000"/>
              </w:rPr>
              <w:t>23666.04</w:t>
            </w:r>
          </w:p>
        </w:tc>
        <w:tc>
          <w:tcPr>
            <w:tcW w:w="1228" w:type="dxa"/>
            <w:tcBorders>
              <w:top w:val="nil"/>
              <w:bottom w:val="single" w:sz="4" w:space="0" w:color="auto"/>
            </w:tcBorders>
            <w:vAlign w:val="bottom"/>
          </w:tcPr>
          <w:p w14:paraId="3AF6BCC0" w14:textId="50D9762D" w:rsidR="002A30E5" w:rsidRPr="00843561" w:rsidRDefault="002A30E5" w:rsidP="002A30E5">
            <w:pPr>
              <w:spacing w:before="0" w:after="0"/>
              <w:ind w:left="113"/>
              <w:jc w:val="right"/>
              <w:rPr>
                <w:rFonts w:cs="Arial"/>
                <w:color w:val="000000"/>
              </w:rPr>
            </w:pPr>
            <w:r>
              <w:rPr>
                <w:rFonts w:cs="Arial"/>
                <w:color w:val="000000"/>
              </w:rPr>
              <w:t>25.760,33</w:t>
            </w:r>
          </w:p>
        </w:tc>
        <w:tc>
          <w:tcPr>
            <w:tcW w:w="1276" w:type="dxa"/>
            <w:tcBorders>
              <w:top w:val="nil"/>
              <w:bottom w:val="single" w:sz="4" w:space="0" w:color="auto"/>
            </w:tcBorders>
            <w:vAlign w:val="bottom"/>
          </w:tcPr>
          <w:p w14:paraId="7F342ED0" w14:textId="2444FE6D" w:rsidR="002A30E5" w:rsidRPr="004A6580" w:rsidRDefault="002A30E5" w:rsidP="002A30E5">
            <w:pPr>
              <w:spacing w:before="0" w:after="0"/>
              <w:ind w:left="113"/>
              <w:jc w:val="right"/>
              <w:rPr>
                <w:rFonts w:cs="Arial"/>
                <w:color w:val="000000"/>
              </w:rPr>
            </w:pPr>
            <w:r w:rsidRPr="00843561">
              <w:rPr>
                <w:rFonts w:cs="Arial"/>
                <w:color w:val="000000"/>
              </w:rPr>
              <w:t>26</w:t>
            </w:r>
            <w:r>
              <w:rPr>
                <w:rFonts w:cs="Arial"/>
                <w:color w:val="000000"/>
              </w:rPr>
              <w:t>.</w:t>
            </w:r>
            <w:r w:rsidRPr="00843561">
              <w:rPr>
                <w:rFonts w:cs="Arial"/>
                <w:color w:val="000000"/>
              </w:rPr>
              <w:t>359,66</w:t>
            </w:r>
          </w:p>
        </w:tc>
        <w:tc>
          <w:tcPr>
            <w:tcW w:w="1276" w:type="dxa"/>
            <w:tcBorders>
              <w:top w:val="nil"/>
              <w:bottom w:val="single" w:sz="4" w:space="0" w:color="auto"/>
            </w:tcBorders>
            <w:vAlign w:val="bottom"/>
          </w:tcPr>
          <w:p w14:paraId="0FF4CB97" w14:textId="77777777" w:rsidR="002A30E5" w:rsidRPr="004A6580" w:rsidRDefault="002A30E5" w:rsidP="002A30E5">
            <w:pPr>
              <w:spacing w:before="0" w:after="0"/>
              <w:ind w:left="113"/>
              <w:jc w:val="right"/>
              <w:rPr>
                <w:rFonts w:cs="Arial"/>
                <w:color w:val="000000"/>
              </w:rPr>
            </w:pPr>
            <w:r w:rsidRPr="00843561">
              <w:rPr>
                <w:rFonts w:cs="Arial"/>
                <w:color w:val="000000"/>
              </w:rPr>
              <w:t>29</w:t>
            </w:r>
            <w:r>
              <w:rPr>
                <w:rFonts w:cs="Arial"/>
                <w:color w:val="000000"/>
              </w:rPr>
              <w:t>.</w:t>
            </w:r>
            <w:r w:rsidRPr="00843561">
              <w:rPr>
                <w:rFonts w:cs="Arial"/>
                <w:color w:val="000000"/>
              </w:rPr>
              <w:t>597,79</w:t>
            </w:r>
          </w:p>
        </w:tc>
        <w:tc>
          <w:tcPr>
            <w:tcW w:w="1417" w:type="dxa"/>
            <w:tcBorders>
              <w:top w:val="nil"/>
              <w:bottom w:val="single" w:sz="4" w:space="0" w:color="auto"/>
            </w:tcBorders>
            <w:vAlign w:val="bottom"/>
          </w:tcPr>
          <w:p w14:paraId="3D33143B" w14:textId="77777777" w:rsidR="002A30E5" w:rsidRPr="004A6580" w:rsidRDefault="002A30E5" w:rsidP="002A30E5">
            <w:pPr>
              <w:spacing w:before="0" w:after="0"/>
              <w:ind w:left="113"/>
              <w:jc w:val="right"/>
              <w:rPr>
                <w:rFonts w:cs="Arial"/>
                <w:color w:val="000000"/>
              </w:rPr>
            </w:pPr>
            <w:r w:rsidRPr="00843561">
              <w:rPr>
                <w:rFonts w:cs="Arial"/>
                <w:color w:val="000000"/>
              </w:rPr>
              <w:t>31</w:t>
            </w:r>
            <w:r>
              <w:rPr>
                <w:rFonts w:cs="Arial"/>
                <w:color w:val="000000"/>
              </w:rPr>
              <w:t>.</w:t>
            </w:r>
            <w:r w:rsidRPr="00843561">
              <w:rPr>
                <w:rFonts w:cs="Arial"/>
                <w:color w:val="000000"/>
              </w:rPr>
              <w:t>702,83</w:t>
            </w:r>
          </w:p>
        </w:tc>
        <w:tc>
          <w:tcPr>
            <w:tcW w:w="1276" w:type="dxa"/>
            <w:tcBorders>
              <w:top w:val="nil"/>
              <w:bottom w:val="single" w:sz="4" w:space="0" w:color="auto"/>
            </w:tcBorders>
            <w:vAlign w:val="bottom"/>
          </w:tcPr>
          <w:p w14:paraId="0C959280" w14:textId="1127ABB0" w:rsidR="002A30E5" w:rsidRPr="00843561" w:rsidRDefault="002A30E5" w:rsidP="002A30E5">
            <w:pPr>
              <w:spacing w:before="0" w:after="0"/>
              <w:ind w:left="113"/>
              <w:jc w:val="right"/>
              <w:rPr>
                <w:rFonts w:cs="Arial"/>
                <w:color w:val="000000"/>
              </w:rPr>
            </w:pPr>
            <w:r>
              <w:rPr>
                <w:rFonts w:cs="Arial"/>
                <w:color w:val="000000"/>
              </w:rPr>
              <w:t>35.111,86</w:t>
            </w:r>
          </w:p>
        </w:tc>
        <w:tc>
          <w:tcPr>
            <w:tcW w:w="1417" w:type="dxa"/>
            <w:tcBorders>
              <w:top w:val="nil"/>
              <w:bottom w:val="single" w:sz="4" w:space="0" w:color="auto"/>
            </w:tcBorders>
            <w:vAlign w:val="bottom"/>
          </w:tcPr>
          <w:p w14:paraId="6B9BF3FF" w14:textId="0B6FB98F" w:rsidR="002A30E5" w:rsidRPr="004A6580" w:rsidRDefault="002A30E5" w:rsidP="002A30E5">
            <w:pPr>
              <w:spacing w:before="0" w:after="0"/>
              <w:ind w:left="113"/>
              <w:jc w:val="right"/>
              <w:rPr>
                <w:rFonts w:cs="Arial"/>
                <w:color w:val="000000"/>
              </w:rPr>
            </w:pPr>
            <w:r w:rsidRPr="00843561">
              <w:rPr>
                <w:rFonts w:cs="Arial"/>
                <w:color w:val="000000"/>
              </w:rPr>
              <w:t>36</w:t>
            </w:r>
            <w:r>
              <w:rPr>
                <w:rFonts w:cs="Arial"/>
                <w:color w:val="000000"/>
              </w:rPr>
              <w:t>.</w:t>
            </w:r>
            <w:r w:rsidRPr="00843561">
              <w:rPr>
                <w:rFonts w:cs="Arial"/>
                <w:color w:val="000000"/>
              </w:rPr>
              <w:t>331,32</w:t>
            </w:r>
          </w:p>
        </w:tc>
        <w:tc>
          <w:tcPr>
            <w:tcW w:w="1276" w:type="dxa"/>
            <w:tcBorders>
              <w:top w:val="nil"/>
              <w:bottom w:val="single" w:sz="4" w:space="0" w:color="auto"/>
            </w:tcBorders>
            <w:vAlign w:val="bottom"/>
          </w:tcPr>
          <w:p w14:paraId="3C664F82" w14:textId="6ADBA832" w:rsidR="002A30E5" w:rsidRPr="00843561" w:rsidRDefault="002A30E5" w:rsidP="002A30E5">
            <w:pPr>
              <w:spacing w:before="0" w:after="0"/>
              <w:ind w:left="113"/>
              <w:jc w:val="right"/>
              <w:rPr>
                <w:rFonts w:cs="Arial"/>
                <w:color w:val="000000"/>
              </w:rPr>
            </w:pPr>
            <w:r>
              <w:rPr>
                <w:rFonts w:cs="Arial"/>
                <w:color w:val="000000"/>
              </w:rPr>
              <w:t>39.927,27</w:t>
            </w:r>
          </w:p>
        </w:tc>
        <w:tc>
          <w:tcPr>
            <w:tcW w:w="1276" w:type="dxa"/>
            <w:tcBorders>
              <w:top w:val="nil"/>
              <w:bottom w:val="single" w:sz="4" w:space="0" w:color="auto"/>
            </w:tcBorders>
            <w:vAlign w:val="bottom"/>
          </w:tcPr>
          <w:p w14:paraId="343269C6" w14:textId="45E66C69" w:rsidR="002A30E5" w:rsidRPr="00843561" w:rsidRDefault="002A30E5" w:rsidP="002A30E5">
            <w:pPr>
              <w:spacing w:before="0" w:after="0"/>
              <w:ind w:left="113"/>
              <w:jc w:val="right"/>
              <w:rPr>
                <w:rFonts w:cs="Arial"/>
                <w:color w:val="000000"/>
              </w:rPr>
            </w:pPr>
            <w:r>
              <w:rPr>
                <w:rFonts w:cs="Arial"/>
                <w:color w:val="000000"/>
              </w:rPr>
              <w:t>43.523,21</w:t>
            </w:r>
          </w:p>
        </w:tc>
        <w:tc>
          <w:tcPr>
            <w:tcW w:w="1276" w:type="dxa"/>
            <w:tcBorders>
              <w:top w:val="nil"/>
              <w:bottom w:val="single" w:sz="4" w:space="0" w:color="auto"/>
            </w:tcBorders>
            <w:vAlign w:val="bottom"/>
          </w:tcPr>
          <w:p w14:paraId="6D6AB8A6" w14:textId="428D4EC4" w:rsidR="002A30E5" w:rsidRDefault="002A30E5" w:rsidP="002A30E5">
            <w:pPr>
              <w:spacing w:before="0" w:after="0"/>
              <w:ind w:left="113"/>
              <w:jc w:val="right"/>
              <w:rPr>
                <w:rFonts w:cs="Arial"/>
                <w:color w:val="000000"/>
              </w:rPr>
            </w:pPr>
            <w:r>
              <w:rPr>
                <w:rFonts w:cs="Arial"/>
                <w:color w:val="000000"/>
              </w:rPr>
              <w:t>47.119,16</w:t>
            </w:r>
          </w:p>
        </w:tc>
      </w:tr>
      <w:tr w:rsidR="002A30E5" w:rsidRPr="00843561" w14:paraId="6A437E52" w14:textId="710CF087" w:rsidTr="002A30E5">
        <w:trPr>
          <w:trHeight w:val="315"/>
          <w:jc w:val="center"/>
        </w:trPr>
        <w:tc>
          <w:tcPr>
            <w:tcW w:w="1163" w:type="dxa"/>
            <w:tcBorders>
              <w:top w:val="single" w:sz="8" w:space="0" w:color="auto"/>
            </w:tcBorders>
            <w:shd w:val="clear" w:color="auto" w:fill="C0C0C0"/>
            <w:noWrap/>
            <w:vAlign w:val="bottom"/>
          </w:tcPr>
          <w:p w14:paraId="01E9C6C6" w14:textId="77777777" w:rsidR="002A30E5" w:rsidRPr="00037A46" w:rsidRDefault="002A30E5" w:rsidP="002A30E5">
            <w:pPr>
              <w:spacing w:before="0" w:after="0"/>
              <w:ind w:hanging="764"/>
              <w:jc w:val="right"/>
              <w:rPr>
                <w:b/>
                <w:bCs/>
                <w:lang w:val="en-US"/>
              </w:rPr>
            </w:pPr>
            <w:r w:rsidRPr="00037A46">
              <w:rPr>
                <w:b/>
                <w:bCs/>
                <w:lang w:val="en-US"/>
              </w:rPr>
              <w:t>0</w:t>
            </w:r>
          </w:p>
        </w:tc>
        <w:tc>
          <w:tcPr>
            <w:tcW w:w="1143" w:type="dxa"/>
            <w:tcBorders>
              <w:top w:val="single" w:sz="4" w:space="0" w:color="auto"/>
            </w:tcBorders>
            <w:vAlign w:val="bottom"/>
          </w:tcPr>
          <w:p w14:paraId="4D9CE23D" w14:textId="0D464F9D" w:rsidR="002A30E5" w:rsidRPr="00843561" w:rsidRDefault="002A30E5" w:rsidP="002A30E5">
            <w:pPr>
              <w:spacing w:before="0" w:after="0"/>
              <w:ind w:left="113"/>
              <w:jc w:val="right"/>
              <w:rPr>
                <w:rFonts w:cs="Arial"/>
                <w:color w:val="000000"/>
              </w:rPr>
            </w:pPr>
            <w:r w:rsidRPr="004A6580">
              <w:rPr>
                <w:rFonts w:cs="Arial"/>
                <w:color w:val="000000"/>
              </w:rPr>
              <w:t>16.757,63</w:t>
            </w:r>
          </w:p>
        </w:tc>
        <w:tc>
          <w:tcPr>
            <w:tcW w:w="1228" w:type="dxa"/>
            <w:tcBorders>
              <w:top w:val="single" w:sz="4" w:space="0" w:color="auto"/>
            </w:tcBorders>
            <w:vAlign w:val="bottom"/>
          </w:tcPr>
          <w:p w14:paraId="61393C51" w14:textId="5D6903C3" w:rsidR="002A30E5" w:rsidRPr="00843561" w:rsidRDefault="002A30E5" w:rsidP="002A30E5">
            <w:pPr>
              <w:spacing w:before="0" w:after="0"/>
              <w:ind w:left="113"/>
              <w:jc w:val="right"/>
              <w:rPr>
                <w:rFonts w:cs="Arial"/>
                <w:color w:val="000000"/>
              </w:rPr>
            </w:pPr>
            <w:r w:rsidRPr="004A6580">
              <w:rPr>
                <w:rFonts w:cs="Arial"/>
                <w:color w:val="000000"/>
              </w:rPr>
              <w:t>17.322,96</w:t>
            </w:r>
          </w:p>
        </w:tc>
        <w:tc>
          <w:tcPr>
            <w:tcW w:w="1276" w:type="dxa"/>
            <w:tcBorders>
              <w:top w:val="single" w:sz="4" w:space="0" w:color="auto"/>
              <w:left w:val="single" w:sz="4" w:space="0" w:color="auto"/>
              <w:bottom w:val="nil"/>
              <w:right w:val="single" w:sz="4" w:space="0" w:color="auto"/>
            </w:tcBorders>
            <w:vAlign w:val="bottom"/>
          </w:tcPr>
          <w:p w14:paraId="6B112E0B" w14:textId="6FB38DCD" w:rsidR="002A30E5" w:rsidRPr="004A6580" w:rsidRDefault="002A30E5" w:rsidP="002A30E5">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322,96</w:t>
            </w:r>
          </w:p>
        </w:tc>
        <w:tc>
          <w:tcPr>
            <w:tcW w:w="1276" w:type="dxa"/>
            <w:tcBorders>
              <w:top w:val="single" w:sz="4" w:space="0" w:color="auto"/>
              <w:left w:val="single" w:sz="4" w:space="0" w:color="auto"/>
              <w:bottom w:val="nil"/>
              <w:right w:val="single" w:sz="4" w:space="0" w:color="auto"/>
            </w:tcBorders>
            <w:vAlign w:val="bottom"/>
          </w:tcPr>
          <w:p w14:paraId="0D2057B5" w14:textId="77777777" w:rsidR="002A30E5" w:rsidRPr="004A6580" w:rsidRDefault="002A30E5" w:rsidP="002A30E5">
            <w:pPr>
              <w:spacing w:before="0" w:after="0"/>
              <w:ind w:left="113"/>
              <w:jc w:val="right"/>
              <w:rPr>
                <w:rFonts w:cs="Arial"/>
                <w:color w:val="000000"/>
              </w:rPr>
            </w:pPr>
            <w:r w:rsidRPr="00843561">
              <w:rPr>
                <w:rFonts w:cs="Arial"/>
                <w:color w:val="000000"/>
              </w:rPr>
              <w:t>18</w:t>
            </w:r>
            <w:r>
              <w:rPr>
                <w:rFonts w:cs="Arial"/>
                <w:color w:val="000000"/>
              </w:rPr>
              <w:t>.</w:t>
            </w:r>
            <w:r w:rsidRPr="00843561">
              <w:rPr>
                <w:rFonts w:cs="Arial"/>
                <w:color w:val="000000"/>
              </w:rPr>
              <w:t>736,23</w:t>
            </w:r>
          </w:p>
        </w:tc>
        <w:tc>
          <w:tcPr>
            <w:tcW w:w="1417" w:type="dxa"/>
            <w:tcBorders>
              <w:top w:val="single" w:sz="4" w:space="0" w:color="auto"/>
              <w:left w:val="single" w:sz="4" w:space="0" w:color="auto"/>
              <w:bottom w:val="nil"/>
              <w:right w:val="single" w:sz="4" w:space="0" w:color="auto"/>
            </w:tcBorders>
            <w:vAlign w:val="bottom"/>
          </w:tcPr>
          <w:p w14:paraId="2CD16A09" w14:textId="77777777" w:rsidR="002A30E5" w:rsidRPr="004A6580" w:rsidRDefault="002A30E5" w:rsidP="002A30E5">
            <w:pPr>
              <w:spacing w:before="0" w:after="0"/>
              <w:ind w:left="113"/>
              <w:jc w:val="right"/>
              <w:rPr>
                <w:rFonts w:cs="Arial"/>
                <w:color w:val="000000"/>
              </w:rPr>
            </w:pPr>
            <w:r w:rsidRPr="00843561">
              <w:rPr>
                <w:rFonts w:cs="Arial"/>
                <w:color w:val="000000"/>
              </w:rPr>
              <w:t>20</w:t>
            </w:r>
            <w:r>
              <w:rPr>
                <w:rFonts w:cs="Arial"/>
                <w:color w:val="000000"/>
              </w:rPr>
              <w:t>.</w:t>
            </w:r>
            <w:r w:rsidRPr="00843561">
              <w:rPr>
                <w:rFonts w:cs="Arial"/>
                <w:color w:val="000000"/>
              </w:rPr>
              <w:t>068,75</w:t>
            </w:r>
          </w:p>
        </w:tc>
        <w:tc>
          <w:tcPr>
            <w:tcW w:w="1276" w:type="dxa"/>
            <w:tcBorders>
              <w:top w:val="single" w:sz="4" w:space="0" w:color="auto"/>
              <w:bottom w:val="nil"/>
            </w:tcBorders>
            <w:vAlign w:val="bottom"/>
          </w:tcPr>
          <w:p w14:paraId="6F2CD30E" w14:textId="7C9EF8DE" w:rsidR="002A30E5" w:rsidRPr="00843561" w:rsidRDefault="002A30E5" w:rsidP="002A30E5">
            <w:pPr>
              <w:spacing w:before="0" w:after="0"/>
              <w:ind w:left="113"/>
              <w:jc w:val="right"/>
              <w:rPr>
                <w:rFonts w:cs="Arial"/>
                <w:color w:val="000000"/>
              </w:rPr>
            </w:pPr>
            <w:r w:rsidRPr="004A6580">
              <w:rPr>
                <w:rFonts w:cs="Arial"/>
                <w:color w:val="000000"/>
              </w:rPr>
              <w:t>21</w:t>
            </w:r>
            <w:r>
              <w:rPr>
                <w:rFonts w:cs="Arial"/>
                <w:color w:val="000000"/>
              </w:rPr>
              <w:t>.</w:t>
            </w:r>
            <w:r w:rsidRPr="004A6580">
              <w:rPr>
                <w:rFonts w:cs="Arial"/>
                <w:color w:val="000000"/>
              </w:rPr>
              <w:t>885,84</w:t>
            </w:r>
          </w:p>
        </w:tc>
        <w:tc>
          <w:tcPr>
            <w:tcW w:w="1417" w:type="dxa"/>
            <w:tcBorders>
              <w:top w:val="single" w:sz="4" w:space="0" w:color="auto"/>
              <w:left w:val="single" w:sz="4" w:space="0" w:color="auto"/>
              <w:bottom w:val="nil"/>
              <w:right w:val="single" w:sz="4" w:space="0" w:color="auto"/>
            </w:tcBorders>
            <w:vAlign w:val="bottom"/>
          </w:tcPr>
          <w:p w14:paraId="78DDA658" w14:textId="03F5CDF0" w:rsidR="002A30E5" w:rsidRPr="004A6580" w:rsidRDefault="002A30E5" w:rsidP="002A30E5">
            <w:pPr>
              <w:spacing w:before="0" w:after="0"/>
              <w:ind w:left="113"/>
              <w:jc w:val="right"/>
              <w:rPr>
                <w:rFonts w:cs="Arial"/>
                <w:color w:val="000000"/>
              </w:rPr>
            </w:pPr>
            <w:r w:rsidRPr="00843561">
              <w:rPr>
                <w:rFonts w:cs="Arial"/>
                <w:color w:val="000000"/>
              </w:rPr>
              <w:t>23</w:t>
            </w:r>
            <w:r>
              <w:rPr>
                <w:rFonts w:cs="Arial"/>
                <w:color w:val="000000"/>
              </w:rPr>
              <w:t>.</w:t>
            </w:r>
            <w:r w:rsidRPr="00843561">
              <w:rPr>
                <w:rFonts w:cs="Arial"/>
                <w:color w:val="000000"/>
              </w:rPr>
              <w:t>662,6</w:t>
            </w:r>
          </w:p>
        </w:tc>
        <w:tc>
          <w:tcPr>
            <w:tcW w:w="1276" w:type="dxa"/>
            <w:tcBorders>
              <w:top w:val="single" w:sz="4" w:space="0" w:color="auto"/>
              <w:bottom w:val="nil"/>
            </w:tcBorders>
            <w:vAlign w:val="bottom"/>
          </w:tcPr>
          <w:p w14:paraId="295AF71B" w14:textId="68CFE501" w:rsidR="002A30E5" w:rsidRPr="00843561" w:rsidRDefault="002A30E5" w:rsidP="002A30E5">
            <w:pPr>
              <w:spacing w:before="0" w:after="0"/>
              <w:ind w:left="113"/>
              <w:jc w:val="right"/>
              <w:rPr>
                <w:rFonts w:cs="Arial"/>
                <w:color w:val="000000"/>
              </w:rPr>
            </w:pPr>
            <w:r w:rsidRPr="004A6580">
              <w:rPr>
                <w:rFonts w:cs="Arial"/>
                <w:color w:val="000000"/>
              </w:rPr>
              <w:t>26</w:t>
            </w:r>
            <w:r>
              <w:rPr>
                <w:rFonts w:cs="Arial"/>
                <w:color w:val="000000"/>
              </w:rPr>
              <w:t>.</w:t>
            </w:r>
            <w:r w:rsidRPr="004A6580">
              <w:rPr>
                <w:rFonts w:cs="Arial"/>
                <w:color w:val="000000"/>
              </w:rPr>
              <w:t>004,62</w:t>
            </w:r>
          </w:p>
        </w:tc>
        <w:tc>
          <w:tcPr>
            <w:tcW w:w="1276" w:type="dxa"/>
            <w:tcBorders>
              <w:top w:val="single" w:sz="4" w:space="0" w:color="auto"/>
              <w:bottom w:val="nil"/>
            </w:tcBorders>
            <w:vAlign w:val="bottom"/>
          </w:tcPr>
          <w:p w14:paraId="50C23847" w14:textId="0A914224" w:rsidR="002A30E5" w:rsidRPr="00843561" w:rsidRDefault="002A30E5" w:rsidP="002A30E5">
            <w:pPr>
              <w:spacing w:before="0" w:after="0"/>
              <w:ind w:left="113"/>
              <w:jc w:val="right"/>
              <w:rPr>
                <w:rFonts w:cs="Arial"/>
                <w:color w:val="000000"/>
              </w:rPr>
            </w:pPr>
            <w:r w:rsidRPr="004A6580">
              <w:rPr>
                <w:rFonts w:cs="Arial"/>
                <w:color w:val="000000"/>
              </w:rPr>
              <w:t>28</w:t>
            </w:r>
            <w:r>
              <w:rPr>
                <w:rFonts w:cs="Arial"/>
                <w:color w:val="000000"/>
              </w:rPr>
              <w:t>.</w:t>
            </w:r>
            <w:r w:rsidRPr="004A6580">
              <w:rPr>
                <w:rFonts w:cs="Arial"/>
                <w:color w:val="000000"/>
              </w:rPr>
              <w:t>346,64</w:t>
            </w:r>
          </w:p>
        </w:tc>
        <w:tc>
          <w:tcPr>
            <w:tcW w:w="1276" w:type="dxa"/>
            <w:tcBorders>
              <w:top w:val="single" w:sz="4" w:space="0" w:color="auto"/>
            </w:tcBorders>
            <w:vAlign w:val="bottom"/>
          </w:tcPr>
          <w:p w14:paraId="0F8BFE95" w14:textId="580D2B42" w:rsidR="002A30E5" w:rsidRPr="004A6580" w:rsidRDefault="002A30E5" w:rsidP="002A30E5">
            <w:pPr>
              <w:spacing w:before="0" w:after="0"/>
              <w:ind w:left="113"/>
              <w:jc w:val="right"/>
              <w:rPr>
                <w:rFonts w:cs="Arial"/>
                <w:color w:val="000000"/>
              </w:rPr>
            </w:pPr>
            <w:r w:rsidRPr="002A30E5">
              <w:rPr>
                <w:rFonts w:cs="Arial"/>
                <w:color w:val="000000"/>
              </w:rPr>
              <w:t>30.688,73</w:t>
            </w:r>
          </w:p>
        </w:tc>
      </w:tr>
      <w:tr w:rsidR="002A30E5" w:rsidRPr="00843561" w14:paraId="7EBE315C" w14:textId="447C6E9F" w:rsidTr="002A30E5">
        <w:trPr>
          <w:trHeight w:val="300"/>
          <w:jc w:val="center"/>
        </w:trPr>
        <w:tc>
          <w:tcPr>
            <w:tcW w:w="1163" w:type="dxa"/>
            <w:shd w:val="clear" w:color="auto" w:fill="C0C0C0"/>
            <w:noWrap/>
            <w:vAlign w:val="bottom"/>
          </w:tcPr>
          <w:p w14:paraId="3A51EF79" w14:textId="77777777" w:rsidR="002A30E5" w:rsidRPr="00037A46" w:rsidRDefault="002A30E5" w:rsidP="002A30E5">
            <w:pPr>
              <w:spacing w:before="0" w:after="0"/>
              <w:ind w:hanging="764"/>
              <w:jc w:val="right"/>
              <w:rPr>
                <w:b/>
                <w:bCs/>
                <w:lang w:val="en-US"/>
              </w:rPr>
            </w:pPr>
            <w:r w:rsidRPr="00037A46">
              <w:rPr>
                <w:b/>
                <w:bCs/>
                <w:lang w:val="en-US"/>
              </w:rPr>
              <w:t>1</w:t>
            </w:r>
          </w:p>
        </w:tc>
        <w:tc>
          <w:tcPr>
            <w:tcW w:w="1143" w:type="dxa"/>
            <w:vAlign w:val="bottom"/>
          </w:tcPr>
          <w:p w14:paraId="196ECB06" w14:textId="2D3E0852" w:rsidR="002A30E5" w:rsidRPr="00843561" w:rsidRDefault="002A30E5" w:rsidP="002A30E5">
            <w:pPr>
              <w:spacing w:before="0" w:after="0"/>
              <w:ind w:left="113"/>
              <w:jc w:val="right"/>
              <w:rPr>
                <w:rFonts w:cs="Arial"/>
                <w:color w:val="000000"/>
              </w:rPr>
            </w:pPr>
            <w:r w:rsidRPr="004A6580">
              <w:rPr>
                <w:rFonts w:cs="Arial"/>
                <w:color w:val="000000"/>
              </w:rPr>
              <w:t>17.176,6</w:t>
            </w:r>
          </w:p>
        </w:tc>
        <w:tc>
          <w:tcPr>
            <w:tcW w:w="1228" w:type="dxa"/>
            <w:vAlign w:val="bottom"/>
          </w:tcPr>
          <w:p w14:paraId="06172ECF" w14:textId="3D3A9909" w:rsidR="002A30E5" w:rsidRPr="00843561" w:rsidRDefault="002A30E5" w:rsidP="002A30E5">
            <w:pPr>
              <w:spacing w:before="0" w:after="0"/>
              <w:ind w:left="113"/>
              <w:jc w:val="right"/>
              <w:rPr>
                <w:rFonts w:cs="Arial"/>
                <w:color w:val="000000"/>
              </w:rPr>
            </w:pPr>
            <w:r w:rsidRPr="004A6580">
              <w:rPr>
                <w:rFonts w:cs="Arial"/>
                <w:color w:val="000000"/>
              </w:rPr>
              <w:t>17.842,62</w:t>
            </w:r>
          </w:p>
        </w:tc>
        <w:tc>
          <w:tcPr>
            <w:tcW w:w="1276" w:type="dxa"/>
            <w:tcBorders>
              <w:top w:val="nil"/>
              <w:left w:val="single" w:sz="4" w:space="0" w:color="auto"/>
              <w:bottom w:val="nil"/>
              <w:right w:val="single" w:sz="4" w:space="0" w:color="auto"/>
            </w:tcBorders>
            <w:vAlign w:val="bottom"/>
          </w:tcPr>
          <w:p w14:paraId="4E8D0D86" w14:textId="3D3105A5" w:rsidR="002A30E5" w:rsidRPr="004A6580" w:rsidRDefault="002A30E5" w:rsidP="002A30E5">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911,95</w:t>
            </w:r>
          </w:p>
        </w:tc>
        <w:tc>
          <w:tcPr>
            <w:tcW w:w="1276" w:type="dxa"/>
            <w:tcBorders>
              <w:top w:val="nil"/>
              <w:left w:val="single" w:sz="4" w:space="0" w:color="auto"/>
              <w:bottom w:val="nil"/>
              <w:right w:val="single" w:sz="4" w:space="0" w:color="auto"/>
            </w:tcBorders>
            <w:vAlign w:val="bottom"/>
          </w:tcPr>
          <w:p w14:paraId="144CBC47" w14:textId="77777777" w:rsidR="002A30E5" w:rsidRPr="004A6580" w:rsidRDefault="002A30E5" w:rsidP="002A30E5">
            <w:pPr>
              <w:spacing w:before="0" w:after="0"/>
              <w:ind w:left="113"/>
              <w:jc w:val="right"/>
              <w:rPr>
                <w:rFonts w:cs="Arial"/>
                <w:color w:val="000000"/>
              </w:rPr>
            </w:pPr>
            <w:r w:rsidRPr="00843561">
              <w:rPr>
                <w:rFonts w:cs="Arial"/>
                <w:color w:val="000000"/>
              </w:rPr>
              <w:t>19</w:t>
            </w:r>
            <w:r>
              <w:rPr>
                <w:rFonts w:cs="Arial"/>
                <w:color w:val="000000"/>
              </w:rPr>
              <w:t>.</w:t>
            </w:r>
            <w:r w:rsidRPr="00843561">
              <w:rPr>
                <w:rFonts w:cs="Arial"/>
                <w:color w:val="000000"/>
              </w:rPr>
              <w:t>410,77</w:t>
            </w:r>
          </w:p>
        </w:tc>
        <w:tc>
          <w:tcPr>
            <w:tcW w:w="1417" w:type="dxa"/>
            <w:tcBorders>
              <w:top w:val="nil"/>
              <w:left w:val="single" w:sz="4" w:space="0" w:color="auto"/>
              <w:bottom w:val="nil"/>
              <w:right w:val="single" w:sz="4" w:space="0" w:color="auto"/>
            </w:tcBorders>
            <w:vAlign w:val="bottom"/>
          </w:tcPr>
          <w:p w14:paraId="5EDFA72A" w14:textId="77777777" w:rsidR="002A30E5" w:rsidRPr="004A6580" w:rsidRDefault="002A30E5" w:rsidP="002A30E5">
            <w:pPr>
              <w:spacing w:before="0" w:after="0"/>
              <w:ind w:left="113"/>
              <w:jc w:val="right"/>
              <w:rPr>
                <w:rFonts w:cs="Arial"/>
                <w:color w:val="000000"/>
              </w:rPr>
            </w:pPr>
            <w:r w:rsidRPr="00843561">
              <w:rPr>
                <w:rFonts w:cs="Arial"/>
                <w:color w:val="000000"/>
              </w:rPr>
              <w:t>20</w:t>
            </w:r>
            <w:r>
              <w:rPr>
                <w:rFonts w:cs="Arial"/>
                <w:color w:val="000000"/>
              </w:rPr>
              <w:t>.</w:t>
            </w:r>
            <w:r w:rsidRPr="00843561">
              <w:rPr>
                <w:rFonts w:cs="Arial"/>
                <w:color w:val="000000"/>
              </w:rPr>
              <w:t>791,26</w:t>
            </w:r>
          </w:p>
        </w:tc>
        <w:tc>
          <w:tcPr>
            <w:tcW w:w="1276" w:type="dxa"/>
            <w:tcBorders>
              <w:top w:val="nil"/>
              <w:bottom w:val="nil"/>
            </w:tcBorders>
            <w:vAlign w:val="bottom"/>
          </w:tcPr>
          <w:p w14:paraId="7C59A797" w14:textId="79BE532F" w:rsidR="002A30E5" w:rsidRPr="00843561" w:rsidRDefault="002A30E5" w:rsidP="002A30E5">
            <w:pPr>
              <w:spacing w:before="0" w:after="0"/>
              <w:ind w:left="113"/>
              <w:jc w:val="right"/>
              <w:rPr>
                <w:rFonts w:cs="Arial"/>
                <w:color w:val="000000"/>
              </w:rPr>
            </w:pPr>
            <w:r w:rsidRPr="004A6580">
              <w:rPr>
                <w:rFonts w:cs="Arial"/>
                <w:color w:val="000000"/>
              </w:rPr>
              <w:t>22</w:t>
            </w:r>
            <w:r>
              <w:rPr>
                <w:rFonts w:cs="Arial"/>
                <w:color w:val="000000"/>
              </w:rPr>
              <w:t>.</w:t>
            </w:r>
            <w:r w:rsidRPr="004A6580">
              <w:rPr>
                <w:rFonts w:cs="Arial"/>
                <w:color w:val="000000"/>
              </w:rPr>
              <w:t>695,66</w:t>
            </w:r>
          </w:p>
        </w:tc>
        <w:tc>
          <w:tcPr>
            <w:tcW w:w="1417" w:type="dxa"/>
            <w:tcBorders>
              <w:top w:val="nil"/>
              <w:left w:val="single" w:sz="4" w:space="0" w:color="auto"/>
              <w:bottom w:val="nil"/>
              <w:right w:val="single" w:sz="4" w:space="0" w:color="auto"/>
            </w:tcBorders>
            <w:vAlign w:val="bottom"/>
          </w:tcPr>
          <w:p w14:paraId="451CD903" w14:textId="3D781625" w:rsidR="002A30E5" w:rsidRPr="004A6580" w:rsidRDefault="002A30E5" w:rsidP="002A30E5">
            <w:pPr>
              <w:spacing w:before="0" w:after="0"/>
              <w:ind w:left="113"/>
              <w:jc w:val="right"/>
              <w:rPr>
                <w:rFonts w:cs="Arial"/>
                <w:color w:val="000000"/>
              </w:rPr>
            </w:pPr>
            <w:r w:rsidRPr="00843561">
              <w:rPr>
                <w:rFonts w:cs="Arial"/>
                <w:color w:val="000000"/>
              </w:rPr>
              <w:t>24</w:t>
            </w:r>
            <w:r>
              <w:rPr>
                <w:rFonts w:cs="Arial"/>
                <w:color w:val="000000"/>
              </w:rPr>
              <w:t>.</w:t>
            </w:r>
            <w:r w:rsidRPr="00843561">
              <w:rPr>
                <w:rFonts w:cs="Arial"/>
                <w:color w:val="000000"/>
              </w:rPr>
              <w:t>490,8</w:t>
            </w:r>
          </w:p>
        </w:tc>
        <w:tc>
          <w:tcPr>
            <w:tcW w:w="1276" w:type="dxa"/>
            <w:tcBorders>
              <w:top w:val="nil"/>
              <w:bottom w:val="nil"/>
            </w:tcBorders>
            <w:vAlign w:val="bottom"/>
          </w:tcPr>
          <w:p w14:paraId="5A92630C" w14:textId="754EBDAF" w:rsidR="002A30E5" w:rsidRPr="00843561" w:rsidRDefault="002A30E5" w:rsidP="002A30E5">
            <w:pPr>
              <w:spacing w:before="0" w:after="0"/>
              <w:ind w:left="113"/>
              <w:jc w:val="right"/>
              <w:rPr>
                <w:rFonts w:cs="Arial"/>
                <w:color w:val="000000"/>
              </w:rPr>
            </w:pPr>
            <w:r w:rsidRPr="004A6580">
              <w:rPr>
                <w:rFonts w:cs="Arial"/>
                <w:color w:val="000000"/>
              </w:rPr>
              <w:t>26</w:t>
            </w:r>
            <w:r>
              <w:rPr>
                <w:rFonts w:cs="Arial"/>
                <w:color w:val="000000"/>
              </w:rPr>
              <w:t>.</w:t>
            </w:r>
            <w:r w:rsidRPr="004A6580">
              <w:rPr>
                <w:rFonts w:cs="Arial"/>
                <w:color w:val="000000"/>
              </w:rPr>
              <w:t>914,79</w:t>
            </w:r>
          </w:p>
        </w:tc>
        <w:tc>
          <w:tcPr>
            <w:tcW w:w="1276" w:type="dxa"/>
            <w:tcBorders>
              <w:top w:val="nil"/>
              <w:bottom w:val="nil"/>
            </w:tcBorders>
            <w:vAlign w:val="bottom"/>
          </w:tcPr>
          <w:p w14:paraId="01BE48CA" w14:textId="01A30C57" w:rsidR="002A30E5" w:rsidRPr="00843561" w:rsidRDefault="002A30E5" w:rsidP="002A30E5">
            <w:pPr>
              <w:spacing w:before="0" w:after="0"/>
              <w:ind w:left="113"/>
              <w:jc w:val="right"/>
              <w:rPr>
                <w:rFonts w:cs="Arial"/>
                <w:color w:val="000000"/>
              </w:rPr>
            </w:pPr>
            <w:r w:rsidRPr="004A6580">
              <w:rPr>
                <w:rFonts w:cs="Arial"/>
                <w:color w:val="000000"/>
              </w:rPr>
              <w:t>29</w:t>
            </w:r>
            <w:r>
              <w:rPr>
                <w:rFonts w:cs="Arial"/>
                <w:color w:val="000000"/>
              </w:rPr>
              <w:t>.</w:t>
            </w:r>
            <w:r w:rsidRPr="004A6580">
              <w:rPr>
                <w:rFonts w:cs="Arial"/>
                <w:color w:val="000000"/>
              </w:rPr>
              <w:t>338,84</w:t>
            </w:r>
          </w:p>
        </w:tc>
        <w:tc>
          <w:tcPr>
            <w:tcW w:w="1276" w:type="dxa"/>
            <w:vAlign w:val="bottom"/>
          </w:tcPr>
          <w:p w14:paraId="3DDEC7E2" w14:textId="0C4178C4" w:rsidR="002A30E5" w:rsidRPr="004A6580" w:rsidRDefault="002A30E5" w:rsidP="002A30E5">
            <w:pPr>
              <w:spacing w:before="0" w:after="0"/>
              <w:ind w:left="113"/>
              <w:jc w:val="right"/>
              <w:rPr>
                <w:rFonts w:cs="Arial"/>
                <w:color w:val="000000"/>
              </w:rPr>
            </w:pPr>
            <w:r w:rsidRPr="002A30E5">
              <w:rPr>
                <w:rFonts w:cs="Arial"/>
                <w:color w:val="000000"/>
              </w:rPr>
              <w:t>31.762,77</w:t>
            </w:r>
          </w:p>
        </w:tc>
      </w:tr>
      <w:tr w:rsidR="002A30E5" w:rsidRPr="00843561" w14:paraId="75DFE562" w14:textId="1C60CFE4" w:rsidTr="002A30E5">
        <w:trPr>
          <w:trHeight w:val="300"/>
          <w:jc w:val="center"/>
        </w:trPr>
        <w:tc>
          <w:tcPr>
            <w:tcW w:w="1163" w:type="dxa"/>
            <w:shd w:val="clear" w:color="auto" w:fill="C0C0C0"/>
            <w:noWrap/>
            <w:vAlign w:val="bottom"/>
          </w:tcPr>
          <w:p w14:paraId="61789E7D" w14:textId="77777777" w:rsidR="002A30E5" w:rsidRPr="00037A46" w:rsidRDefault="002A30E5" w:rsidP="002A30E5">
            <w:pPr>
              <w:spacing w:before="0" w:after="0"/>
              <w:ind w:hanging="764"/>
              <w:jc w:val="right"/>
              <w:rPr>
                <w:b/>
                <w:bCs/>
                <w:lang w:val="en-US"/>
              </w:rPr>
            </w:pPr>
            <w:r w:rsidRPr="00037A46">
              <w:rPr>
                <w:b/>
                <w:bCs/>
                <w:lang w:val="en-US"/>
              </w:rPr>
              <w:t>2</w:t>
            </w:r>
          </w:p>
        </w:tc>
        <w:tc>
          <w:tcPr>
            <w:tcW w:w="1143" w:type="dxa"/>
            <w:vAlign w:val="bottom"/>
          </w:tcPr>
          <w:p w14:paraId="2FB3F3A8" w14:textId="1FFC766E" w:rsidR="002A30E5" w:rsidRPr="00843561" w:rsidRDefault="002A30E5" w:rsidP="002A30E5">
            <w:pPr>
              <w:spacing w:before="0" w:after="0"/>
              <w:ind w:left="113"/>
              <w:jc w:val="right"/>
              <w:rPr>
                <w:rFonts w:cs="Arial"/>
                <w:color w:val="000000"/>
              </w:rPr>
            </w:pPr>
            <w:r w:rsidRPr="004A6580">
              <w:rPr>
                <w:rFonts w:cs="Arial"/>
                <w:color w:val="000000"/>
              </w:rPr>
              <w:t>17.573,8</w:t>
            </w:r>
          </w:p>
        </w:tc>
        <w:tc>
          <w:tcPr>
            <w:tcW w:w="1228" w:type="dxa"/>
            <w:vAlign w:val="bottom"/>
          </w:tcPr>
          <w:p w14:paraId="2C14D075" w14:textId="0C0DCD35" w:rsidR="002A30E5" w:rsidRPr="00843561" w:rsidRDefault="002A30E5" w:rsidP="002A30E5">
            <w:pPr>
              <w:spacing w:before="0" w:after="0"/>
              <w:ind w:left="113"/>
              <w:jc w:val="right"/>
              <w:rPr>
                <w:rFonts w:cs="Arial"/>
                <w:color w:val="000000"/>
              </w:rPr>
            </w:pPr>
            <w:r w:rsidRPr="004A6580">
              <w:rPr>
                <w:rFonts w:cs="Arial"/>
                <w:color w:val="000000"/>
              </w:rPr>
              <w:t>18.337,81</w:t>
            </w:r>
          </w:p>
        </w:tc>
        <w:tc>
          <w:tcPr>
            <w:tcW w:w="1276" w:type="dxa"/>
            <w:tcBorders>
              <w:top w:val="nil"/>
              <w:left w:val="single" w:sz="4" w:space="0" w:color="auto"/>
              <w:bottom w:val="nil"/>
              <w:right w:val="single" w:sz="4" w:space="0" w:color="auto"/>
            </w:tcBorders>
            <w:vAlign w:val="bottom"/>
          </w:tcPr>
          <w:p w14:paraId="28E3CDA3" w14:textId="62F6539E" w:rsidR="002A30E5" w:rsidRPr="004A6580" w:rsidRDefault="002A30E5" w:rsidP="002A30E5">
            <w:pPr>
              <w:spacing w:before="0" w:after="0"/>
              <w:ind w:left="113"/>
              <w:jc w:val="right"/>
              <w:rPr>
                <w:rFonts w:cs="Arial"/>
                <w:color w:val="000000"/>
              </w:rPr>
            </w:pPr>
            <w:r w:rsidRPr="00843561">
              <w:rPr>
                <w:rFonts w:cs="Arial"/>
                <w:color w:val="000000"/>
              </w:rPr>
              <w:t>18</w:t>
            </w:r>
            <w:r>
              <w:rPr>
                <w:rFonts w:cs="Arial"/>
                <w:color w:val="000000"/>
              </w:rPr>
              <w:t>.</w:t>
            </w:r>
            <w:r w:rsidRPr="00843561">
              <w:rPr>
                <w:rFonts w:cs="Arial"/>
                <w:color w:val="000000"/>
              </w:rPr>
              <w:t>475,26</w:t>
            </w:r>
          </w:p>
        </w:tc>
        <w:tc>
          <w:tcPr>
            <w:tcW w:w="1276" w:type="dxa"/>
            <w:tcBorders>
              <w:top w:val="nil"/>
              <w:left w:val="single" w:sz="4" w:space="0" w:color="auto"/>
              <w:bottom w:val="nil"/>
              <w:right w:val="single" w:sz="4" w:space="0" w:color="auto"/>
            </w:tcBorders>
            <w:vAlign w:val="bottom"/>
          </w:tcPr>
          <w:p w14:paraId="4654BDA8" w14:textId="77777777" w:rsidR="002A30E5" w:rsidRPr="004A6580" w:rsidRDefault="002A30E5" w:rsidP="002A30E5">
            <w:pPr>
              <w:spacing w:before="0" w:after="0"/>
              <w:ind w:left="113"/>
              <w:jc w:val="right"/>
              <w:rPr>
                <w:rFonts w:cs="Arial"/>
                <w:color w:val="000000"/>
              </w:rPr>
            </w:pPr>
            <w:r w:rsidRPr="00843561">
              <w:rPr>
                <w:rFonts w:cs="Arial"/>
                <w:color w:val="000000"/>
              </w:rPr>
              <w:t>20</w:t>
            </w:r>
            <w:r>
              <w:rPr>
                <w:rFonts w:cs="Arial"/>
                <w:color w:val="000000"/>
              </w:rPr>
              <w:t>.</w:t>
            </w:r>
            <w:r w:rsidRPr="00843561">
              <w:rPr>
                <w:rFonts w:cs="Arial"/>
                <w:color w:val="000000"/>
              </w:rPr>
              <w:t>057,12</w:t>
            </w:r>
          </w:p>
        </w:tc>
        <w:tc>
          <w:tcPr>
            <w:tcW w:w="1417" w:type="dxa"/>
            <w:tcBorders>
              <w:top w:val="nil"/>
              <w:left w:val="single" w:sz="4" w:space="0" w:color="auto"/>
              <w:bottom w:val="nil"/>
              <w:right w:val="single" w:sz="4" w:space="0" w:color="auto"/>
            </w:tcBorders>
            <w:vAlign w:val="bottom"/>
          </w:tcPr>
          <w:p w14:paraId="3BFCAEE6" w14:textId="77777777" w:rsidR="002A30E5" w:rsidRPr="004A6580" w:rsidRDefault="002A30E5" w:rsidP="002A30E5">
            <w:pPr>
              <w:spacing w:before="0" w:after="0"/>
              <w:ind w:left="113"/>
              <w:jc w:val="right"/>
              <w:rPr>
                <w:rFonts w:cs="Arial"/>
                <w:color w:val="000000"/>
              </w:rPr>
            </w:pPr>
            <w:r w:rsidRPr="00843561">
              <w:rPr>
                <w:rFonts w:cs="Arial"/>
                <w:color w:val="000000"/>
              </w:rPr>
              <w:t>21</w:t>
            </w:r>
            <w:r>
              <w:rPr>
                <w:rFonts w:cs="Arial"/>
                <w:color w:val="000000"/>
              </w:rPr>
              <w:t>.</w:t>
            </w:r>
            <w:r w:rsidRPr="00843561">
              <w:rPr>
                <w:rFonts w:cs="Arial"/>
                <w:color w:val="000000"/>
              </w:rPr>
              <w:t>483,64</w:t>
            </w:r>
          </w:p>
        </w:tc>
        <w:tc>
          <w:tcPr>
            <w:tcW w:w="1276" w:type="dxa"/>
            <w:tcBorders>
              <w:top w:val="nil"/>
              <w:bottom w:val="nil"/>
            </w:tcBorders>
            <w:vAlign w:val="bottom"/>
          </w:tcPr>
          <w:p w14:paraId="2E5EB8B6" w14:textId="158A19B4" w:rsidR="002A30E5" w:rsidRPr="00843561" w:rsidRDefault="002A30E5" w:rsidP="002A30E5">
            <w:pPr>
              <w:spacing w:before="0" w:after="0"/>
              <w:ind w:left="113"/>
              <w:jc w:val="right"/>
              <w:rPr>
                <w:rFonts w:cs="Arial"/>
                <w:color w:val="000000"/>
              </w:rPr>
            </w:pPr>
            <w:r w:rsidRPr="004A6580">
              <w:rPr>
                <w:rFonts w:cs="Arial"/>
                <w:color w:val="000000"/>
              </w:rPr>
              <w:t>23</w:t>
            </w:r>
            <w:r>
              <w:rPr>
                <w:rFonts w:cs="Arial"/>
                <w:color w:val="000000"/>
              </w:rPr>
              <w:t>.</w:t>
            </w:r>
            <w:r w:rsidRPr="004A6580">
              <w:rPr>
                <w:rFonts w:cs="Arial"/>
                <w:color w:val="000000"/>
              </w:rPr>
              <w:t>472,44</w:t>
            </w:r>
          </w:p>
        </w:tc>
        <w:tc>
          <w:tcPr>
            <w:tcW w:w="1417" w:type="dxa"/>
            <w:tcBorders>
              <w:top w:val="nil"/>
              <w:left w:val="single" w:sz="4" w:space="0" w:color="auto"/>
              <w:bottom w:val="nil"/>
              <w:right w:val="single" w:sz="4" w:space="0" w:color="auto"/>
            </w:tcBorders>
            <w:vAlign w:val="bottom"/>
          </w:tcPr>
          <w:p w14:paraId="67CE715D" w14:textId="000C8130"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283,66</w:t>
            </w:r>
          </w:p>
        </w:tc>
        <w:tc>
          <w:tcPr>
            <w:tcW w:w="1276" w:type="dxa"/>
            <w:tcBorders>
              <w:top w:val="nil"/>
              <w:bottom w:val="nil"/>
            </w:tcBorders>
            <w:vAlign w:val="bottom"/>
          </w:tcPr>
          <w:p w14:paraId="2A08B414" w14:textId="4F335A9C" w:rsidR="002A30E5" w:rsidRPr="00843561" w:rsidRDefault="002A30E5" w:rsidP="002A30E5">
            <w:pPr>
              <w:spacing w:before="0" w:after="0"/>
              <w:ind w:left="113"/>
              <w:jc w:val="right"/>
              <w:rPr>
                <w:rFonts w:cs="Arial"/>
                <w:color w:val="000000"/>
              </w:rPr>
            </w:pPr>
            <w:r w:rsidRPr="004A6580">
              <w:rPr>
                <w:rFonts w:cs="Arial"/>
                <w:color w:val="000000"/>
              </w:rPr>
              <w:t>27</w:t>
            </w:r>
            <w:r>
              <w:rPr>
                <w:rFonts w:cs="Arial"/>
                <w:color w:val="000000"/>
              </w:rPr>
              <w:t>.</w:t>
            </w:r>
            <w:r w:rsidRPr="004A6580">
              <w:rPr>
                <w:rFonts w:cs="Arial"/>
                <w:color w:val="000000"/>
              </w:rPr>
              <w:t>786,1</w:t>
            </w:r>
          </w:p>
        </w:tc>
        <w:tc>
          <w:tcPr>
            <w:tcW w:w="1276" w:type="dxa"/>
            <w:tcBorders>
              <w:top w:val="nil"/>
              <w:bottom w:val="nil"/>
            </w:tcBorders>
            <w:vAlign w:val="bottom"/>
          </w:tcPr>
          <w:p w14:paraId="6A39FFD6" w14:textId="671D0DFD" w:rsidR="002A30E5" w:rsidRPr="00843561" w:rsidRDefault="002A30E5" w:rsidP="002A30E5">
            <w:pPr>
              <w:spacing w:before="0" w:after="0"/>
              <w:ind w:left="113"/>
              <w:jc w:val="right"/>
              <w:rPr>
                <w:rFonts w:cs="Arial"/>
                <w:color w:val="000000"/>
              </w:rPr>
            </w:pPr>
            <w:r w:rsidRPr="004A6580">
              <w:rPr>
                <w:rFonts w:cs="Arial"/>
                <w:color w:val="000000"/>
              </w:rPr>
              <w:t>30</w:t>
            </w:r>
            <w:r>
              <w:rPr>
                <w:rFonts w:cs="Arial"/>
                <w:color w:val="000000"/>
              </w:rPr>
              <w:t>.</w:t>
            </w:r>
            <w:r w:rsidRPr="004A6580">
              <w:rPr>
                <w:rFonts w:cs="Arial"/>
                <w:color w:val="000000"/>
              </w:rPr>
              <w:t>288,61</w:t>
            </w:r>
          </w:p>
        </w:tc>
        <w:tc>
          <w:tcPr>
            <w:tcW w:w="1276" w:type="dxa"/>
            <w:vAlign w:val="bottom"/>
          </w:tcPr>
          <w:p w14:paraId="6F1D553F" w14:textId="46C2BF5C" w:rsidR="002A30E5" w:rsidRPr="004A6580" w:rsidRDefault="002A30E5" w:rsidP="002A30E5">
            <w:pPr>
              <w:spacing w:before="0" w:after="0"/>
              <w:ind w:left="113"/>
              <w:jc w:val="right"/>
              <w:rPr>
                <w:rFonts w:cs="Arial"/>
                <w:color w:val="000000"/>
              </w:rPr>
            </w:pPr>
            <w:r w:rsidRPr="002A30E5">
              <w:rPr>
                <w:rFonts w:cs="Arial"/>
                <w:color w:val="000000"/>
              </w:rPr>
              <w:t>32.791,13</w:t>
            </w:r>
          </w:p>
        </w:tc>
      </w:tr>
      <w:tr w:rsidR="002A30E5" w:rsidRPr="00843561" w14:paraId="215AA51D" w14:textId="21E2EF45" w:rsidTr="002A30E5">
        <w:trPr>
          <w:trHeight w:val="300"/>
          <w:jc w:val="center"/>
        </w:trPr>
        <w:tc>
          <w:tcPr>
            <w:tcW w:w="1163" w:type="dxa"/>
            <w:shd w:val="clear" w:color="auto" w:fill="C0C0C0"/>
            <w:noWrap/>
            <w:vAlign w:val="bottom"/>
          </w:tcPr>
          <w:p w14:paraId="296FD052" w14:textId="77777777" w:rsidR="002A30E5" w:rsidRPr="00037A46" w:rsidRDefault="002A30E5" w:rsidP="002A30E5">
            <w:pPr>
              <w:spacing w:before="0" w:after="0"/>
              <w:ind w:hanging="764"/>
              <w:jc w:val="right"/>
              <w:rPr>
                <w:b/>
                <w:bCs/>
                <w:lang w:val="en-US"/>
              </w:rPr>
            </w:pPr>
            <w:r w:rsidRPr="00037A46">
              <w:rPr>
                <w:b/>
                <w:bCs/>
                <w:lang w:val="en-US"/>
              </w:rPr>
              <w:t>3</w:t>
            </w:r>
          </w:p>
        </w:tc>
        <w:tc>
          <w:tcPr>
            <w:tcW w:w="1143" w:type="dxa"/>
            <w:vAlign w:val="bottom"/>
          </w:tcPr>
          <w:p w14:paraId="37DE1DD5" w14:textId="3358153B" w:rsidR="002A30E5" w:rsidRPr="00843561" w:rsidRDefault="002A30E5" w:rsidP="002A30E5">
            <w:pPr>
              <w:spacing w:before="0" w:after="0"/>
              <w:ind w:left="113"/>
              <w:jc w:val="right"/>
              <w:rPr>
                <w:rFonts w:cs="Arial"/>
                <w:color w:val="000000"/>
              </w:rPr>
            </w:pPr>
            <w:r w:rsidRPr="004A6580">
              <w:rPr>
                <w:rFonts w:cs="Arial"/>
                <w:color w:val="000000"/>
              </w:rPr>
              <w:t>17.949,72</w:t>
            </w:r>
          </w:p>
        </w:tc>
        <w:tc>
          <w:tcPr>
            <w:tcW w:w="1228" w:type="dxa"/>
            <w:vAlign w:val="bottom"/>
          </w:tcPr>
          <w:p w14:paraId="1CF0E12F" w14:textId="0886230E" w:rsidR="002A30E5" w:rsidRPr="00843561" w:rsidRDefault="002A30E5" w:rsidP="002A30E5">
            <w:pPr>
              <w:spacing w:before="0" w:after="0"/>
              <w:ind w:left="113"/>
              <w:jc w:val="right"/>
              <w:rPr>
                <w:rFonts w:cs="Arial"/>
                <w:color w:val="000000"/>
              </w:rPr>
            </w:pPr>
            <w:r w:rsidRPr="004A6580">
              <w:rPr>
                <w:rFonts w:cs="Arial"/>
                <w:color w:val="000000"/>
              </w:rPr>
              <w:t>18.808,47</w:t>
            </w:r>
          </w:p>
        </w:tc>
        <w:tc>
          <w:tcPr>
            <w:tcW w:w="1276" w:type="dxa"/>
            <w:tcBorders>
              <w:top w:val="nil"/>
              <w:left w:val="single" w:sz="4" w:space="0" w:color="auto"/>
              <w:bottom w:val="nil"/>
              <w:right w:val="single" w:sz="4" w:space="0" w:color="auto"/>
            </w:tcBorders>
            <w:vAlign w:val="bottom"/>
          </w:tcPr>
          <w:p w14:paraId="0872F062" w14:textId="69779787" w:rsidR="002A30E5" w:rsidRPr="004A6580" w:rsidRDefault="002A30E5" w:rsidP="002A30E5">
            <w:pPr>
              <w:spacing w:before="0" w:after="0"/>
              <w:ind w:left="113"/>
              <w:jc w:val="right"/>
              <w:rPr>
                <w:rFonts w:cs="Arial"/>
                <w:color w:val="000000"/>
              </w:rPr>
            </w:pPr>
            <w:r w:rsidRPr="00843561">
              <w:rPr>
                <w:rFonts w:cs="Arial"/>
                <w:color w:val="000000"/>
              </w:rPr>
              <w:t>19</w:t>
            </w:r>
            <w:r>
              <w:rPr>
                <w:rFonts w:cs="Arial"/>
                <w:color w:val="000000"/>
              </w:rPr>
              <w:t>.</w:t>
            </w:r>
            <w:r w:rsidRPr="00843561">
              <w:rPr>
                <w:rFonts w:cs="Arial"/>
                <w:color w:val="000000"/>
              </w:rPr>
              <w:t>012,75</w:t>
            </w:r>
          </w:p>
        </w:tc>
        <w:tc>
          <w:tcPr>
            <w:tcW w:w="1276" w:type="dxa"/>
            <w:tcBorders>
              <w:top w:val="nil"/>
              <w:left w:val="single" w:sz="4" w:space="0" w:color="auto"/>
              <w:bottom w:val="nil"/>
              <w:right w:val="single" w:sz="4" w:space="0" w:color="auto"/>
            </w:tcBorders>
            <w:vAlign w:val="bottom"/>
          </w:tcPr>
          <w:p w14:paraId="3C7C90E8" w14:textId="77777777" w:rsidR="002A30E5" w:rsidRPr="004A6580" w:rsidRDefault="002A30E5" w:rsidP="002A30E5">
            <w:pPr>
              <w:spacing w:before="0" w:after="0"/>
              <w:ind w:left="113"/>
              <w:jc w:val="right"/>
              <w:rPr>
                <w:rFonts w:cs="Arial"/>
                <w:color w:val="000000"/>
              </w:rPr>
            </w:pPr>
            <w:r w:rsidRPr="00843561">
              <w:rPr>
                <w:rFonts w:cs="Arial"/>
                <w:color w:val="000000"/>
              </w:rPr>
              <w:t>20</w:t>
            </w:r>
            <w:r>
              <w:rPr>
                <w:rFonts w:cs="Arial"/>
                <w:color w:val="000000"/>
              </w:rPr>
              <w:t>.</w:t>
            </w:r>
            <w:r w:rsidRPr="00843561">
              <w:rPr>
                <w:rFonts w:cs="Arial"/>
                <w:color w:val="000000"/>
              </w:rPr>
              <w:t>674,96</w:t>
            </w:r>
          </w:p>
        </w:tc>
        <w:tc>
          <w:tcPr>
            <w:tcW w:w="1417" w:type="dxa"/>
            <w:tcBorders>
              <w:top w:val="nil"/>
              <w:left w:val="single" w:sz="4" w:space="0" w:color="auto"/>
              <w:bottom w:val="nil"/>
              <w:right w:val="single" w:sz="4" w:space="0" w:color="auto"/>
            </w:tcBorders>
            <w:vAlign w:val="bottom"/>
          </w:tcPr>
          <w:p w14:paraId="11CFDBB1" w14:textId="77777777" w:rsidR="002A30E5" w:rsidRPr="004A6580" w:rsidRDefault="002A30E5" w:rsidP="002A30E5">
            <w:pPr>
              <w:spacing w:before="0" w:after="0"/>
              <w:ind w:left="113"/>
              <w:jc w:val="right"/>
              <w:rPr>
                <w:rFonts w:cs="Arial"/>
                <w:color w:val="000000"/>
              </w:rPr>
            </w:pPr>
            <w:r w:rsidRPr="00843561">
              <w:rPr>
                <w:rFonts w:cs="Arial"/>
                <w:color w:val="000000"/>
              </w:rPr>
              <w:t>22</w:t>
            </w:r>
            <w:r>
              <w:rPr>
                <w:rFonts w:cs="Arial"/>
                <w:color w:val="000000"/>
              </w:rPr>
              <w:t>.</w:t>
            </w:r>
            <w:r w:rsidRPr="00843561">
              <w:rPr>
                <w:rFonts w:cs="Arial"/>
                <w:color w:val="000000"/>
              </w:rPr>
              <w:t>145,33</w:t>
            </w:r>
          </w:p>
        </w:tc>
        <w:tc>
          <w:tcPr>
            <w:tcW w:w="1276" w:type="dxa"/>
            <w:tcBorders>
              <w:top w:val="nil"/>
              <w:bottom w:val="nil"/>
            </w:tcBorders>
            <w:vAlign w:val="bottom"/>
          </w:tcPr>
          <w:p w14:paraId="076513EB" w14:textId="6E08C9F5" w:rsidR="002A30E5" w:rsidRPr="00843561" w:rsidRDefault="002A30E5" w:rsidP="002A30E5">
            <w:pPr>
              <w:spacing w:before="0" w:after="0"/>
              <w:ind w:left="113"/>
              <w:jc w:val="right"/>
              <w:rPr>
                <w:rFonts w:cs="Arial"/>
                <w:color w:val="000000"/>
              </w:rPr>
            </w:pPr>
            <w:r w:rsidRPr="004A6580">
              <w:rPr>
                <w:rFonts w:cs="Arial"/>
                <w:color w:val="000000"/>
              </w:rPr>
              <w:t>24</w:t>
            </w:r>
            <w:r>
              <w:rPr>
                <w:rFonts w:cs="Arial"/>
                <w:color w:val="000000"/>
              </w:rPr>
              <w:t>.</w:t>
            </w:r>
            <w:r w:rsidRPr="004A6580">
              <w:rPr>
                <w:rFonts w:cs="Arial"/>
                <w:color w:val="000000"/>
              </w:rPr>
              <w:t>215,5</w:t>
            </w:r>
          </w:p>
        </w:tc>
        <w:tc>
          <w:tcPr>
            <w:tcW w:w="1417" w:type="dxa"/>
            <w:tcBorders>
              <w:top w:val="nil"/>
              <w:left w:val="single" w:sz="4" w:space="0" w:color="auto"/>
              <w:bottom w:val="nil"/>
              <w:right w:val="single" w:sz="4" w:space="0" w:color="auto"/>
            </w:tcBorders>
            <w:vAlign w:val="bottom"/>
          </w:tcPr>
          <w:p w14:paraId="6E2BCCBF" w14:textId="68CEA580" w:rsidR="002A30E5" w:rsidRPr="00843561" w:rsidRDefault="002A30E5" w:rsidP="002A30E5">
            <w:pPr>
              <w:spacing w:before="0" w:after="0"/>
              <w:ind w:left="113"/>
              <w:jc w:val="right"/>
              <w:rPr>
                <w:rFonts w:cs="Arial"/>
                <w:color w:val="000000"/>
              </w:rPr>
            </w:pPr>
            <w:r w:rsidRPr="00843561">
              <w:rPr>
                <w:rFonts w:cs="Arial"/>
                <w:color w:val="000000"/>
              </w:rPr>
              <w:t>26</w:t>
            </w:r>
            <w:r>
              <w:rPr>
                <w:rFonts w:cs="Arial"/>
                <w:color w:val="000000"/>
              </w:rPr>
              <w:t>.</w:t>
            </w:r>
            <w:r w:rsidRPr="00843561">
              <w:rPr>
                <w:rFonts w:cs="Arial"/>
                <w:color w:val="000000"/>
              </w:rPr>
              <w:t>040,84</w:t>
            </w:r>
          </w:p>
        </w:tc>
        <w:tc>
          <w:tcPr>
            <w:tcW w:w="1276" w:type="dxa"/>
            <w:tcBorders>
              <w:top w:val="nil"/>
              <w:bottom w:val="nil"/>
            </w:tcBorders>
            <w:vAlign w:val="bottom"/>
          </w:tcPr>
          <w:p w14:paraId="0252170A" w14:textId="5AF97C2F" w:rsidR="002A30E5" w:rsidRPr="00843561" w:rsidRDefault="002A30E5" w:rsidP="002A30E5">
            <w:pPr>
              <w:spacing w:before="0" w:after="0"/>
              <w:ind w:left="113"/>
              <w:jc w:val="right"/>
              <w:rPr>
                <w:rFonts w:cs="Arial"/>
                <w:color w:val="000000"/>
              </w:rPr>
            </w:pPr>
            <w:r w:rsidRPr="004A6580">
              <w:rPr>
                <w:rFonts w:cs="Arial"/>
                <w:color w:val="000000"/>
              </w:rPr>
              <w:t>28</w:t>
            </w:r>
            <w:r>
              <w:rPr>
                <w:rFonts w:cs="Arial"/>
                <w:color w:val="000000"/>
              </w:rPr>
              <w:t>.</w:t>
            </w:r>
            <w:r w:rsidRPr="004A6580">
              <w:rPr>
                <w:rFonts w:cs="Arial"/>
                <w:color w:val="000000"/>
              </w:rPr>
              <w:t>618,29</w:t>
            </w:r>
          </w:p>
        </w:tc>
        <w:tc>
          <w:tcPr>
            <w:tcW w:w="1276" w:type="dxa"/>
            <w:tcBorders>
              <w:top w:val="nil"/>
              <w:bottom w:val="nil"/>
            </w:tcBorders>
            <w:vAlign w:val="bottom"/>
          </w:tcPr>
          <w:p w14:paraId="25443531" w14:textId="60AE9F71" w:rsidR="002A30E5" w:rsidRPr="00843561" w:rsidRDefault="002A30E5" w:rsidP="002A30E5">
            <w:pPr>
              <w:spacing w:before="0" w:after="0"/>
              <w:ind w:left="113"/>
              <w:jc w:val="right"/>
              <w:rPr>
                <w:rFonts w:cs="Arial"/>
                <w:color w:val="000000"/>
              </w:rPr>
            </w:pPr>
            <w:r w:rsidRPr="004A6580">
              <w:rPr>
                <w:rFonts w:cs="Arial"/>
                <w:color w:val="000000"/>
              </w:rPr>
              <w:t>31</w:t>
            </w:r>
            <w:r>
              <w:rPr>
                <w:rFonts w:cs="Arial"/>
                <w:color w:val="000000"/>
              </w:rPr>
              <w:t>.</w:t>
            </w:r>
            <w:r w:rsidRPr="004A6580">
              <w:rPr>
                <w:rFonts w:cs="Arial"/>
                <w:color w:val="000000"/>
              </w:rPr>
              <w:t>195,68</w:t>
            </w:r>
          </w:p>
        </w:tc>
        <w:tc>
          <w:tcPr>
            <w:tcW w:w="1276" w:type="dxa"/>
            <w:vAlign w:val="bottom"/>
          </w:tcPr>
          <w:p w14:paraId="17A66F74" w14:textId="38340331" w:rsidR="002A30E5" w:rsidRPr="004A6580" w:rsidRDefault="002A30E5" w:rsidP="002A30E5">
            <w:pPr>
              <w:spacing w:before="0" w:after="0"/>
              <w:ind w:left="113"/>
              <w:jc w:val="right"/>
              <w:rPr>
                <w:rFonts w:cs="Arial"/>
                <w:color w:val="000000"/>
              </w:rPr>
            </w:pPr>
            <w:r w:rsidRPr="002A30E5">
              <w:rPr>
                <w:rFonts w:cs="Arial"/>
                <w:color w:val="000000"/>
              </w:rPr>
              <w:t>33.773,13</w:t>
            </w:r>
          </w:p>
        </w:tc>
      </w:tr>
      <w:tr w:rsidR="002A30E5" w:rsidRPr="00843561" w14:paraId="47F40A88" w14:textId="55C7E1B8" w:rsidTr="002A30E5">
        <w:trPr>
          <w:trHeight w:val="300"/>
          <w:jc w:val="center"/>
        </w:trPr>
        <w:tc>
          <w:tcPr>
            <w:tcW w:w="1163" w:type="dxa"/>
            <w:shd w:val="clear" w:color="auto" w:fill="C0C0C0"/>
            <w:noWrap/>
            <w:vAlign w:val="bottom"/>
          </w:tcPr>
          <w:p w14:paraId="2D7D0867" w14:textId="77777777" w:rsidR="002A30E5" w:rsidRPr="00037A46" w:rsidRDefault="002A30E5" w:rsidP="002A30E5">
            <w:pPr>
              <w:spacing w:before="0" w:after="0"/>
              <w:ind w:hanging="764"/>
              <w:jc w:val="right"/>
              <w:rPr>
                <w:b/>
                <w:bCs/>
                <w:lang w:val="en-US"/>
              </w:rPr>
            </w:pPr>
            <w:r w:rsidRPr="00037A46">
              <w:rPr>
                <w:b/>
                <w:bCs/>
                <w:lang w:val="en-US"/>
              </w:rPr>
              <w:t>4</w:t>
            </w:r>
          </w:p>
        </w:tc>
        <w:tc>
          <w:tcPr>
            <w:tcW w:w="1143" w:type="dxa"/>
            <w:vAlign w:val="bottom"/>
          </w:tcPr>
          <w:p w14:paraId="19FD3C2F" w14:textId="553345E9" w:rsidR="002A30E5" w:rsidRPr="00843561" w:rsidRDefault="002A30E5" w:rsidP="002A30E5">
            <w:pPr>
              <w:spacing w:before="0" w:after="0"/>
              <w:ind w:left="113"/>
              <w:jc w:val="right"/>
              <w:rPr>
                <w:rFonts w:cs="Arial"/>
                <w:color w:val="000000"/>
              </w:rPr>
            </w:pPr>
            <w:r w:rsidRPr="004A6580">
              <w:rPr>
                <w:rFonts w:cs="Arial"/>
                <w:color w:val="000000"/>
              </w:rPr>
              <w:t>18.304,83</w:t>
            </w:r>
          </w:p>
        </w:tc>
        <w:tc>
          <w:tcPr>
            <w:tcW w:w="1228" w:type="dxa"/>
            <w:vAlign w:val="bottom"/>
          </w:tcPr>
          <w:p w14:paraId="5066035F" w14:textId="1CFB776D" w:rsidR="002A30E5" w:rsidRPr="00843561" w:rsidRDefault="002A30E5" w:rsidP="002A30E5">
            <w:pPr>
              <w:spacing w:before="0" w:after="0"/>
              <w:ind w:left="113"/>
              <w:jc w:val="right"/>
              <w:rPr>
                <w:rFonts w:cs="Arial"/>
                <w:color w:val="000000"/>
              </w:rPr>
            </w:pPr>
            <w:r w:rsidRPr="004A6580">
              <w:rPr>
                <w:rFonts w:cs="Arial"/>
                <w:color w:val="000000"/>
              </w:rPr>
              <w:t>19.255,07</w:t>
            </w:r>
          </w:p>
        </w:tc>
        <w:tc>
          <w:tcPr>
            <w:tcW w:w="1276" w:type="dxa"/>
            <w:tcBorders>
              <w:top w:val="nil"/>
              <w:left w:val="single" w:sz="4" w:space="0" w:color="auto"/>
              <w:bottom w:val="nil"/>
              <w:right w:val="single" w:sz="4" w:space="0" w:color="auto"/>
            </w:tcBorders>
            <w:vAlign w:val="bottom"/>
          </w:tcPr>
          <w:p w14:paraId="25C63DA7" w14:textId="4C24326A" w:rsidR="002A30E5" w:rsidRPr="004A6580" w:rsidRDefault="002A30E5" w:rsidP="002A30E5">
            <w:pPr>
              <w:spacing w:before="0" w:after="0"/>
              <w:ind w:left="113"/>
              <w:jc w:val="right"/>
              <w:rPr>
                <w:rFonts w:cs="Arial"/>
                <w:color w:val="000000"/>
              </w:rPr>
            </w:pPr>
            <w:r w:rsidRPr="00843561">
              <w:rPr>
                <w:rFonts w:cs="Arial"/>
                <w:color w:val="000000"/>
              </w:rPr>
              <w:t>19</w:t>
            </w:r>
            <w:r>
              <w:rPr>
                <w:rFonts w:cs="Arial"/>
                <w:color w:val="000000"/>
              </w:rPr>
              <w:t>.</w:t>
            </w:r>
            <w:r w:rsidRPr="00843561">
              <w:rPr>
                <w:rFonts w:cs="Arial"/>
                <w:color w:val="000000"/>
              </w:rPr>
              <w:t>524,36</w:t>
            </w:r>
          </w:p>
        </w:tc>
        <w:tc>
          <w:tcPr>
            <w:tcW w:w="1276" w:type="dxa"/>
            <w:tcBorders>
              <w:top w:val="nil"/>
              <w:left w:val="single" w:sz="4" w:space="0" w:color="auto"/>
              <w:bottom w:val="nil"/>
              <w:right w:val="single" w:sz="4" w:space="0" w:color="auto"/>
            </w:tcBorders>
            <w:vAlign w:val="bottom"/>
          </w:tcPr>
          <w:p w14:paraId="41380948" w14:textId="77777777" w:rsidR="002A30E5" w:rsidRPr="004A6580" w:rsidRDefault="002A30E5" w:rsidP="002A30E5">
            <w:pPr>
              <w:spacing w:before="0" w:after="0"/>
              <w:ind w:left="113"/>
              <w:jc w:val="right"/>
              <w:rPr>
                <w:rFonts w:cs="Arial"/>
                <w:color w:val="000000"/>
              </w:rPr>
            </w:pPr>
            <w:r w:rsidRPr="00843561">
              <w:rPr>
                <w:rFonts w:cs="Arial"/>
                <w:color w:val="000000"/>
              </w:rPr>
              <w:t>21</w:t>
            </w:r>
            <w:r>
              <w:rPr>
                <w:rFonts w:cs="Arial"/>
                <w:color w:val="000000"/>
              </w:rPr>
              <w:t>.</w:t>
            </w:r>
            <w:r w:rsidRPr="00843561">
              <w:rPr>
                <w:rFonts w:cs="Arial"/>
                <w:color w:val="000000"/>
              </w:rPr>
              <w:t>264,02</w:t>
            </w:r>
          </w:p>
        </w:tc>
        <w:tc>
          <w:tcPr>
            <w:tcW w:w="1417" w:type="dxa"/>
            <w:tcBorders>
              <w:top w:val="nil"/>
              <w:left w:val="single" w:sz="4" w:space="0" w:color="auto"/>
              <w:bottom w:val="nil"/>
              <w:right w:val="single" w:sz="4" w:space="0" w:color="auto"/>
            </w:tcBorders>
            <w:vAlign w:val="bottom"/>
          </w:tcPr>
          <w:p w14:paraId="1DC8F24A" w14:textId="77777777" w:rsidR="002A30E5" w:rsidRPr="004A6580" w:rsidRDefault="002A30E5" w:rsidP="002A30E5">
            <w:pPr>
              <w:spacing w:before="0" w:after="0"/>
              <w:ind w:left="113"/>
              <w:jc w:val="right"/>
              <w:rPr>
                <w:rFonts w:cs="Arial"/>
                <w:color w:val="000000"/>
              </w:rPr>
            </w:pPr>
            <w:r w:rsidRPr="00843561">
              <w:rPr>
                <w:rFonts w:cs="Arial"/>
                <w:color w:val="000000"/>
              </w:rPr>
              <w:t>22</w:t>
            </w:r>
            <w:r>
              <w:rPr>
                <w:rFonts w:cs="Arial"/>
                <w:color w:val="000000"/>
              </w:rPr>
              <w:t>.</w:t>
            </w:r>
            <w:r w:rsidRPr="00843561">
              <w:rPr>
                <w:rFonts w:cs="Arial"/>
                <w:color w:val="000000"/>
              </w:rPr>
              <w:t>776,35</w:t>
            </w:r>
          </w:p>
        </w:tc>
        <w:tc>
          <w:tcPr>
            <w:tcW w:w="1276" w:type="dxa"/>
            <w:tcBorders>
              <w:top w:val="nil"/>
            </w:tcBorders>
            <w:vAlign w:val="bottom"/>
          </w:tcPr>
          <w:p w14:paraId="3307B6C0" w14:textId="6238A55A" w:rsidR="002A30E5" w:rsidRPr="00843561" w:rsidRDefault="002A30E5" w:rsidP="002A30E5">
            <w:pPr>
              <w:spacing w:before="0" w:after="0"/>
              <w:ind w:left="113"/>
              <w:jc w:val="right"/>
              <w:rPr>
                <w:rFonts w:cs="Arial"/>
                <w:color w:val="000000"/>
              </w:rPr>
            </w:pPr>
            <w:r w:rsidRPr="004A6580">
              <w:rPr>
                <w:rFonts w:cs="Arial"/>
                <w:color w:val="000000"/>
              </w:rPr>
              <w:t>24</w:t>
            </w:r>
            <w:r>
              <w:rPr>
                <w:rFonts w:cs="Arial"/>
                <w:color w:val="000000"/>
              </w:rPr>
              <w:t>.</w:t>
            </w:r>
            <w:r w:rsidRPr="004A6580">
              <w:rPr>
                <w:rFonts w:cs="Arial"/>
                <w:color w:val="000000"/>
              </w:rPr>
              <w:t>924,63</w:t>
            </w:r>
          </w:p>
        </w:tc>
        <w:tc>
          <w:tcPr>
            <w:tcW w:w="1417" w:type="dxa"/>
            <w:tcBorders>
              <w:top w:val="nil"/>
              <w:left w:val="single" w:sz="4" w:space="0" w:color="auto"/>
              <w:bottom w:val="nil"/>
              <w:right w:val="single" w:sz="4" w:space="0" w:color="auto"/>
            </w:tcBorders>
            <w:vAlign w:val="bottom"/>
          </w:tcPr>
          <w:p w14:paraId="4103C046" w14:textId="2D05C461" w:rsidR="002A30E5" w:rsidRPr="004A6580" w:rsidRDefault="002A30E5" w:rsidP="002A30E5">
            <w:pPr>
              <w:spacing w:before="0" w:after="0"/>
              <w:ind w:left="113"/>
              <w:jc w:val="right"/>
              <w:rPr>
                <w:rFonts w:cs="Arial"/>
                <w:color w:val="000000"/>
              </w:rPr>
            </w:pPr>
            <w:r w:rsidRPr="00843561">
              <w:rPr>
                <w:rFonts w:cs="Arial"/>
                <w:color w:val="000000"/>
              </w:rPr>
              <w:t>26</w:t>
            </w:r>
            <w:r>
              <w:rPr>
                <w:rFonts w:cs="Arial"/>
                <w:color w:val="000000"/>
              </w:rPr>
              <w:t>.</w:t>
            </w:r>
            <w:r w:rsidRPr="00843561">
              <w:rPr>
                <w:rFonts w:cs="Arial"/>
                <w:color w:val="000000"/>
              </w:rPr>
              <w:t>762,2</w:t>
            </w:r>
          </w:p>
        </w:tc>
        <w:tc>
          <w:tcPr>
            <w:tcW w:w="1276" w:type="dxa"/>
            <w:tcBorders>
              <w:top w:val="nil"/>
            </w:tcBorders>
            <w:vAlign w:val="bottom"/>
          </w:tcPr>
          <w:p w14:paraId="1FB96B2E" w14:textId="4FC1DAF3" w:rsidR="002A30E5" w:rsidRPr="00843561" w:rsidRDefault="002A30E5" w:rsidP="002A30E5">
            <w:pPr>
              <w:spacing w:before="0" w:after="0"/>
              <w:ind w:left="113"/>
              <w:jc w:val="right"/>
              <w:rPr>
                <w:rFonts w:cs="Arial"/>
                <w:color w:val="000000"/>
              </w:rPr>
            </w:pPr>
            <w:r w:rsidRPr="004A6580">
              <w:rPr>
                <w:rFonts w:cs="Arial"/>
                <w:color w:val="000000"/>
              </w:rPr>
              <w:t>29</w:t>
            </w:r>
            <w:r>
              <w:rPr>
                <w:rFonts w:cs="Arial"/>
                <w:color w:val="000000"/>
              </w:rPr>
              <w:t>.</w:t>
            </w:r>
            <w:r w:rsidRPr="004A6580">
              <w:rPr>
                <w:rFonts w:cs="Arial"/>
                <w:color w:val="000000"/>
              </w:rPr>
              <w:t>411,01</w:t>
            </w:r>
          </w:p>
        </w:tc>
        <w:tc>
          <w:tcPr>
            <w:tcW w:w="1276" w:type="dxa"/>
            <w:tcBorders>
              <w:top w:val="nil"/>
            </w:tcBorders>
            <w:vAlign w:val="bottom"/>
          </w:tcPr>
          <w:p w14:paraId="159E7B39" w14:textId="26279303" w:rsidR="002A30E5" w:rsidRPr="00843561" w:rsidRDefault="002A30E5" w:rsidP="002A30E5">
            <w:pPr>
              <w:spacing w:before="0" w:after="0"/>
              <w:ind w:left="113"/>
              <w:jc w:val="right"/>
              <w:rPr>
                <w:rFonts w:cs="Arial"/>
                <w:color w:val="000000"/>
              </w:rPr>
            </w:pPr>
            <w:r w:rsidRPr="004A6580">
              <w:rPr>
                <w:rFonts w:cs="Arial"/>
                <w:color w:val="000000"/>
              </w:rPr>
              <w:t>32</w:t>
            </w:r>
            <w:r>
              <w:rPr>
                <w:rFonts w:cs="Arial"/>
                <w:color w:val="000000"/>
              </w:rPr>
              <w:t>.</w:t>
            </w:r>
            <w:r w:rsidRPr="004A6580">
              <w:rPr>
                <w:rFonts w:cs="Arial"/>
                <w:color w:val="000000"/>
              </w:rPr>
              <w:t>059,83</w:t>
            </w:r>
          </w:p>
        </w:tc>
        <w:tc>
          <w:tcPr>
            <w:tcW w:w="1276" w:type="dxa"/>
            <w:vAlign w:val="bottom"/>
          </w:tcPr>
          <w:p w14:paraId="2FCA5BD2" w14:textId="3E6B2F51" w:rsidR="002A30E5" w:rsidRPr="004A6580" w:rsidRDefault="002A30E5" w:rsidP="002A30E5">
            <w:pPr>
              <w:spacing w:before="0" w:after="0"/>
              <w:ind w:left="113"/>
              <w:jc w:val="right"/>
              <w:rPr>
                <w:rFonts w:cs="Arial"/>
                <w:color w:val="000000"/>
              </w:rPr>
            </w:pPr>
            <w:r w:rsidRPr="002A30E5">
              <w:rPr>
                <w:rFonts w:cs="Arial"/>
                <w:color w:val="000000"/>
              </w:rPr>
              <w:t>34.708,64</w:t>
            </w:r>
          </w:p>
        </w:tc>
      </w:tr>
      <w:tr w:rsidR="002A30E5" w:rsidRPr="00843561" w14:paraId="32566D6D" w14:textId="41DCBC67" w:rsidTr="002A30E5">
        <w:trPr>
          <w:trHeight w:val="300"/>
          <w:jc w:val="center"/>
        </w:trPr>
        <w:tc>
          <w:tcPr>
            <w:tcW w:w="1163" w:type="dxa"/>
            <w:shd w:val="clear" w:color="auto" w:fill="C0C0C0"/>
            <w:noWrap/>
            <w:vAlign w:val="bottom"/>
          </w:tcPr>
          <w:p w14:paraId="7844D9B8" w14:textId="77777777" w:rsidR="002A30E5" w:rsidRPr="00037A46" w:rsidRDefault="002A30E5" w:rsidP="002A30E5">
            <w:pPr>
              <w:spacing w:before="0" w:after="0"/>
              <w:ind w:hanging="764"/>
              <w:jc w:val="right"/>
              <w:rPr>
                <w:b/>
                <w:bCs/>
                <w:lang w:val="en-US"/>
              </w:rPr>
            </w:pPr>
            <w:r w:rsidRPr="00037A46">
              <w:rPr>
                <w:b/>
                <w:bCs/>
                <w:lang w:val="en-US"/>
              </w:rPr>
              <w:t>5</w:t>
            </w:r>
          </w:p>
        </w:tc>
        <w:tc>
          <w:tcPr>
            <w:tcW w:w="1143" w:type="dxa"/>
            <w:vAlign w:val="bottom"/>
          </w:tcPr>
          <w:p w14:paraId="0306595A" w14:textId="2B0DCE71" w:rsidR="002A30E5" w:rsidRPr="00843561" w:rsidRDefault="002A30E5" w:rsidP="002A30E5">
            <w:pPr>
              <w:spacing w:before="0" w:after="0"/>
              <w:ind w:left="113"/>
              <w:jc w:val="right"/>
              <w:rPr>
                <w:rFonts w:cs="Arial"/>
                <w:color w:val="000000"/>
              </w:rPr>
            </w:pPr>
            <w:r w:rsidRPr="004A6580">
              <w:rPr>
                <w:rFonts w:cs="Arial"/>
                <w:color w:val="000000"/>
              </w:rPr>
              <w:t>18.639,87</w:t>
            </w:r>
          </w:p>
        </w:tc>
        <w:tc>
          <w:tcPr>
            <w:tcW w:w="1228" w:type="dxa"/>
            <w:vAlign w:val="bottom"/>
          </w:tcPr>
          <w:p w14:paraId="2A2DBD35" w14:textId="762151EF" w:rsidR="002A30E5" w:rsidRPr="00843561" w:rsidRDefault="002A30E5" w:rsidP="002A30E5">
            <w:pPr>
              <w:spacing w:before="0" w:after="0"/>
              <w:ind w:left="113"/>
              <w:jc w:val="right"/>
              <w:rPr>
                <w:rFonts w:cs="Arial"/>
                <w:color w:val="000000"/>
              </w:rPr>
            </w:pPr>
            <w:r w:rsidRPr="004A6580">
              <w:rPr>
                <w:rFonts w:cs="Arial"/>
                <w:color w:val="000000"/>
              </w:rPr>
              <w:t>19.677,96</w:t>
            </w:r>
          </w:p>
        </w:tc>
        <w:tc>
          <w:tcPr>
            <w:tcW w:w="1276" w:type="dxa"/>
            <w:tcBorders>
              <w:top w:val="nil"/>
              <w:left w:val="single" w:sz="4" w:space="0" w:color="auto"/>
              <w:bottom w:val="nil"/>
              <w:right w:val="single" w:sz="4" w:space="0" w:color="auto"/>
            </w:tcBorders>
            <w:vAlign w:val="bottom"/>
          </w:tcPr>
          <w:p w14:paraId="78CBA6C1" w14:textId="17AA2019" w:rsidR="002A30E5" w:rsidRPr="004A6580" w:rsidRDefault="002A30E5" w:rsidP="002A30E5">
            <w:pPr>
              <w:spacing w:before="0" w:after="0"/>
              <w:ind w:left="113"/>
              <w:jc w:val="right"/>
              <w:rPr>
                <w:rFonts w:cs="Arial"/>
                <w:color w:val="000000"/>
              </w:rPr>
            </w:pPr>
            <w:r w:rsidRPr="00843561">
              <w:rPr>
                <w:rFonts w:cs="Arial"/>
                <w:color w:val="000000"/>
              </w:rPr>
              <w:t>20</w:t>
            </w:r>
            <w:r>
              <w:rPr>
                <w:rFonts w:cs="Arial"/>
                <w:color w:val="000000"/>
              </w:rPr>
              <w:t>.</w:t>
            </w:r>
            <w:r w:rsidRPr="00843561">
              <w:rPr>
                <w:rFonts w:cs="Arial"/>
                <w:color w:val="000000"/>
              </w:rPr>
              <w:t>010,29</w:t>
            </w:r>
          </w:p>
        </w:tc>
        <w:tc>
          <w:tcPr>
            <w:tcW w:w="1276" w:type="dxa"/>
            <w:tcBorders>
              <w:top w:val="nil"/>
              <w:left w:val="single" w:sz="4" w:space="0" w:color="auto"/>
              <w:bottom w:val="nil"/>
              <w:right w:val="single" w:sz="4" w:space="0" w:color="auto"/>
            </w:tcBorders>
            <w:vAlign w:val="bottom"/>
          </w:tcPr>
          <w:p w14:paraId="37C938F8" w14:textId="77777777" w:rsidR="002A30E5" w:rsidRPr="004A6580" w:rsidRDefault="002A30E5" w:rsidP="002A30E5">
            <w:pPr>
              <w:spacing w:before="0" w:after="0"/>
              <w:ind w:left="113"/>
              <w:jc w:val="right"/>
              <w:rPr>
                <w:rFonts w:cs="Arial"/>
                <w:color w:val="000000"/>
              </w:rPr>
            </w:pPr>
            <w:r w:rsidRPr="00843561">
              <w:rPr>
                <w:rFonts w:cs="Arial"/>
                <w:color w:val="000000"/>
              </w:rPr>
              <w:t>21</w:t>
            </w:r>
            <w:r>
              <w:rPr>
                <w:rFonts w:cs="Arial"/>
                <w:color w:val="000000"/>
              </w:rPr>
              <w:t>.</w:t>
            </w:r>
            <w:r w:rsidRPr="00843561">
              <w:rPr>
                <w:rFonts w:cs="Arial"/>
                <w:color w:val="000000"/>
              </w:rPr>
              <w:t>824,48</w:t>
            </w:r>
          </w:p>
        </w:tc>
        <w:tc>
          <w:tcPr>
            <w:tcW w:w="1417" w:type="dxa"/>
            <w:tcBorders>
              <w:top w:val="nil"/>
              <w:left w:val="single" w:sz="4" w:space="0" w:color="auto"/>
              <w:bottom w:val="nil"/>
              <w:right w:val="single" w:sz="4" w:space="0" w:color="auto"/>
            </w:tcBorders>
            <w:vAlign w:val="bottom"/>
          </w:tcPr>
          <w:p w14:paraId="3D9B4980" w14:textId="77777777" w:rsidR="002A30E5" w:rsidRPr="004A6580" w:rsidRDefault="002A30E5" w:rsidP="002A30E5">
            <w:pPr>
              <w:spacing w:before="0" w:after="0"/>
              <w:ind w:left="113"/>
              <w:jc w:val="right"/>
              <w:rPr>
                <w:rFonts w:cs="Arial"/>
                <w:color w:val="000000"/>
              </w:rPr>
            </w:pPr>
            <w:r w:rsidRPr="00843561">
              <w:rPr>
                <w:rFonts w:cs="Arial"/>
                <w:color w:val="000000"/>
              </w:rPr>
              <w:t>23</w:t>
            </w:r>
            <w:r>
              <w:rPr>
                <w:rFonts w:cs="Arial"/>
                <w:color w:val="000000"/>
              </w:rPr>
              <w:t>.</w:t>
            </w:r>
            <w:r w:rsidRPr="00843561">
              <w:rPr>
                <w:rFonts w:cs="Arial"/>
                <w:color w:val="000000"/>
              </w:rPr>
              <w:t>376,62</w:t>
            </w:r>
          </w:p>
        </w:tc>
        <w:tc>
          <w:tcPr>
            <w:tcW w:w="1276" w:type="dxa"/>
            <w:vAlign w:val="bottom"/>
          </w:tcPr>
          <w:p w14:paraId="2EE70DF7" w14:textId="322C5685" w:rsidR="002A30E5" w:rsidRPr="00843561" w:rsidRDefault="002A30E5" w:rsidP="002A30E5">
            <w:pPr>
              <w:spacing w:before="0" w:after="0"/>
              <w:ind w:left="113"/>
              <w:jc w:val="right"/>
              <w:rPr>
                <w:rFonts w:cs="Arial"/>
                <w:color w:val="000000"/>
              </w:rPr>
            </w:pPr>
            <w:r w:rsidRPr="004A6580">
              <w:rPr>
                <w:rFonts w:cs="Arial"/>
                <w:color w:val="000000"/>
              </w:rPr>
              <w:t>25</w:t>
            </w:r>
            <w:r>
              <w:rPr>
                <w:rFonts w:cs="Arial"/>
                <w:color w:val="000000"/>
              </w:rPr>
              <w:t>.</w:t>
            </w:r>
            <w:r w:rsidRPr="004A6580">
              <w:rPr>
                <w:rFonts w:cs="Arial"/>
                <w:color w:val="000000"/>
              </w:rPr>
              <w:t>599,77</w:t>
            </w:r>
          </w:p>
        </w:tc>
        <w:tc>
          <w:tcPr>
            <w:tcW w:w="1417" w:type="dxa"/>
            <w:tcBorders>
              <w:top w:val="nil"/>
              <w:left w:val="single" w:sz="4" w:space="0" w:color="auto"/>
              <w:bottom w:val="nil"/>
              <w:right w:val="single" w:sz="4" w:space="0" w:color="auto"/>
            </w:tcBorders>
            <w:vAlign w:val="bottom"/>
          </w:tcPr>
          <w:p w14:paraId="095F9150" w14:textId="5C8AE4F4" w:rsidR="002A30E5" w:rsidRPr="004A6580" w:rsidRDefault="002A30E5" w:rsidP="002A30E5">
            <w:pPr>
              <w:spacing w:before="0" w:after="0"/>
              <w:ind w:left="113"/>
              <w:jc w:val="right"/>
              <w:rPr>
                <w:rFonts w:cs="Arial"/>
                <w:color w:val="000000"/>
              </w:rPr>
            </w:pPr>
            <w:r w:rsidRPr="00843561">
              <w:rPr>
                <w:rFonts w:cs="Arial"/>
                <w:color w:val="000000"/>
              </w:rPr>
              <w:t>27</w:t>
            </w:r>
            <w:r>
              <w:rPr>
                <w:rFonts w:cs="Arial"/>
                <w:color w:val="000000"/>
              </w:rPr>
              <w:t>.</w:t>
            </w:r>
            <w:r w:rsidRPr="00843561">
              <w:rPr>
                <w:rFonts w:cs="Arial"/>
                <w:color w:val="000000"/>
              </w:rPr>
              <w:t>447,96</w:t>
            </w:r>
          </w:p>
        </w:tc>
        <w:tc>
          <w:tcPr>
            <w:tcW w:w="1276" w:type="dxa"/>
            <w:vAlign w:val="bottom"/>
          </w:tcPr>
          <w:p w14:paraId="7B3C5F45" w14:textId="59EC0D2A" w:rsidR="002A30E5" w:rsidRPr="00843561" w:rsidRDefault="002A30E5" w:rsidP="002A30E5">
            <w:pPr>
              <w:spacing w:before="0" w:after="0"/>
              <w:ind w:left="113"/>
              <w:jc w:val="right"/>
              <w:rPr>
                <w:rFonts w:cs="Arial"/>
                <w:color w:val="000000"/>
              </w:rPr>
            </w:pPr>
            <w:r w:rsidRPr="004A6580">
              <w:rPr>
                <w:rFonts w:cs="Arial"/>
                <w:color w:val="000000"/>
              </w:rPr>
              <w:t>30</w:t>
            </w:r>
            <w:r>
              <w:rPr>
                <w:rFonts w:cs="Arial"/>
                <w:color w:val="000000"/>
              </w:rPr>
              <w:t>.</w:t>
            </w:r>
            <w:r w:rsidRPr="004A6580">
              <w:rPr>
                <w:rFonts w:cs="Arial"/>
                <w:color w:val="000000"/>
              </w:rPr>
              <w:t>164,61</w:t>
            </w:r>
          </w:p>
        </w:tc>
        <w:tc>
          <w:tcPr>
            <w:tcW w:w="1276" w:type="dxa"/>
            <w:vAlign w:val="bottom"/>
          </w:tcPr>
          <w:p w14:paraId="5B2E13DD" w14:textId="573F8F37" w:rsidR="002A30E5" w:rsidRPr="00843561" w:rsidRDefault="002A30E5" w:rsidP="002A30E5">
            <w:pPr>
              <w:spacing w:before="0" w:after="0"/>
              <w:ind w:left="113"/>
              <w:jc w:val="right"/>
              <w:rPr>
                <w:rFonts w:cs="Arial"/>
                <w:color w:val="000000"/>
              </w:rPr>
            </w:pPr>
            <w:r w:rsidRPr="004A6580">
              <w:rPr>
                <w:rFonts w:cs="Arial"/>
                <w:color w:val="000000"/>
              </w:rPr>
              <w:t>32</w:t>
            </w:r>
            <w:r>
              <w:rPr>
                <w:rFonts w:cs="Arial"/>
                <w:color w:val="000000"/>
              </w:rPr>
              <w:t>.</w:t>
            </w:r>
            <w:r w:rsidRPr="004A6580">
              <w:rPr>
                <w:rFonts w:cs="Arial"/>
                <w:color w:val="000000"/>
              </w:rPr>
              <w:t>881,34</w:t>
            </w:r>
          </w:p>
        </w:tc>
        <w:tc>
          <w:tcPr>
            <w:tcW w:w="1276" w:type="dxa"/>
            <w:vAlign w:val="bottom"/>
          </w:tcPr>
          <w:p w14:paraId="5C59F853" w14:textId="3102F8F7" w:rsidR="002A30E5" w:rsidRPr="004A6580" w:rsidRDefault="002A30E5" w:rsidP="002A30E5">
            <w:pPr>
              <w:spacing w:before="0" w:after="0"/>
              <w:ind w:left="113"/>
              <w:jc w:val="right"/>
              <w:rPr>
                <w:rFonts w:cs="Arial"/>
                <w:color w:val="000000"/>
              </w:rPr>
            </w:pPr>
            <w:r w:rsidRPr="002A30E5">
              <w:rPr>
                <w:rFonts w:cs="Arial"/>
                <w:color w:val="000000"/>
              </w:rPr>
              <w:t>35.598</w:t>
            </w:r>
          </w:p>
        </w:tc>
      </w:tr>
      <w:tr w:rsidR="002A30E5" w:rsidRPr="00843561" w14:paraId="3D8C92E4" w14:textId="18CD50F6" w:rsidTr="002A30E5">
        <w:trPr>
          <w:trHeight w:val="300"/>
          <w:jc w:val="center"/>
        </w:trPr>
        <w:tc>
          <w:tcPr>
            <w:tcW w:w="1163" w:type="dxa"/>
            <w:shd w:val="clear" w:color="auto" w:fill="C0C0C0"/>
            <w:noWrap/>
            <w:vAlign w:val="bottom"/>
          </w:tcPr>
          <w:p w14:paraId="38B0AD63" w14:textId="77777777" w:rsidR="002A30E5" w:rsidRPr="00037A46" w:rsidRDefault="002A30E5" w:rsidP="002A30E5">
            <w:pPr>
              <w:spacing w:before="0" w:after="0"/>
              <w:ind w:hanging="764"/>
              <w:jc w:val="right"/>
              <w:rPr>
                <w:b/>
                <w:bCs/>
                <w:lang w:val="en-US"/>
              </w:rPr>
            </w:pPr>
            <w:r w:rsidRPr="00037A46">
              <w:rPr>
                <w:b/>
                <w:bCs/>
                <w:lang w:val="en-US"/>
              </w:rPr>
              <w:t>6</w:t>
            </w:r>
          </w:p>
        </w:tc>
        <w:tc>
          <w:tcPr>
            <w:tcW w:w="1143" w:type="dxa"/>
            <w:vAlign w:val="bottom"/>
          </w:tcPr>
          <w:p w14:paraId="4E05D38C" w14:textId="4BB593E0" w:rsidR="002A30E5" w:rsidRPr="00843561" w:rsidRDefault="002A30E5" w:rsidP="002A30E5">
            <w:pPr>
              <w:spacing w:before="0" w:after="0"/>
              <w:ind w:left="113"/>
              <w:jc w:val="right"/>
              <w:rPr>
                <w:rFonts w:cs="Arial"/>
                <w:color w:val="000000"/>
              </w:rPr>
            </w:pPr>
            <w:r w:rsidRPr="004A6580">
              <w:rPr>
                <w:rFonts w:cs="Arial"/>
                <w:color w:val="000000"/>
              </w:rPr>
              <w:t>18.955,45</w:t>
            </w:r>
          </w:p>
        </w:tc>
        <w:tc>
          <w:tcPr>
            <w:tcW w:w="1228" w:type="dxa"/>
            <w:vAlign w:val="bottom"/>
          </w:tcPr>
          <w:p w14:paraId="6D049075" w14:textId="775126A5" w:rsidR="002A30E5" w:rsidRPr="00843561" w:rsidRDefault="002A30E5" w:rsidP="002A30E5">
            <w:pPr>
              <w:spacing w:before="0" w:after="0"/>
              <w:ind w:left="113"/>
              <w:jc w:val="right"/>
              <w:rPr>
                <w:rFonts w:cs="Arial"/>
                <w:color w:val="000000"/>
              </w:rPr>
            </w:pPr>
            <w:r w:rsidRPr="004A6580">
              <w:rPr>
                <w:rFonts w:cs="Arial"/>
                <w:color w:val="000000"/>
              </w:rPr>
              <w:t>20.077,73</w:t>
            </w:r>
          </w:p>
        </w:tc>
        <w:tc>
          <w:tcPr>
            <w:tcW w:w="1276" w:type="dxa"/>
            <w:tcBorders>
              <w:top w:val="nil"/>
              <w:left w:val="single" w:sz="4" w:space="0" w:color="auto"/>
              <w:bottom w:val="nil"/>
              <w:right w:val="single" w:sz="4" w:space="0" w:color="auto"/>
            </w:tcBorders>
            <w:vAlign w:val="bottom"/>
          </w:tcPr>
          <w:p w14:paraId="269BABF2" w14:textId="19C368E7" w:rsidR="002A30E5" w:rsidRPr="004A6580" w:rsidRDefault="002A30E5" w:rsidP="002A30E5">
            <w:pPr>
              <w:spacing w:before="0" w:after="0"/>
              <w:ind w:left="113"/>
              <w:jc w:val="right"/>
              <w:rPr>
                <w:rFonts w:cs="Arial"/>
                <w:color w:val="000000"/>
              </w:rPr>
            </w:pPr>
            <w:r w:rsidRPr="00843561">
              <w:rPr>
                <w:rFonts w:cs="Arial"/>
                <w:color w:val="000000"/>
              </w:rPr>
              <w:t>20</w:t>
            </w:r>
            <w:r>
              <w:rPr>
                <w:rFonts w:cs="Arial"/>
                <w:color w:val="000000"/>
              </w:rPr>
              <w:t>.</w:t>
            </w:r>
            <w:r w:rsidRPr="00843561">
              <w:rPr>
                <w:rFonts w:cs="Arial"/>
                <w:color w:val="000000"/>
              </w:rPr>
              <w:t>471,09</w:t>
            </w:r>
          </w:p>
        </w:tc>
        <w:tc>
          <w:tcPr>
            <w:tcW w:w="1276" w:type="dxa"/>
            <w:tcBorders>
              <w:top w:val="nil"/>
              <w:left w:val="single" w:sz="4" w:space="0" w:color="auto"/>
              <w:bottom w:val="nil"/>
              <w:right w:val="single" w:sz="4" w:space="0" w:color="auto"/>
            </w:tcBorders>
            <w:vAlign w:val="bottom"/>
          </w:tcPr>
          <w:p w14:paraId="3D2024ED" w14:textId="77777777" w:rsidR="002A30E5" w:rsidRPr="004A6580" w:rsidRDefault="002A30E5" w:rsidP="002A30E5">
            <w:pPr>
              <w:spacing w:before="0" w:after="0"/>
              <w:ind w:left="113"/>
              <w:jc w:val="right"/>
              <w:rPr>
                <w:rFonts w:cs="Arial"/>
                <w:color w:val="000000"/>
              </w:rPr>
            </w:pPr>
            <w:r w:rsidRPr="00843561">
              <w:rPr>
                <w:rFonts w:cs="Arial"/>
                <w:color w:val="000000"/>
              </w:rPr>
              <w:t>22</w:t>
            </w:r>
            <w:r>
              <w:rPr>
                <w:rFonts w:cs="Arial"/>
                <w:color w:val="000000"/>
              </w:rPr>
              <w:t>.</w:t>
            </w:r>
            <w:r w:rsidRPr="00843561">
              <w:rPr>
                <w:rFonts w:cs="Arial"/>
                <w:color w:val="000000"/>
              </w:rPr>
              <w:t>356,5</w:t>
            </w:r>
          </w:p>
        </w:tc>
        <w:tc>
          <w:tcPr>
            <w:tcW w:w="1417" w:type="dxa"/>
            <w:tcBorders>
              <w:top w:val="nil"/>
              <w:left w:val="single" w:sz="4" w:space="0" w:color="auto"/>
              <w:bottom w:val="nil"/>
              <w:right w:val="single" w:sz="4" w:space="0" w:color="auto"/>
            </w:tcBorders>
            <w:vAlign w:val="bottom"/>
          </w:tcPr>
          <w:p w14:paraId="153572EA" w14:textId="77777777" w:rsidR="002A30E5" w:rsidRPr="004A6580" w:rsidRDefault="002A30E5" w:rsidP="002A30E5">
            <w:pPr>
              <w:spacing w:before="0" w:after="0"/>
              <w:ind w:left="113"/>
              <w:jc w:val="right"/>
              <w:rPr>
                <w:rFonts w:cs="Arial"/>
                <w:color w:val="000000"/>
              </w:rPr>
            </w:pPr>
            <w:r w:rsidRPr="00843561">
              <w:rPr>
                <w:rFonts w:cs="Arial"/>
                <w:color w:val="000000"/>
              </w:rPr>
              <w:t>23</w:t>
            </w:r>
            <w:r>
              <w:rPr>
                <w:rFonts w:cs="Arial"/>
                <w:color w:val="000000"/>
              </w:rPr>
              <w:t>.</w:t>
            </w:r>
            <w:r w:rsidRPr="00843561">
              <w:rPr>
                <w:rFonts w:cs="Arial"/>
                <w:color w:val="000000"/>
              </w:rPr>
              <w:t>946,55</w:t>
            </w:r>
          </w:p>
        </w:tc>
        <w:tc>
          <w:tcPr>
            <w:tcW w:w="1276" w:type="dxa"/>
            <w:vAlign w:val="bottom"/>
          </w:tcPr>
          <w:p w14:paraId="7D63B878" w14:textId="6A000A93" w:rsidR="002A30E5" w:rsidRPr="00843561" w:rsidRDefault="002A30E5" w:rsidP="002A30E5">
            <w:pPr>
              <w:spacing w:before="0" w:after="0"/>
              <w:ind w:left="113"/>
              <w:jc w:val="right"/>
              <w:rPr>
                <w:rFonts w:cs="Arial"/>
                <w:color w:val="000000"/>
              </w:rPr>
            </w:pPr>
            <w:r w:rsidRPr="004A6580">
              <w:rPr>
                <w:rFonts w:cs="Arial"/>
                <w:color w:val="000000"/>
              </w:rPr>
              <w:t>26</w:t>
            </w:r>
            <w:r>
              <w:rPr>
                <w:rFonts w:cs="Arial"/>
                <w:color w:val="000000"/>
              </w:rPr>
              <w:t>.</w:t>
            </w:r>
            <w:r w:rsidRPr="004A6580">
              <w:rPr>
                <w:rFonts w:cs="Arial"/>
                <w:color w:val="000000"/>
              </w:rPr>
              <w:t>241,2</w:t>
            </w:r>
          </w:p>
        </w:tc>
        <w:tc>
          <w:tcPr>
            <w:tcW w:w="1417" w:type="dxa"/>
            <w:tcBorders>
              <w:top w:val="nil"/>
              <w:left w:val="single" w:sz="4" w:space="0" w:color="auto"/>
              <w:bottom w:val="nil"/>
              <w:right w:val="single" w:sz="4" w:space="0" w:color="auto"/>
            </w:tcBorders>
            <w:vAlign w:val="bottom"/>
          </w:tcPr>
          <w:p w14:paraId="3E86342E" w14:textId="2243B9F1" w:rsidR="002A30E5" w:rsidRPr="004A6580" w:rsidRDefault="002A30E5" w:rsidP="002A30E5">
            <w:pPr>
              <w:spacing w:before="0" w:after="0"/>
              <w:ind w:left="113"/>
              <w:jc w:val="right"/>
              <w:rPr>
                <w:rFonts w:cs="Arial"/>
                <w:color w:val="000000"/>
              </w:rPr>
            </w:pPr>
            <w:r w:rsidRPr="00843561">
              <w:rPr>
                <w:rFonts w:cs="Arial"/>
                <w:color w:val="000000"/>
              </w:rPr>
              <w:t>28</w:t>
            </w:r>
            <w:r>
              <w:rPr>
                <w:rFonts w:cs="Arial"/>
                <w:color w:val="000000"/>
              </w:rPr>
              <w:t>.</w:t>
            </w:r>
            <w:r w:rsidRPr="00843561">
              <w:rPr>
                <w:rFonts w:cs="Arial"/>
                <w:color w:val="000000"/>
              </w:rPr>
              <w:t>098,5</w:t>
            </w:r>
          </w:p>
        </w:tc>
        <w:tc>
          <w:tcPr>
            <w:tcW w:w="1276" w:type="dxa"/>
            <w:vAlign w:val="bottom"/>
          </w:tcPr>
          <w:p w14:paraId="1EC33DB7" w14:textId="70ADE30B" w:rsidR="002A30E5" w:rsidRPr="00843561" w:rsidRDefault="002A30E5" w:rsidP="002A30E5">
            <w:pPr>
              <w:spacing w:before="0" w:after="0"/>
              <w:ind w:left="113"/>
              <w:jc w:val="right"/>
              <w:rPr>
                <w:rFonts w:cs="Arial"/>
                <w:color w:val="000000"/>
              </w:rPr>
            </w:pPr>
            <w:r w:rsidRPr="004A6580">
              <w:rPr>
                <w:rFonts w:cs="Arial"/>
                <w:color w:val="000000"/>
              </w:rPr>
              <w:t>30</w:t>
            </w:r>
            <w:r>
              <w:rPr>
                <w:rFonts w:cs="Arial"/>
                <w:color w:val="000000"/>
              </w:rPr>
              <w:t>.</w:t>
            </w:r>
            <w:r w:rsidRPr="004A6580">
              <w:rPr>
                <w:rFonts w:cs="Arial"/>
                <w:color w:val="000000"/>
              </w:rPr>
              <w:t>879,63</w:t>
            </w:r>
          </w:p>
        </w:tc>
        <w:tc>
          <w:tcPr>
            <w:tcW w:w="1276" w:type="dxa"/>
            <w:vAlign w:val="bottom"/>
          </w:tcPr>
          <w:p w14:paraId="14E2AAA5" w14:textId="3C660281" w:rsidR="002A30E5" w:rsidRPr="00843561" w:rsidRDefault="002A30E5" w:rsidP="002A30E5">
            <w:pPr>
              <w:spacing w:before="0" w:after="0"/>
              <w:ind w:left="113"/>
              <w:jc w:val="right"/>
              <w:rPr>
                <w:rFonts w:cs="Arial"/>
                <w:color w:val="000000"/>
              </w:rPr>
            </w:pPr>
            <w:r w:rsidRPr="004A6580">
              <w:rPr>
                <w:rFonts w:cs="Arial"/>
                <w:color w:val="000000"/>
              </w:rPr>
              <w:t>33</w:t>
            </w:r>
            <w:r>
              <w:rPr>
                <w:rFonts w:cs="Arial"/>
                <w:color w:val="000000"/>
              </w:rPr>
              <w:t>.</w:t>
            </w:r>
            <w:r w:rsidRPr="004A6580">
              <w:rPr>
                <w:rFonts w:cs="Arial"/>
                <w:color w:val="000000"/>
              </w:rPr>
              <w:t>660,61</w:t>
            </w:r>
          </w:p>
        </w:tc>
        <w:tc>
          <w:tcPr>
            <w:tcW w:w="1276" w:type="dxa"/>
            <w:vAlign w:val="bottom"/>
          </w:tcPr>
          <w:p w14:paraId="2EAB9F9B" w14:textId="5A15DA98" w:rsidR="002A30E5" w:rsidRPr="004A6580" w:rsidRDefault="002A30E5" w:rsidP="002A30E5">
            <w:pPr>
              <w:spacing w:before="0" w:after="0"/>
              <w:ind w:left="113"/>
              <w:jc w:val="right"/>
              <w:rPr>
                <w:rFonts w:cs="Arial"/>
                <w:color w:val="000000"/>
              </w:rPr>
            </w:pPr>
            <w:r w:rsidRPr="002A30E5">
              <w:rPr>
                <w:rFonts w:cs="Arial"/>
                <w:color w:val="000000"/>
              </w:rPr>
              <w:t>36.441,67</w:t>
            </w:r>
          </w:p>
        </w:tc>
      </w:tr>
      <w:tr w:rsidR="002A30E5" w:rsidRPr="00843561" w14:paraId="39A0D797" w14:textId="16537ED0" w:rsidTr="002A30E5">
        <w:trPr>
          <w:trHeight w:val="300"/>
          <w:jc w:val="center"/>
        </w:trPr>
        <w:tc>
          <w:tcPr>
            <w:tcW w:w="1163" w:type="dxa"/>
            <w:shd w:val="clear" w:color="auto" w:fill="C0C0C0"/>
            <w:noWrap/>
            <w:vAlign w:val="bottom"/>
          </w:tcPr>
          <w:p w14:paraId="54EC07EC" w14:textId="77777777" w:rsidR="002A30E5" w:rsidRPr="00037A46" w:rsidRDefault="002A30E5" w:rsidP="002A30E5">
            <w:pPr>
              <w:spacing w:before="0" w:after="0"/>
              <w:ind w:hanging="764"/>
              <w:jc w:val="right"/>
              <w:rPr>
                <w:b/>
                <w:bCs/>
                <w:lang w:val="en-US"/>
              </w:rPr>
            </w:pPr>
            <w:r w:rsidRPr="00037A46">
              <w:rPr>
                <w:b/>
                <w:bCs/>
                <w:lang w:val="en-US"/>
              </w:rPr>
              <w:t>7</w:t>
            </w:r>
          </w:p>
        </w:tc>
        <w:tc>
          <w:tcPr>
            <w:tcW w:w="1143" w:type="dxa"/>
            <w:vAlign w:val="bottom"/>
          </w:tcPr>
          <w:p w14:paraId="766BE8E8" w14:textId="0FF6D584" w:rsidR="002A30E5" w:rsidRPr="00843561" w:rsidRDefault="002A30E5" w:rsidP="002A30E5">
            <w:pPr>
              <w:spacing w:before="0" w:after="0"/>
              <w:ind w:left="113"/>
              <w:jc w:val="right"/>
              <w:rPr>
                <w:rFonts w:cs="Arial"/>
                <w:color w:val="000000"/>
              </w:rPr>
            </w:pPr>
            <w:r w:rsidRPr="004A6580">
              <w:rPr>
                <w:rFonts w:cs="Arial"/>
                <w:color w:val="000000"/>
              </w:rPr>
              <w:t>19.252,24</w:t>
            </w:r>
          </w:p>
        </w:tc>
        <w:tc>
          <w:tcPr>
            <w:tcW w:w="1228" w:type="dxa"/>
            <w:vAlign w:val="bottom"/>
          </w:tcPr>
          <w:p w14:paraId="62A53CE6" w14:textId="7F448CA3" w:rsidR="002A30E5" w:rsidRPr="00843561" w:rsidRDefault="002A30E5" w:rsidP="002A30E5">
            <w:pPr>
              <w:spacing w:before="0" w:after="0"/>
              <w:ind w:left="113"/>
              <w:jc w:val="right"/>
              <w:rPr>
                <w:rFonts w:cs="Arial"/>
                <w:color w:val="000000"/>
              </w:rPr>
            </w:pPr>
            <w:r w:rsidRPr="004A6580">
              <w:rPr>
                <w:rFonts w:cs="Arial"/>
                <w:color w:val="000000"/>
              </w:rPr>
              <w:t>20.455,01</w:t>
            </w:r>
          </w:p>
        </w:tc>
        <w:tc>
          <w:tcPr>
            <w:tcW w:w="1276" w:type="dxa"/>
            <w:tcBorders>
              <w:top w:val="nil"/>
              <w:left w:val="single" w:sz="4" w:space="0" w:color="auto"/>
              <w:bottom w:val="nil"/>
              <w:right w:val="single" w:sz="4" w:space="0" w:color="auto"/>
            </w:tcBorders>
            <w:vAlign w:val="bottom"/>
          </w:tcPr>
          <w:p w14:paraId="627EE38A" w14:textId="39DC6438" w:rsidR="002A30E5" w:rsidRPr="004A6580" w:rsidRDefault="002A30E5" w:rsidP="002A30E5">
            <w:pPr>
              <w:spacing w:before="0" w:after="0"/>
              <w:ind w:left="113"/>
              <w:jc w:val="right"/>
              <w:rPr>
                <w:rFonts w:cs="Arial"/>
                <w:color w:val="000000"/>
              </w:rPr>
            </w:pPr>
            <w:r w:rsidRPr="00843561">
              <w:rPr>
                <w:rFonts w:cs="Arial"/>
                <w:color w:val="000000"/>
              </w:rPr>
              <w:t>20</w:t>
            </w:r>
            <w:r>
              <w:rPr>
                <w:rFonts w:cs="Arial"/>
                <w:color w:val="000000"/>
              </w:rPr>
              <w:t>.</w:t>
            </w:r>
            <w:r w:rsidRPr="00843561">
              <w:rPr>
                <w:rFonts w:cs="Arial"/>
                <w:color w:val="000000"/>
              </w:rPr>
              <w:t>907,08</w:t>
            </w:r>
          </w:p>
        </w:tc>
        <w:tc>
          <w:tcPr>
            <w:tcW w:w="1276" w:type="dxa"/>
            <w:tcBorders>
              <w:top w:val="nil"/>
              <w:left w:val="single" w:sz="4" w:space="0" w:color="auto"/>
              <w:bottom w:val="nil"/>
              <w:right w:val="single" w:sz="4" w:space="0" w:color="auto"/>
            </w:tcBorders>
            <w:vAlign w:val="bottom"/>
          </w:tcPr>
          <w:p w14:paraId="38EC0258" w14:textId="77777777" w:rsidR="002A30E5" w:rsidRPr="004A6580" w:rsidRDefault="002A30E5" w:rsidP="002A30E5">
            <w:pPr>
              <w:spacing w:before="0" w:after="0"/>
              <w:ind w:left="113"/>
              <w:jc w:val="right"/>
              <w:rPr>
                <w:rFonts w:cs="Arial"/>
                <w:color w:val="000000"/>
              </w:rPr>
            </w:pPr>
            <w:r w:rsidRPr="00843561">
              <w:rPr>
                <w:rFonts w:cs="Arial"/>
                <w:color w:val="000000"/>
              </w:rPr>
              <w:t>22</w:t>
            </w:r>
            <w:r>
              <w:rPr>
                <w:rFonts w:cs="Arial"/>
                <w:color w:val="000000"/>
              </w:rPr>
              <w:t>.</w:t>
            </w:r>
            <w:r w:rsidRPr="00843561">
              <w:rPr>
                <w:rFonts w:cs="Arial"/>
                <w:color w:val="000000"/>
              </w:rPr>
              <w:t>860,61</w:t>
            </w:r>
          </w:p>
        </w:tc>
        <w:tc>
          <w:tcPr>
            <w:tcW w:w="1417" w:type="dxa"/>
            <w:tcBorders>
              <w:top w:val="nil"/>
              <w:left w:val="single" w:sz="4" w:space="0" w:color="auto"/>
              <w:bottom w:val="nil"/>
              <w:right w:val="single" w:sz="4" w:space="0" w:color="auto"/>
            </w:tcBorders>
            <w:vAlign w:val="bottom"/>
          </w:tcPr>
          <w:p w14:paraId="5122C24F" w14:textId="77777777" w:rsidR="002A30E5" w:rsidRPr="004A6580" w:rsidRDefault="002A30E5" w:rsidP="002A30E5">
            <w:pPr>
              <w:spacing w:before="0" w:after="0"/>
              <w:ind w:left="113"/>
              <w:jc w:val="right"/>
              <w:rPr>
                <w:rFonts w:cs="Arial"/>
                <w:color w:val="000000"/>
              </w:rPr>
            </w:pPr>
            <w:r w:rsidRPr="00843561">
              <w:rPr>
                <w:rFonts w:cs="Arial"/>
                <w:color w:val="000000"/>
              </w:rPr>
              <w:t>24</w:t>
            </w:r>
            <w:r>
              <w:rPr>
                <w:rFonts w:cs="Arial"/>
                <w:color w:val="000000"/>
              </w:rPr>
              <w:t>.</w:t>
            </w:r>
            <w:r w:rsidRPr="00843561">
              <w:rPr>
                <w:rFonts w:cs="Arial"/>
                <w:color w:val="000000"/>
              </w:rPr>
              <w:t>486,47</w:t>
            </w:r>
          </w:p>
        </w:tc>
        <w:tc>
          <w:tcPr>
            <w:tcW w:w="1276" w:type="dxa"/>
            <w:vAlign w:val="bottom"/>
          </w:tcPr>
          <w:p w14:paraId="6596301A" w14:textId="1EA29693" w:rsidR="002A30E5" w:rsidRPr="00843561" w:rsidRDefault="002A30E5" w:rsidP="002A30E5">
            <w:pPr>
              <w:spacing w:before="0" w:after="0"/>
              <w:ind w:left="113"/>
              <w:jc w:val="right"/>
              <w:rPr>
                <w:rFonts w:cs="Arial"/>
                <w:color w:val="000000"/>
              </w:rPr>
            </w:pPr>
            <w:r w:rsidRPr="004A6580">
              <w:rPr>
                <w:rFonts w:cs="Arial"/>
                <w:color w:val="000000"/>
              </w:rPr>
              <w:t>26</w:t>
            </w:r>
            <w:r>
              <w:rPr>
                <w:rFonts w:cs="Arial"/>
                <w:color w:val="000000"/>
              </w:rPr>
              <w:t>.</w:t>
            </w:r>
            <w:r w:rsidRPr="004A6580">
              <w:rPr>
                <w:rFonts w:cs="Arial"/>
                <w:color w:val="000000"/>
              </w:rPr>
              <w:t>849,37</w:t>
            </w:r>
          </w:p>
        </w:tc>
        <w:tc>
          <w:tcPr>
            <w:tcW w:w="1417" w:type="dxa"/>
            <w:tcBorders>
              <w:top w:val="nil"/>
              <w:left w:val="single" w:sz="4" w:space="0" w:color="auto"/>
              <w:bottom w:val="nil"/>
              <w:right w:val="single" w:sz="4" w:space="0" w:color="auto"/>
            </w:tcBorders>
            <w:vAlign w:val="bottom"/>
          </w:tcPr>
          <w:p w14:paraId="3D853075" w14:textId="2C739F78" w:rsidR="002A30E5" w:rsidRPr="004A6580" w:rsidRDefault="002A30E5" w:rsidP="002A30E5">
            <w:pPr>
              <w:spacing w:before="0" w:after="0"/>
              <w:ind w:left="113"/>
              <w:jc w:val="right"/>
              <w:rPr>
                <w:rFonts w:cs="Arial"/>
                <w:color w:val="000000"/>
              </w:rPr>
            </w:pPr>
            <w:r w:rsidRPr="00843561">
              <w:rPr>
                <w:rFonts w:cs="Arial"/>
                <w:color w:val="000000"/>
              </w:rPr>
              <w:t>28</w:t>
            </w:r>
            <w:r>
              <w:rPr>
                <w:rFonts w:cs="Arial"/>
                <w:color w:val="000000"/>
              </w:rPr>
              <w:t>.</w:t>
            </w:r>
            <w:r w:rsidRPr="00843561">
              <w:rPr>
                <w:rFonts w:cs="Arial"/>
                <w:color w:val="000000"/>
              </w:rPr>
              <w:t>714,52</w:t>
            </w:r>
          </w:p>
        </w:tc>
        <w:tc>
          <w:tcPr>
            <w:tcW w:w="1276" w:type="dxa"/>
            <w:vAlign w:val="bottom"/>
          </w:tcPr>
          <w:p w14:paraId="3E563249" w14:textId="5271BEB4" w:rsidR="002A30E5" w:rsidRPr="00843561" w:rsidRDefault="002A30E5" w:rsidP="002A30E5">
            <w:pPr>
              <w:spacing w:before="0" w:after="0"/>
              <w:ind w:left="113"/>
              <w:jc w:val="right"/>
              <w:rPr>
                <w:rFonts w:cs="Arial"/>
                <w:color w:val="000000"/>
              </w:rPr>
            </w:pPr>
            <w:r w:rsidRPr="004A6580">
              <w:rPr>
                <w:rFonts w:cs="Arial"/>
                <w:color w:val="000000"/>
              </w:rPr>
              <w:t>31</w:t>
            </w:r>
            <w:r>
              <w:rPr>
                <w:rFonts w:cs="Arial"/>
                <w:color w:val="000000"/>
              </w:rPr>
              <w:t>.</w:t>
            </w:r>
            <w:r w:rsidRPr="004A6580">
              <w:rPr>
                <w:rFonts w:cs="Arial"/>
                <w:color w:val="000000"/>
              </w:rPr>
              <w:t>556,53</w:t>
            </w:r>
          </w:p>
        </w:tc>
        <w:tc>
          <w:tcPr>
            <w:tcW w:w="1276" w:type="dxa"/>
            <w:vAlign w:val="bottom"/>
          </w:tcPr>
          <w:p w14:paraId="1CB58702" w14:textId="307ADA51" w:rsidR="002A30E5" w:rsidRPr="00843561" w:rsidRDefault="002A30E5" w:rsidP="002A30E5">
            <w:pPr>
              <w:spacing w:before="0" w:after="0"/>
              <w:ind w:left="113"/>
              <w:jc w:val="right"/>
              <w:rPr>
                <w:rFonts w:cs="Arial"/>
                <w:color w:val="000000"/>
              </w:rPr>
            </w:pPr>
            <w:r w:rsidRPr="004A6580">
              <w:rPr>
                <w:rFonts w:cs="Arial"/>
                <w:color w:val="000000"/>
              </w:rPr>
              <w:t>34</w:t>
            </w:r>
            <w:r>
              <w:rPr>
                <w:rFonts w:cs="Arial"/>
                <w:color w:val="000000"/>
              </w:rPr>
              <w:t>.</w:t>
            </w:r>
            <w:r w:rsidRPr="004A6580">
              <w:rPr>
                <w:rFonts w:cs="Arial"/>
                <w:color w:val="000000"/>
              </w:rPr>
              <w:t>398,6</w:t>
            </w:r>
          </w:p>
        </w:tc>
        <w:tc>
          <w:tcPr>
            <w:tcW w:w="1276" w:type="dxa"/>
            <w:vAlign w:val="bottom"/>
          </w:tcPr>
          <w:p w14:paraId="47D0A8F3" w14:textId="136FE245" w:rsidR="002A30E5" w:rsidRPr="004A6580" w:rsidRDefault="002A30E5" w:rsidP="002A30E5">
            <w:pPr>
              <w:spacing w:before="0" w:after="0"/>
              <w:ind w:left="113"/>
              <w:jc w:val="right"/>
              <w:rPr>
                <w:rFonts w:cs="Arial"/>
                <w:color w:val="000000"/>
              </w:rPr>
            </w:pPr>
            <w:r w:rsidRPr="002A30E5">
              <w:rPr>
                <w:rFonts w:cs="Arial"/>
                <w:color w:val="000000"/>
              </w:rPr>
              <w:t>37.240,61</w:t>
            </w:r>
          </w:p>
        </w:tc>
      </w:tr>
      <w:tr w:rsidR="002A30E5" w:rsidRPr="00843561" w14:paraId="2BBC8C10" w14:textId="2E161AFE" w:rsidTr="002A30E5">
        <w:trPr>
          <w:trHeight w:val="300"/>
          <w:jc w:val="center"/>
        </w:trPr>
        <w:tc>
          <w:tcPr>
            <w:tcW w:w="1163" w:type="dxa"/>
            <w:shd w:val="clear" w:color="auto" w:fill="C0C0C0"/>
            <w:noWrap/>
            <w:vAlign w:val="bottom"/>
          </w:tcPr>
          <w:p w14:paraId="6A7B8296" w14:textId="77777777" w:rsidR="002A30E5" w:rsidRPr="00037A46" w:rsidRDefault="002A30E5" w:rsidP="002A30E5">
            <w:pPr>
              <w:spacing w:before="0" w:after="0"/>
              <w:ind w:hanging="764"/>
              <w:jc w:val="right"/>
              <w:rPr>
                <w:b/>
                <w:bCs/>
                <w:lang w:val="en-US"/>
              </w:rPr>
            </w:pPr>
            <w:r w:rsidRPr="00037A46">
              <w:rPr>
                <w:b/>
                <w:bCs/>
                <w:lang w:val="en-US"/>
              </w:rPr>
              <w:t>8</w:t>
            </w:r>
          </w:p>
        </w:tc>
        <w:tc>
          <w:tcPr>
            <w:tcW w:w="1143" w:type="dxa"/>
            <w:vAlign w:val="bottom"/>
          </w:tcPr>
          <w:p w14:paraId="4D4E1CEB" w14:textId="0B69D3F7" w:rsidR="002A30E5" w:rsidRPr="00843561" w:rsidRDefault="002A30E5" w:rsidP="002A30E5">
            <w:pPr>
              <w:spacing w:before="0" w:after="0"/>
              <w:ind w:left="113"/>
              <w:jc w:val="right"/>
              <w:rPr>
                <w:rFonts w:cs="Arial"/>
                <w:color w:val="000000"/>
              </w:rPr>
            </w:pPr>
            <w:r w:rsidRPr="004A6580">
              <w:rPr>
                <w:rFonts w:cs="Arial"/>
                <w:color w:val="000000"/>
              </w:rPr>
              <w:t>19.531,12</w:t>
            </w:r>
          </w:p>
        </w:tc>
        <w:tc>
          <w:tcPr>
            <w:tcW w:w="1228" w:type="dxa"/>
            <w:vAlign w:val="bottom"/>
          </w:tcPr>
          <w:p w14:paraId="37FB4A9D" w14:textId="03D43D6F" w:rsidR="002A30E5" w:rsidRPr="00843561" w:rsidRDefault="002A30E5" w:rsidP="002A30E5">
            <w:pPr>
              <w:spacing w:before="0" w:after="0"/>
              <w:ind w:left="113"/>
              <w:jc w:val="right"/>
              <w:rPr>
                <w:rFonts w:cs="Arial"/>
                <w:color w:val="000000"/>
              </w:rPr>
            </w:pPr>
            <w:r w:rsidRPr="004A6580">
              <w:rPr>
                <w:rFonts w:cs="Arial"/>
                <w:color w:val="000000"/>
              </w:rPr>
              <w:t>20.810,59</w:t>
            </w:r>
          </w:p>
        </w:tc>
        <w:tc>
          <w:tcPr>
            <w:tcW w:w="1276" w:type="dxa"/>
            <w:tcBorders>
              <w:top w:val="nil"/>
              <w:left w:val="single" w:sz="4" w:space="0" w:color="auto"/>
              <w:bottom w:val="nil"/>
              <w:right w:val="single" w:sz="4" w:space="0" w:color="auto"/>
            </w:tcBorders>
            <w:vAlign w:val="bottom"/>
          </w:tcPr>
          <w:p w14:paraId="6532E82F" w14:textId="0D9F3FE0" w:rsidR="002A30E5" w:rsidRPr="004A6580" w:rsidRDefault="002A30E5" w:rsidP="002A30E5">
            <w:pPr>
              <w:spacing w:before="0" w:after="0"/>
              <w:ind w:left="113"/>
              <w:jc w:val="right"/>
              <w:rPr>
                <w:rFonts w:cs="Arial"/>
                <w:color w:val="000000"/>
              </w:rPr>
            </w:pPr>
            <w:r w:rsidRPr="00843561">
              <w:rPr>
                <w:rFonts w:cs="Arial"/>
                <w:color w:val="000000"/>
              </w:rPr>
              <w:t>21</w:t>
            </w:r>
            <w:r>
              <w:rPr>
                <w:rFonts w:cs="Arial"/>
                <w:color w:val="000000"/>
              </w:rPr>
              <w:t>.</w:t>
            </w:r>
            <w:r w:rsidRPr="00843561">
              <w:rPr>
                <w:rFonts w:cs="Arial"/>
                <w:color w:val="000000"/>
              </w:rPr>
              <w:t>318,89</w:t>
            </w:r>
          </w:p>
        </w:tc>
        <w:tc>
          <w:tcPr>
            <w:tcW w:w="1276" w:type="dxa"/>
            <w:tcBorders>
              <w:top w:val="nil"/>
              <w:left w:val="single" w:sz="4" w:space="0" w:color="auto"/>
              <w:bottom w:val="nil"/>
              <w:right w:val="single" w:sz="4" w:space="0" w:color="auto"/>
            </w:tcBorders>
            <w:vAlign w:val="bottom"/>
          </w:tcPr>
          <w:p w14:paraId="6D0232D5" w14:textId="77777777" w:rsidR="002A30E5" w:rsidRPr="004A6580" w:rsidRDefault="002A30E5" w:rsidP="002A30E5">
            <w:pPr>
              <w:spacing w:before="0" w:after="0"/>
              <w:ind w:left="113"/>
              <w:jc w:val="right"/>
              <w:rPr>
                <w:rFonts w:cs="Arial"/>
                <w:color w:val="000000"/>
              </w:rPr>
            </w:pPr>
            <w:r w:rsidRPr="00843561">
              <w:rPr>
                <w:rFonts w:cs="Arial"/>
                <w:color w:val="000000"/>
              </w:rPr>
              <w:t>23</w:t>
            </w:r>
            <w:r>
              <w:rPr>
                <w:rFonts w:cs="Arial"/>
                <w:color w:val="000000"/>
              </w:rPr>
              <w:t>.</w:t>
            </w:r>
            <w:r w:rsidRPr="00843561">
              <w:rPr>
                <w:rFonts w:cs="Arial"/>
                <w:color w:val="000000"/>
              </w:rPr>
              <w:t>337,49</w:t>
            </w:r>
          </w:p>
        </w:tc>
        <w:tc>
          <w:tcPr>
            <w:tcW w:w="1417" w:type="dxa"/>
            <w:tcBorders>
              <w:top w:val="nil"/>
              <w:left w:val="single" w:sz="4" w:space="0" w:color="auto"/>
              <w:bottom w:val="nil"/>
              <w:right w:val="single" w:sz="4" w:space="0" w:color="auto"/>
            </w:tcBorders>
            <w:vAlign w:val="bottom"/>
          </w:tcPr>
          <w:p w14:paraId="0864F477" w14:textId="77777777" w:rsidR="002A30E5" w:rsidRPr="004A6580" w:rsidRDefault="002A30E5" w:rsidP="002A30E5">
            <w:pPr>
              <w:spacing w:before="0" w:after="0"/>
              <w:ind w:left="113"/>
              <w:jc w:val="right"/>
              <w:rPr>
                <w:rFonts w:cs="Arial"/>
                <w:color w:val="000000"/>
              </w:rPr>
            </w:pPr>
            <w:r w:rsidRPr="00843561">
              <w:rPr>
                <w:rFonts w:cs="Arial"/>
                <w:color w:val="000000"/>
              </w:rPr>
              <w:t>24</w:t>
            </w:r>
            <w:r>
              <w:rPr>
                <w:rFonts w:cs="Arial"/>
                <w:color w:val="000000"/>
              </w:rPr>
              <w:t>.</w:t>
            </w:r>
            <w:r w:rsidRPr="00843561">
              <w:rPr>
                <w:rFonts w:cs="Arial"/>
                <w:color w:val="000000"/>
              </w:rPr>
              <w:t>997,27</w:t>
            </w:r>
          </w:p>
        </w:tc>
        <w:tc>
          <w:tcPr>
            <w:tcW w:w="1276" w:type="dxa"/>
            <w:vAlign w:val="bottom"/>
          </w:tcPr>
          <w:p w14:paraId="6183CDF3" w14:textId="5E7751D4" w:rsidR="002A30E5" w:rsidRPr="00843561" w:rsidRDefault="002A30E5" w:rsidP="002A30E5">
            <w:pPr>
              <w:spacing w:before="0" w:after="0"/>
              <w:ind w:left="113"/>
              <w:jc w:val="right"/>
              <w:rPr>
                <w:rFonts w:cs="Arial"/>
                <w:color w:val="000000"/>
              </w:rPr>
            </w:pPr>
            <w:r w:rsidRPr="004A6580">
              <w:rPr>
                <w:rFonts w:cs="Arial"/>
                <w:color w:val="000000"/>
              </w:rPr>
              <w:t>27</w:t>
            </w:r>
            <w:r>
              <w:rPr>
                <w:rFonts w:cs="Arial"/>
                <w:color w:val="000000"/>
              </w:rPr>
              <w:t>.</w:t>
            </w:r>
            <w:r w:rsidRPr="004A6580">
              <w:rPr>
                <w:rFonts w:cs="Arial"/>
                <w:color w:val="000000"/>
              </w:rPr>
              <w:t>424,98</w:t>
            </w:r>
          </w:p>
        </w:tc>
        <w:tc>
          <w:tcPr>
            <w:tcW w:w="1417" w:type="dxa"/>
            <w:tcBorders>
              <w:top w:val="nil"/>
              <w:left w:val="single" w:sz="4" w:space="0" w:color="auto"/>
              <w:bottom w:val="nil"/>
              <w:right w:val="single" w:sz="4" w:space="0" w:color="auto"/>
            </w:tcBorders>
            <w:vAlign w:val="bottom"/>
          </w:tcPr>
          <w:p w14:paraId="2403400A" w14:textId="6C1137E4" w:rsidR="002A30E5" w:rsidRPr="004A6580" w:rsidRDefault="002A30E5" w:rsidP="002A30E5">
            <w:pPr>
              <w:spacing w:before="0" w:after="0"/>
              <w:ind w:left="113"/>
              <w:jc w:val="right"/>
              <w:rPr>
                <w:rFonts w:cs="Arial"/>
                <w:color w:val="000000"/>
              </w:rPr>
            </w:pPr>
            <w:r w:rsidRPr="00843561">
              <w:rPr>
                <w:rFonts w:cs="Arial"/>
                <w:color w:val="000000"/>
              </w:rPr>
              <w:t>29</w:t>
            </w:r>
            <w:r>
              <w:rPr>
                <w:rFonts w:cs="Arial"/>
                <w:color w:val="000000"/>
              </w:rPr>
              <w:t>.</w:t>
            </w:r>
            <w:r w:rsidRPr="00843561">
              <w:rPr>
                <w:rFonts w:cs="Arial"/>
                <w:color w:val="000000"/>
              </w:rPr>
              <w:t>296,88</w:t>
            </w:r>
          </w:p>
        </w:tc>
        <w:tc>
          <w:tcPr>
            <w:tcW w:w="1276" w:type="dxa"/>
            <w:vAlign w:val="bottom"/>
          </w:tcPr>
          <w:p w14:paraId="5BD9B009" w14:textId="61B0B08B" w:rsidR="002A30E5" w:rsidRPr="00843561" w:rsidRDefault="002A30E5" w:rsidP="002A30E5">
            <w:pPr>
              <w:spacing w:before="0" w:after="0"/>
              <w:ind w:left="113"/>
              <w:jc w:val="right"/>
              <w:rPr>
                <w:rFonts w:cs="Arial"/>
                <w:color w:val="000000"/>
              </w:rPr>
            </w:pPr>
            <w:r w:rsidRPr="004A6580">
              <w:rPr>
                <w:rFonts w:cs="Arial"/>
                <w:color w:val="000000"/>
              </w:rPr>
              <w:t>32</w:t>
            </w:r>
            <w:r>
              <w:rPr>
                <w:rFonts w:cs="Arial"/>
                <w:color w:val="000000"/>
              </w:rPr>
              <w:t>.</w:t>
            </w:r>
            <w:r w:rsidRPr="004A6580">
              <w:rPr>
                <w:rFonts w:cs="Arial"/>
                <w:color w:val="000000"/>
              </w:rPr>
              <w:t>196,46</w:t>
            </w:r>
          </w:p>
        </w:tc>
        <w:tc>
          <w:tcPr>
            <w:tcW w:w="1276" w:type="dxa"/>
            <w:vAlign w:val="bottom"/>
          </w:tcPr>
          <w:p w14:paraId="24DD1D1E" w14:textId="74162BE4" w:rsidR="002A30E5" w:rsidRPr="00843561" w:rsidRDefault="002A30E5" w:rsidP="002A30E5">
            <w:pPr>
              <w:spacing w:before="0" w:after="0"/>
              <w:ind w:left="113"/>
              <w:jc w:val="right"/>
              <w:rPr>
                <w:rFonts w:cs="Arial"/>
                <w:color w:val="000000"/>
              </w:rPr>
            </w:pPr>
            <w:r w:rsidRPr="004A6580">
              <w:rPr>
                <w:rFonts w:cs="Arial"/>
                <w:color w:val="000000"/>
              </w:rPr>
              <w:t>35</w:t>
            </w:r>
            <w:r>
              <w:rPr>
                <w:rFonts w:cs="Arial"/>
                <w:color w:val="000000"/>
              </w:rPr>
              <w:t>.</w:t>
            </w:r>
            <w:r w:rsidRPr="004A6580">
              <w:rPr>
                <w:rFonts w:cs="Arial"/>
                <w:color w:val="000000"/>
              </w:rPr>
              <w:t>096,18</w:t>
            </w:r>
          </w:p>
        </w:tc>
        <w:tc>
          <w:tcPr>
            <w:tcW w:w="1276" w:type="dxa"/>
            <w:vAlign w:val="bottom"/>
          </w:tcPr>
          <w:p w14:paraId="15D36B14" w14:textId="5B20AC0E" w:rsidR="002A30E5" w:rsidRPr="004A6580" w:rsidRDefault="002A30E5" w:rsidP="002A30E5">
            <w:pPr>
              <w:spacing w:before="0" w:after="0"/>
              <w:ind w:left="113"/>
              <w:jc w:val="right"/>
              <w:rPr>
                <w:rFonts w:cs="Arial"/>
                <w:color w:val="000000"/>
              </w:rPr>
            </w:pPr>
            <w:r w:rsidRPr="002A30E5">
              <w:rPr>
                <w:rFonts w:cs="Arial"/>
                <w:color w:val="000000"/>
              </w:rPr>
              <w:t>37.995,9</w:t>
            </w:r>
          </w:p>
        </w:tc>
      </w:tr>
      <w:tr w:rsidR="002A30E5" w:rsidRPr="00843561" w14:paraId="0F8194A7" w14:textId="6E01826F" w:rsidTr="002A30E5">
        <w:trPr>
          <w:trHeight w:val="300"/>
          <w:jc w:val="center"/>
        </w:trPr>
        <w:tc>
          <w:tcPr>
            <w:tcW w:w="1163" w:type="dxa"/>
            <w:shd w:val="clear" w:color="auto" w:fill="C0C0C0"/>
            <w:noWrap/>
            <w:vAlign w:val="bottom"/>
          </w:tcPr>
          <w:p w14:paraId="7B55FFC6" w14:textId="77777777" w:rsidR="002A30E5" w:rsidRPr="00037A46" w:rsidRDefault="002A30E5" w:rsidP="002A30E5">
            <w:pPr>
              <w:spacing w:before="0" w:after="0"/>
              <w:ind w:hanging="764"/>
              <w:jc w:val="right"/>
              <w:rPr>
                <w:b/>
                <w:bCs/>
                <w:lang w:val="en-US"/>
              </w:rPr>
            </w:pPr>
            <w:r w:rsidRPr="00037A46">
              <w:rPr>
                <w:b/>
                <w:bCs/>
                <w:lang w:val="en-US"/>
              </w:rPr>
              <w:t>9</w:t>
            </w:r>
          </w:p>
        </w:tc>
        <w:tc>
          <w:tcPr>
            <w:tcW w:w="1143" w:type="dxa"/>
            <w:vAlign w:val="bottom"/>
          </w:tcPr>
          <w:p w14:paraId="5E507AF4" w14:textId="256F12D7" w:rsidR="002A30E5" w:rsidRPr="00843561" w:rsidRDefault="002A30E5" w:rsidP="002A30E5">
            <w:pPr>
              <w:spacing w:before="0" w:after="0"/>
              <w:ind w:left="113"/>
              <w:jc w:val="right"/>
              <w:rPr>
                <w:rFonts w:cs="Arial"/>
                <w:color w:val="000000"/>
              </w:rPr>
            </w:pPr>
            <w:r w:rsidRPr="004A6580">
              <w:rPr>
                <w:rFonts w:cs="Arial"/>
                <w:color w:val="000000"/>
              </w:rPr>
              <w:t>19.792,9</w:t>
            </w:r>
          </w:p>
        </w:tc>
        <w:tc>
          <w:tcPr>
            <w:tcW w:w="1228" w:type="dxa"/>
            <w:vAlign w:val="bottom"/>
          </w:tcPr>
          <w:p w14:paraId="0A3603D9" w14:textId="00457450" w:rsidR="002A30E5" w:rsidRPr="00843561" w:rsidRDefault="002A30E5" w:rsidP="002A30E5">
            <w:pPr>
              <w:spacing w:before="0" w:after="0"/>
              <w:ind w:left="113"/>
              <w:jc w:val="right"/>
              <w:rPr>
                <w:rFonts w:cs="Arial"/>
                <w:color w:val="000000"/>
              </w:rPr>
            </w:pPr>
            <w:r w:rsidRPr="004A6580">
              <w:rPr>
                <w:rFonts w:cs="Arial"/>
                <w:color w:val="000000"/>
              </w:rPr>
              <w:t>21.145,22</w:t>
            </w:r>
          </w:p>
        </w:tc>
        <w:tc>
          <w:tcPr>
            <w:tcW w:w="1276" w:type="dxa"/>
            <w:tcBorders>
              <w:top w:val="nil"/>
              <w:left w:val="single" w:sz="4" w:space="0" w:color="auto"/>
              <w:bottom w:val="nil"/>
              <w:right w:val="single" w:sz="4" w:space="0" w:color="auto"/>
            </w:tcBorders>
            <w:vAlign w:val="bottom"/>
          </w:tcPr>
          <w:p w14:paraId="1EBC3637" w14:textId="202EE98D" w:rsidR="002A30E5" w:rsidRPr="004A6580" w:rsidRDefault="002A30E5" w:rsidP="002A30E5">
            <w:pPr>
              <w:spacing w:before="0" w:after="0"/>
              <w:ind w:left="113"/>
              <w:jc w:val="right"/>
              <w:rPr>
                <w:rFonts w:cs="Arial"/>
                <w:color w:val="000000"/>
              </w:rPr>
            </w:pPr>
            <w:r w:rsidRPr="00843561">
              <w:rPr>
                <w:rFonts w:cs="Arial"/>
                <w:color w:val="000000"/>
              </w:rPr>
              <w:t>21</w:t>
            </w:r>
            <w:r>
              <w:rPr>
                <w:rFonts w:cs="Arial"/>
                <w:color w:val="000000"/>
              </w:rPr>
              <w:t>.</w:t>
            </w:r>
            <w:r w:rsidRPr="00843561">
              <w:rPr>
                <w:rFonts w:cs="Arial"/>
                <w:color w:val="000000"/>
              </w:rPr>
              <w:t>707,44</w:t>
            </w:r>
          </w:p>
        </w:tc>
        <w:tc>
          <w:tcPr>
            <w:tcW w:w="1276" w:type="dxa"/>
            <w:tcBorders>
              <w:top w:val="nil"/>
              <w:left w:val="single" w:sz="4" w:space="0" w:color="auto"/>
              <w:bottom w:val="nil"/>
              <w:right w:val="single" w:sz="4" w:space="0" w:color="auto"/>
            </w:tcBorders>
            <w:vAlign w:val="bottom"/>
          </w:tcPr>
          <w:p w14:paraId="35789CA5" w14:textId="77777777" w:rsidR="002A30E5" w:rsidRPr="004A6580" w:rsidRDefault="002A30E5" w:rsidP="002A30E5">
            <w:pPr>
              <w:spacing w:before="0" w:after="0"/>
              <w:ind w:left="113"/>
              <w:jc w:val="right"/>
              <w:rPr>
                <w:rFonts w:cs="Arial"/>
                <w:color w:val="000000"/>
              </w:rPr>
            </w:pPr>
            <w:r w:rsidRPr="00843561">
              <w:rPr>
                <w:rFonts w:cs="Arial"/>
                <w:color w:val="000000"/>
              </w:rPr>
              <w:t>23</w:t>
            </w:r>
            <w:r>
              <w:rPr>
                <w:rFonts w:cs="Arial"/>
                <w:color w:val="000000"/>
              </w:rPr>
              <w:t>.</w:t>
            </w:r>
            <w:r w:rsidRPr="00843561">
              <w:rPr>
                <w:rFonts w:cs="Arial"/>
                <w:color w:val="000000"/>
              </w:rPr>
              <w:t>787,75</w:t>
            </w:r>
          </w:p>
        </w:tc>
        <w:tc>
          <w:tcPr>
            <w:tcW w:w="1417" w:type="dxa"/>
            <w:tcBorders>
              <w:top w:val="nil"/>
              <w:left w:val="single" w:sz="4" w:space="0" w:color="auto"/>
              <w:bottom w:val="nil"/>
              <w:right w:val="single" w:sz="4" w:space="0" w:color="auto"/>
            </w:tcBorders>
            <w:vAlign w:val="bottom"/>
          </w:tcPr>
          <w:p w14:paraId="6F1E3669" w14:textId="77777777"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479,56</w:t>
            </w:r>
          </w:p>
        </w:tc>
        <w:tc>
          <w:tcPr>
            <w:tcW w:w="1276" w:type="dxa"/>
            <w:vAlign w:val="bottom"/>
          </w:tcPr>
          <w:p w14:paraId="1DBBBB62" w14:textId="228B1659" w:rsidR="002A30E5" w:rsidRPr="00843561" w:rsidRDefault="002A30E5" w:rsidP="002A30E5">
            <w:pPr>
              <w:spacing w:before="0" w:after="0"/>
              <w:ind w:left="113"/>
              <w:jc w:val="right"/>
              <w:rPr>
                <w:rFonts w:cs="Arial"/>
                <w:color w:val="000000"/>
              </w:rPr>
            </w:pPr>
            <w:r w:rsidRPr="004A6580">
              <w:rPr>
                <w:rFonts w:cs="Arial"/>
                <w:color w:val="000000"/>
              </w:rPr>
              <w:t>27</w:t>
            </w:r>
            <w:r>
              <w:rPr>
                <w:rFonts w:cs="Arial"/>
                <w:color w:val="000000"/>
              </w:rPr>
              <w:t>.</w:t>
            </w:r>
            <w:r w:rsidRPr="004A6580">
              <w:rPr>
                <w:rFonts w:cs="Arial"/>
                <w:color w:val="000000"/>
              </w:rPr>
              <w:t>968,83</w:t>
            </w:r>
          </w:p>
        </w:tc>
        <w:tc>
          <w:tcPr>
            <w:tcW w:w="1417" w:type="dxa"/>
            <w:tcBorders>
              <w:top w:val="nil"/>
              <w:left w:val="single" w:sz="4" w:space="0" w:color="auto"/>
              <w:bottom w:val="nil"/>
              <w:right w:val="single" w:sz="4" w:space="0" w:color="auto"/>
            </w:tcBorders>
            <w:vAlign w:val="bottom"/>
          </w:tcPr>
          <w:p w14:paraId="751A5D7E" w14:textId="12F41B31" w:rsidR="002A30E5" w:rsidRPr="004A6580" w:rsidRDefault="002A30E5" w:rsidP="002A30E5">
            <w:pPr>
              <w:spacing w:before="0" w:after="0"/>
              <w:ind w:left="113"/>
              <w:jc w:val="right"/>
              <w:rPr>
                <w:rFonts w:cs="Arial"/>
                <w:color w:val="000000"/>
              </w:rPr>
            </w:pPr>
            <w:r w:rsidRPr="00843561">
              <w:rPr>
                <w:rFonts w:cs="Arial"/>
                <w:color w:val="000000"/>
              </w:rPr>
              <w:t>29</w:t>
            </w:r>
            <w:r>
              <w:rPr>
                <w:rFonts w:cs="Arial"/>
                <w:color w:val="000000"/>
              </w:rPr>
              <w:t>.</w:t>
            </w:r>
            <w:r w:rsidRPr="00843561">
              <w:rPr>
                <w:rFonts w:cs="Arial"/>
                <w:color w:val="000000"/>
              </w:rPr>
              <w:t>846,4</w:t>
            </w:r>
          </w:p>
        </w:tc>
        <w:tc>
          <w:tcPr>
            <w:tcW w:w="1276" w:type="dxa"/>
            <w:vAlign w:val="bottom"/>
          </w:tcPr>
          <w:p w14:paraId="2FFFD6D6" w14:textId="6AFC074B" w:rsidR="002A30E5" w:rsidRPr="00843561" w:rsidRDefault="002A30E5" w:rsidP="002A30E5">
            <w:pPr>
              <w:spacing w:before="0" w:after="0"/>
              <w:ind w:left="113"/>
              <w:jc w:val="right"/>
              <w:rPr>
                <w:rFonts w:cs="Arial"/>
                <w:color w:val="000000"/>
              </w:rPr>
            </w:pPr>
            <w:r w:rsidRPr="004A6580">
              <w:rPr>
                <w:rFonts w:cs="Arial"/>
                <w:color w:val="000000"/>
              </w:rPr>
              <w:t>32</w:t>
            </w:r>
            <w:r>
              <w:rPr>
                <w:rFonts w:cs="Arial"/>
                <w:color w:val="000000"/>
              </w:rPr>
              <w:t>.</w:t>
            </w:r>
            <w:r w:rsidRPr="004A6580">
              <w:rPr>
                <w:rFonts w:cs="Arial"/>
                <w:color w:val="000000"/>
              </w:rPr>
              <w:t>800,52</w:t>
            </w:r>
          </w:p>
        </w:tc>
        <w:tc>
          <w:tcPr>
            <w:tcW w:w="1276" w:type="dxa"/>
            <w:vAlign w:val="bottom"/>
          </w:tcPr>
          <w:p w14:paraId="526910EC" w14:textId="119EBB33" w:rsidR="002A30E5" w:rsidRPr="00843561" w:rsidRDefault="002A30E5" w:rsidP="002A30E5">
            <w:pPr>
              <w:spacing w:before="0" w:after="0"/>
              <w:ind w:left="113"/>
              <w:jc w:val="right"/>
              <w:rPr>
                <w:rFonts w:cs="Arial"/>
                <w:color w:val="000000"/>
              </w:rPr>
            </w:pPr>
            <w:r w:rsidRPr="004A6580">
              <w:rPr>
                <w:rFonts w:cs="Arial"/>
                <w:color w:val="000000"/>
              </w:rPr>
              <w:t>35</w:t>
            </w:r>
            <w:r>
              <w:rPr>
                <w:rFonts w:cs="Arial"/>
                <w:color w:val="000000"/>
              </w:rPr>
              <w:t>.</w:t>
            </w:r>
            <w:r w:rsidRPr="004A6580">
              <w:rPr>
                <w:rFonts w:cs="Arial"/>
                <w:color w:val="000000"/>
              </w:rPr>
              <w:t>754,57</w:t>
            </w:r>
          </w:p>
        </w:tc>
        <w:tc>
          <w:tcPr>
            <w:tcW w:w="1276" w:type="dxa"/>
            <w:vAlign w:val="bottom"/>
          </w:tcPr>
          <w:p w14:paraId="533B4CB4" w14:textId="0F756EDA" w:rsidR="002A30E5" w:rsidRPr="004A6580" w:rsidRDefault="002A30E5" w:rsidP="002A30E5">
            <w:pPr>
              <w:spacing w:before="0" w:after="0"/>
              <w:ind w:left="113"/>
              <w:jc w:val="right"/>
              <w:rPr>
                <w:rFonts w:cs="Arial"/>
                <w:color w:val="000000"/>
              </w:rPr>
            </w:pPr>
            <w:r w:rsidRPr="002A30E5">
              <w:rPr>
                <w:rFonts w:cs="Arial"/>
                <w:color w:val="000000"/>
              </w:rPr>
              <w:t>38.708,62</w:t>
            </w:r>
          </w:p>
        </w:tc>
      </w:tr>
      <w:tr w:rsidR="002A30E5" w:rsidRPr="00843561" w14:paraId="02CFE724" w14:textId="53878AE5" w:rsidTr="002A30E5">
        <w:trPr>
          <w:trHeight w:val="300"/>
          <w:jc w:val="center"/>
        </w:trPr>
        <w:tc>
          <w:tcPr>
            <w:tcW w:w="1163" w:type="dxa"/>
            <w:shd w:val="clear" w:color="auto" w:fill="C0C0C0"/>
            <w:noWrap/>
            <w:vAlign w:val="bottom"/>
          </w:tcPr>
          <w:p w14:paraId="7930711A" w14:textId="77777777" w:rsidR="002A30E5" w:rsidRPr="00037A46" w:rsidRDefault="002A30E5" w:rsidP="002A30E5">
            <w:pPr>
              <w:spacing w:before="0" w:after="0"/>
              <w:ind w:hanging="764"/>
              <w:jc w:val="right"/>
              <w:rPr>
                <w:b/>
                <w:bCs/>
                <w:lang w:val="en-US"/>
              </w:rPr>
            </w:pPr>
            <w:r w:rsidRPr="00037A46">
              <w:rPr>
                <w:b/>
                <w:bCs/>
                <w:lang w:val="en-US"/>
              </w:rPr>
              <w:t>10</w:t>
            </w:r>
          </w:p>
        </w:tc>
        <w:tc>
          <w:tcPr>
            <w:tcW w:w="1143" w:type="dxa"/>
            <w:vAlign w:val="bottom"/>
          </w:tcPr>
          <w:p w14:paraId="5021A012" w14:textId="313275CF" w:rsidR="002A30E5" w:rsidRPr="00843561" w:rsidRDefault="002A30E5" w:rsidP="002A30E5">
            <w:pPr>
              <w:spacing w:before="0" w:after="0"/>
              <w:ind w:left="113"/>
              <w:jc w:val="right"/>
              <w:rPr>
                <w:rFonts w:cs="Arial"/>
                <w:color w:val="000000"/>
              </w:rPr>
            </w:pPr>
            <w:r w:rsidRPr="004A6580">
              <w:rPr>
                <w:rFonts w:cs="Arial"/>
                <w:color w:val="000000"/>
              </w:rPr>
              <w:t>20.038,2</w:t>
            </w:r>
          </w:p>
        </w:tc>
        <w:tc>
          <w:tcPr>
            <w:tcW w:w="1228" w:type="dxa"/>
            <w:vAlign w:val="bottom"/>
          </w:tcPr>
          <w:p w14:paraId="53B18D25" w14:textId="038BE241" w:rsidR="002A30E5" w:rsidRPr="00843561" w:rsidRDefault="002A30E5" w:rsidP="002A30E5">
            <w:pPr>
              <w:spacing w:before="0" w:after="0"/>
              <w:ind w:left="113"/>
              <w:jc w:val="right"/>
              <w:rPr>
                <w:rFonts w:cs="Arial"/>
                <w:color w:val="000000"/>
              </w:rPr>
            </w:pPr>
            <w:r w:rsidRPr="004A6580">
              <w:rPr>
                <w:rFonts w:cs="Arial"/>
                <w:color w:val="000000"/>
              </w:rPr>
              <w:t>21.459,65</w:t>
            </w:r>
          </w:p>
        </w:tc>
        <w:tc>
          <w:tcPr>
            <w:tcW w:w="1276" w:type="dxa"/>
            <w:tcBorders>
              <w:top w:val="nil"/>
              <w:left w:val="single" w:sz="4" w:space="0" w:color="auto"/>
              <w:bottom w:val="nil"/>
              <w:right w:val="single" w:sz="4" w:space="0" w:color="auto"/>
            </w:tcBorders>
            <w:vAlign w:val="bottom"/>
          </w:tcPr>
          <w:p w14:paraId="0AA3EA06" w14:textId="0DB636E2" w:rsidR="002A30E5" w:rsidRPr="004A6580" w:rsidRDefault="002A30E5" w:rsidP="002A30E5">
            <w:pPr>
              <w:spacing w:before="0" w:after="0"/>
              <w:ind w:left="113"/>
              <w:jc w:val="right"/>
              <w:rPr>
                <w:rFonts w:cs="Arial"/>
                <w:color w:val="000000"/>
              </w:rPr>
            </w:pPr>
            <w:r w:rsidRPr="00843561">
              <w:rPr>
                <w:rFonts w:cs="Arial"/>
                <w:color w:val="000000"/>
              </w:rPr>
              <w:t>22</w:t>
            </w:r>
            <w:r>
              <w:rPr>
                <w:rFonts w:cs="Arial"/>
                <w:color w:val="000000"/>
              </w:rPr>
              <w:t>.</w:t>
            </w:r>
            <w:r w:rsidRPr="00843561">
              <w:rPr>
                <w:rFonts w:cs="Arial"/>
                <w:color w:val="000000"/>
              </w:rPr>
              <w:t>073,3</w:t>
            </w:r>
          </w:p>
        </w:tc>
        <w:tc>
          <w:tcPr>
            <w:tcW w:w="1276" w:type="dxa"/>
            <w:tcBorders>
              <w:top w:val="nil"/>
              <w:left w:val="single" w:sz="4" w:space="0" w:color="auto"/>
              <w:bottom w:val="nil"/>
              <w:right w:val="single" w:sz="4" w:space="0" w:color="auto"/>
            </w:tcBorders>
            <w:vAlign w:val="bottom"/>
          </w:tcPr>
          <w:p w14:paraId="4D55A7F1" w14:textId="77777777" w:rsidR="002A30E5" w:rsidRPr="004A6580" w:rsidRDefault="002A30E5" w:rsidP="002A30E5">
            <w:pPr>
              <w:spacing w:before="0" w:after="0"/>
              <w:ind w:left="113"/>
              <w:jc w:val="right"/>
              <w:rPr>
                <w:rFonts w:cs="Arial"/>
                <w:color w:val="000000"/>
              </w:rPr>
            </w:pPr>
            <w:r w:rsidRPr="00843561">
              <w:rPr>
                <w:rFonts w:cs="Arial"/>
                <w:color w:val="000000"/>
              </w:rPr>
              <w:t>24</w:t>
            </w:r>
            <w:r>
              <w:rPr>
                <w:rFonts w:cs="Arial"/>
                <w:color w:val="000000"/>
              </w:rPr>
              <w:t>.</w:t>
            </w:r>
            <w:r w:rsidRPr="00843561">
              <w:rPr>
                <w:rFonts w:cs="Arial"/>
                <w:color w:val="000000"/>
              </w:rPr>
              <w:t>212,39</w:t>
            </w:r>
          </w:p>
        </w:tc>
        <w:tc>
          <w:tcPr>
            <w:tcW w:w="1417" w:type="dxa"/>
            <w:tcBorders>
              <w:top w:val="nil"/>
              <w:left w:val="single" w:sz="4" w:space="0" w:color="auto"/>
              <w:bottom w:val="nil"/>
              <w:right w:val="single" w:sz="4" w:space="0" w:color="auto"/>
            </w:tcBorders>
            <w:vAlign w:val="bottom"/>
          </w:tcPr>
          <w:p w14:paraId="6A18B87E" w14:textId="77777777"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934,34</w:t>
            </w:r>
          </w:p>
        </w:tc>
        <w:tc>
          <w:tcPr>
            <w:tcW w:w="1276" w:type="dxa"/>
            <w:vAlign w:val="bottom"/>
          </w:tcPr>
          <w:p w14:paraId="7DFDFA58" w14:textId="4CE51020" w:rsidR="002A30E5" w:rsidRPr="00843561" w:rsidRDefault="002A30E5" w:rsidP="002A30E5">
            <w:pPr>
              <w:spacing w:before="0" w:after="0"/>
              <w:ind w:left="113"/>
              <w:jc w:val="right"/>
              <w:rPr>
                <w:rFonts w:cs="Arial"/>
                <w:color w:val="000000"/>
              </w:rPr>
            </w:pPr>
            <w:r w:rsidRPr="004A6580">
              <w:rPr>
                <w:rFonts w:cs="Arial"/>
                <w:color w:val="000000"/>
              </w:rPr>
              <w:t>28</w:t>
            </w:r>
            <w:r>
              <w:rPr>
                <w:rFonts w:cs="Arial"/>
                <w:color w:val="000000"/>
              </w:rPr>
              <w:t>.</w:t>
            </w:r>
            <w:r w:rsidRPr="004A6580">
              <w:rPr>
                <w:rFonts w:cs="Arial"/>
                <w:color w:val="000000"/>
              </w:rPr>
              <w:t>481,86</w:t>
            </w:r>
          </w:p>
        </w:tc>
        <w:tc>
          <w:tcPr>
            <w:tcW w:w="1417" w:type="dxa"/>
            <w:tcBorders>
              <w:top w:val="nil"/>
              <w:left w:val="single" w:sz="4" w:space="0" w:color="auto"/>
              <w:bottom w:val="nil"/>
              <w:right w:val="single" w:sz="4" w:space="0" w:color="auto"/>
            </w:tcBorders>
            <w:vAlign w:val="bottom"/>
          </w:tcPr>
          <w:p w14:paraId="516AA1D9" w14:textId="2B1AD623" w:rsidR="002A30E5" w:rsidRPr="004A6580" w:rsidRDefault="002A30E5" w:rsidP="002A30E5">
            <w:pPr>
              <w:spacing w:before="0" w:after="0"/>
              <w:ind w:left="113"/>
              <w:jc w:val="right"/>
              <w:rPr>
                <w:rFonts w:cs="Arial"/>
                <w:color w:val="000000"/>
              </w:rPr>
            </w:pPr>
            <w:r w:rsidRPr="00843561">
              <w:rPr>
                <w:rFonts w:cs="Arial"/>
                <w:color w:val="000000"/>
              </w:rPr>
              <w:t>30</w:t>
            </w:r>
            <w:r>
              <w:rPr>
                <w:rFonts w:cs="Arial"/>
                <w:color w:val="000000"/>
              </w:rPr>
              <w:t>.</w:t>
            </w:r>
            <w:r w:rsidRPr="00843561">
              <w:rPr>
                <w:rFonts w:cs="Arial"/>
                <w:color w:val="000000"/>
              </w:rPr>
              <w:t>364,3</w:t>
            </w:r>
          </w:p>
        </w:tc>
        <w:tc>
          <w:tcPr>
            <w:tcW w:w="1276" w:type="dxa"/>
            <w:vAlign w:val="bottom"/>
          </w:tcPr>
          <w:p w14:paraId="5E3C816E" w14:textId="0491DDF1" w:rsidR="002A30E5" w:rsidRPr="00843561" w:rsidRDefault="002A30E5" w:rsidP="002A30E5">
            <w:pPr>
              <w:spacing w:before="0" w:after="0"/>
              <w:ind w:left="113"/>
              <w:jc w:val="right"/>
              <w:rPr>
                <w:rFonts w:cs="Arial"/>
                <w:color w:val="000000"/>
              </w:rPr>
            </w:pPr>
            <w:r w:rsidRPr="004A6580">
              <w:rPr>
                <w:rFonts w:cs="Arial"/>
                <w:color w:val="000000"/>
              </w:rPr>
              <w:t>33</w:t>
            </w:r>
            <w:r>
              <w:rPr>
                <w:rFonts w:cs="Arial"/>
                <w:color w:val="000000"/>
              </w:rPr>
              <w:t>.</w:t>
            </w:r>
            <w:r w:rsidRPr="004A6580">
              <w:rPr>
                <w:rFonts w:cs="Arial"/>
                <w:color w:val="000000"/>
              </w:rPr>
              <w:t>369,64</w:t>
            </w:r>
          </w:p>
        </w:tc>
        <w:tc>
          <w:tcPr>
            <w:tcW w:w="1276" w:type="dxa"/>
            <w:vAlign w:val="bottom"/>
          </w:tcPr>
          <w:p w14:paraId="5C1B01AC" w14:textId="11804043" w:rsidR="002A30E5" w:rsidRPr="00843561" w:rsidRDefault="002A30E5" w:rsidP="002A30E5">
            <w:pPr>
              <w:spacing w:before="0" w:after="0"/>
              <w:ind w:left="113"/>
              <w:jc w:val="right"/>
              <w:rPr>
                <w:rFonts w:cs="Arial"/>
                <w:color w:val="000000"/>
              </w:rPr>
            </w:pPr>
            <w:r w:rsidRPr="004A6580">
              <w:rPr>
                <w:rFonts w:cs="Arial"/>
                <w:color w:val="000000"/>
              </w:rPr>
              <w:t>36</w:t>
            </w:r>
            <w:r>
              <w:rPr>
                <w:rFonts w:cs="Arial"/>
                <w:color w:val="000000"/>
              </w:rPr>
              <w:t>.</w:t>
            </w:r>
            <w:r w:rsidRPr="004A6580">
              <w:rPr>
                <w:rFonts w:cs="Arial"/>
                <w:color w:val="000000"/>
              </w:rPr>
              <w:t>374,91</w:t>
            </w:r>
          </w:p>
        </w:tc>
        <w:tc>
          <w:tcPr>
            <w:tcW w:w="1276" w:type="dxa"/>
            <w:vAlign w:val="bottom"/>
          </w:tcPr>
          <w:p w14:paraId="35B8258C" w14:textId="272A6BE7" w:rsidR="002A30E5" w:rsidRPr="004A6580" w:rsidRDefault="002A30E5" w:rsidP="002A30E5">
            <w:pPr>
              <w:spacing w:before="0" w:after="0"/>
              <w:ind w:left="113"/>
              <w:jc w:val="right"/>
              <w:rPr>
                <w:rFonts w:cs="Arial"/>
                <w:color w:val="000000"/>
              </w:rPr>
            </w:pPr>
            <w:r w:rsidRPr="002A30E5">
              <w:rPr>
                <w:rFonts w:cs="Arial"/>
                <w:color w:val="000000"/>
              </w:rPr>
              <w:t>39.380,31</w:t>
            </w:r>
          </w:p>
        </w:tc>
      </w:tr>
      <w:tr w:rsidR="002A30E5" w:rsidRPr="00843561" w14:paraId="5DD98175" w14:textId="19138FBE" w:rsidTr="002A30E5">
        <w:trPr>
          <w:trHeight w:val="300"/>
          <w:jc w:val="center"/>
        </w:trPr>
        <w:tc>
          <w:tcPr>
            <w:tcW w:w="1163" w:type="dxa"/>
            <w:shd w:val="clear" w:color="auto" w:fill="C0C0C0"/>
            <w:noWrap/>
            <w:vAlign w:val="bottom"/>
          </w:tcPr>
          <w:p w14:paraId="7CE2F35E" w14:textId="77777777" w:rsidR="002A30E5" w:rsidRPr="00037A46" w:rsidRDefault="002A30E5" w:rsidP="002A30E5">
            <w:pPr>
              <w:spacing w:before="0" w:after="0"/>
              <w:ind w:hanging="764"/>
              <w:jc w:val="right"/>
              <w:rPr>
                <w:b/>
                <w:bCs/>
                <w:lang w:val="en-US"/>
              </w:rPr>
            </w:pPr>
            <w:r w:rsidRPr="00037A46">
              <w:rPr>
                <w:b/>
                <w:bCs/>
                <w:lang w:val="en-US"/>
              </w:rPr>
              <w:t>11</w:t>
            </w:r>
          </w:p>
        </w:tc>
        <w:tc>
          <w:tcPr>
            <w:tcW w:w="1143" w:type="dxa"/>
            <w:vAlign w:val="bottom"/>
          </w:tcPr>
          <w:p w14:paraId="5AD0C544" w14:textId="77DE4669" w:rsidR="002A30E5" w:rsidRPr="00843561" w:rsidRDefault="002A30E5" w:rsidP="002A30E5">
            <w:pPr>
              <w:spacing w:before="0" w:after="0"/>
              <w:ind w:left="113"/>
              <w:jc w:val="right"/>
              <w:rPr>
                <w:rFonts w:cs="Arial"/>
                <w:color w:val="000000"/>
              </w:rPr>
            </w:pPr>
            <w:r w:rsidRPr="004A6580">
              <w:rPr>
                <w:rFonts w:cs="Arial"/>
                <w:color w:val="000000"/>
              </w:rPr>
              <w:t>20.267,89</w:t>
            </w:r>
          </w:p>
        </w:tc>
        <w:tc>
          <w:tcPr>
            <w:tcW w:w="1228" w:type="dxa"/>
            <w:vAlign w:val="bottom"/>
          </w:tcPr>
          <w:p w14:paraId="2B41F673" w14:textId="28738C24" w:rsidR="002A30E5" w:rsidRPr="00843561" w:rsidRDefault="002A30E5" w:rsidP="002A30E5">
            <w:pPr>
              <w:spacing w:before="0" w:after="0"/>
              <w:ind w:left="113"/>
              <w:jc w:val="right"/>
              <w:rPr>
                <w:rFonts w:cs="Arial"/>
                <w:color w:val="000000"/>
              </w:rPr>
            </w:pPr>
            <w:r w:rsidRPr="004A6580">
              <w:rPr>
                <w:rFonts w:cs="Arial"/>
                <w:color w:val="000000"/>
              </w:rPr>
              <w:t>21.754,88</w:t>
            </w:r>
          </w:p>
        </w:tc>
        <w:tc>
          <w:tcPr>
            <w:tcW w:w="1276" w:type="dxa"/>
            <w:tcBorders>
              <w:top w:val="nil"/>
              <w:left w:val="single" w:sz="4" w:space="0" w:color="auto"/>
              <w:bottom w:val="nil"/>
              <w:right w:val="single" w:sz="4" w:space="0" w:color="auto"/>
            </w:tcBorders>
            <w:vAlign w:val="bottom"/>
          </w:tcPr>
          <w:p w14:paraId="76B89DE0" w14:textId="77B24A4C" w:rsidR="002A30E5" w:rsidRPr="004A6580" w:rsidRDefault="002A30E5" w:rsidP="002A30E5">
            <w:pPr>
              <w:spacing w:before="0" w:after="0"/>
              <w:ind w:left="113"/>
              <w:jc w:val="right"/>
              <w:rPr>
                <w:rFonts w:cs="Arial"/>
                <w:color w:val="000000"/>
              </w:rPr>
            </w:pPr>
            <w:r w:rsidRPr="00843561">
              <w:rPr>
                <w:rFonts w:cs="Arial"/>
                <w:color w:val="000000"/>
              </w:rPr>
              <w:t>22</w:t>
            </w:r>
            <w:r>
              <w:rPr>
                <w:rFonts w:cs="Arial"/>
                <w:color w:val="000000"/>
              </w:rPr>
              <w:t>.</w:t>
            </w:r>
            <w:r w:rsidRPr="00843561">
              <w:rPr>
                <w:rFonts w:cs="Arial"/>
                <w:color w:val="000000"/>
              </w:rPr>
              <w:t>417,46</w:t>
            </w:r>
          </w:p>
        </w:tc>
        <w:tc>
          <w:tcPr>
            <w:tcW w:w="1276" w:type="dxa"/>
            <w:tcBorders>
              <w:top w:val="nil"/>
              <w:left w:val="single" w:sz="4" w:space="0" w:color="auto"/>
              <w:bottom w:val="nil"/>
              <w:right w:val="single" w:sz="4" w:space="0" w:color="auto"/>
            </w:tcBorders>
            <w:vAlign w:val="bottom"/>
          </w:tcPr>
          <w:p w14:paraId="238D9748" w14:textId="77777777" w:rsidR="002A30E5" w:rsidRPr="004A6580" w:rsidRDefault="002A30E5" w:rsidP="002A30E5">
            <w:pPr>
              <w:spacing w:before="0" w:after="0"/>
              <w:ind w:left="113"/>
              <w:jc w:val="right"/>
              <w:rPr>
                <w:rFonts w:cs="Arial"/>
                <w:color w:val="000000"/>
              </w:rPr>
            </w:pPr>
            <w:r w:rsidRPr="00843561">
              <w:rPr>
                <w:rFonts w:cs="Arial"/>
                <w:color w:val="000000"/>
              </w:rPr>
              <w:t>24</w:t>
            </w:r>
            <w:r>
              <w:rPr>
                <w:rFonts w:cs="Arial"/>
                <w:color w:val="000000"/>
              </w:rPr>
              <w:t>.</w:t>
            </w:r>
            <w:r w:rsidRPr="00843561">
              <w:rPr>
                <w:rFonts w:cs="Arial"/>
                <w:color w:val="000000"/>
              </w:rPr>
              <w:t>612,1</w:t>
            </w:r>
          </w:p>
        </w:tc>
        <w:tc>
          <w:tcPr>
            <w:tcW w:w="1417" w:type="dxa"/>
            <w:tcBorders>
              <w:top w:val="nil"/>
              <w:left w:val="single" w:sz="4" w:space="0" w:color="auto"/>
              <w:bottom w:val="nil"/>
              <w:right w:val="single" w:sz="4" w:space="0" w:color="auto"/>
            </w:tcBorders>
            <w:vAlign w:val="bottom"/>
          </w:tcPr>
          <w:p w14:paraId="09F17735" w14:textId="77777777" w:rsidR="002A30E5" w:rsidRPr="004A6580" w:rsidRDefault="002A30E5" w:rsidP="002A30E5">
            <w:pPr>
              <w:spacing w:before="0" w:after="0"/>
              <w:ind w:left="113"/>
              <w:jc w:val="right"/>
              <w:rPr>
                <w:rFonts w:cs="Arial"/>
                <w:color w:val="000000"/>
              </w:rPr>
            </w:pPr>
            <w:r w:rsidRPr="00843561">
              <w:rPr>
                <w:rFonts w:cs="Arial"/>
                <w:color w:val="000000"/>
              </w:rPr>
              <w:t>26</w:t>
            </w:r>
            <w:r>
              <w:rPr>
                <w:rFonts w:cs="Arial"/>
                <w:color w:val="000000"/>
              </w:rPr>
              <w:t>.</w:t>
            </w:r>
            <w:r w:rsidRPr="00843561">
              <w:rPr>
                <w:rFonts w:cs="Arial"/>
                <w:color w:val="000000"/>
              </w:rPr>
              <w:t>362,43</w:t>
            </w:r>
          </w:p>
        </w:tc>
        <w:tc>
          <w:tcPr>
            <w:tcW w:w="1276" w:type="dxa"/>
            <w:vAlign w:val="bottom"/>
          </w:tcPr>
          <w:p w14:paraId="4A39692A" w14:textId="0AA87385" w:rsidR="002A30E5" w:rsidRPr="00843561" w:rsidRDefault="002A30E5" w:rsidP="002A30E5">
            <w:pPr>
              <w:spacing w:before="0" w:after="0"/>
              <w:ind w:left="113"/>
              <w:jc w:val="right"/>
              <w:rPr>
                <w:rFonts w:cs="Arial"/>
                <w:color w:val="000000"/>
              </w:rPr>
            </w:pPr>
            <w:r w:rsidRPr="004A6580">
              <w:rPr>
                <w:rFonts w:cs="Arial"/>
                <w:color w:val="000000"/>
              </w:rPr>
              <w:t>28</w:t>
            </w:r>
            <w:r>
              <w:rPr>
                <w:rFonts w:cs="Arial"/>
                <w:color w:val="000000"/>
              </w:rPr>
              <w:t>.</w:t>
            </w:r>
            <w:r w:rsidRPr="004A6580">
              <w:rPr>
                <w:rFonts w:cs="Arial"/>
                <w:color w:val="000000"/>
              </w:rPr>
              <w:t>965,15</w:t>
            </w:r>
          </w:p>
        </w:tc>
        <w:tc>
          <w:tcPr>
            <w:tcW w:w="1417" w:type="dxa"/>
            <w:tcBorders>
              <w:top w:val="nil"/>
              <w:left w:val="single" w:sz="4" w:space="0" w:color="auto"/>
              <w:bottom w:val="nil"/>
              <w:right w:val="single" w:sz="4" w:space="0" w:color="auto"/>
            </w:tcBorders>
            <w:vAlign w:val="bottom"/>
          </w:tcPr>
          <w:p w14:paraId="0F76DBC3" w14:textId="6FFEF228" w:rsidR="002A30E5" w:rsidRPr="004A6580" w:rsidRDefault="002A30E5" w:rsidP="002A30E5">
            <w:pPr>
              <w:spacing w:before="0" w:after="0"/>
              <w:ind w:left="113"/>
              <w:jc w:val="right"/>
              <w:rPr>
                <w:rFonts w:cs="Arial"/>
                <w:color w:val="000000"/>
              </w:rPr>
            </w:pPr>
            <w:r w:rsidRPr="00843561">
              <w:rPr>
                <w:rFonts w:cs="Arial"/>
                <w:color w:val="000000"/>
              </w:rPr>
              <w:t>30</w:t>
            </w:r>
            <w:r>
              <w:rPr>
                <w:rFonts w:cs="Arial"/>
                <w:color w:val="000000"/>
              </w:rPr>
              <w:t>.</w:t>
            </w:r>
            <w:r w:rsidRPr="00843561">
              <w:rPr>
                <w:rFonts w:cs="Arial"/>
                <w:color w:val="000000"/>
              </w:rPr>
              <w:t>851,65</w:t>
            </w:r>
          </w:p>
        </w:tc>
        <w:tc>
          <w:tcPr>
            <w:tcW w:w="1276" w:type="dxa"/>
            <w:vAlign w:val="bottom"/>
          </w:tcPr>
          <w:p w14:paraId="3BB62007" w14:textId="27B5CD4D" w:rsidR="002A30E5" w:rsidRPr="00843561" w:rsidRDefault="002A30E5" w:rsidP="002A30E5">
            <w:pPr>
              <w:spacing w:before="0" w:after="0"/>
              <w:ind w:left="113"/>
              <w:jc w:val="right"/>
              <w:rPr>
                <w:rFonts w:cs="Arial"/>
                <w:color w:val="000000"/>
              </w:rPr>
            </w:pPr>
            <w:r w:rsidRPr="004A6580">
              <w:rPr>
                <w:rFonts w:cs="Arial"/>
                <w:color w:val="000000"/>
              </w:rPr>
              <w:t>33</w:t>
            </w:r>
            <w:r>
              <w:rPr>
                <w:rFonts w:cs="Arial"/>
                <w:color w:val="000000"/>
              </w:rPr>
              <w:t>.</w:t>
            </w:r>
            <w:r w:rsidRPr="004A6580">
              <w:rPr>
                <w:rFonts w:cs="Arial"/>
                <w:color w:val="000000"/>
              </w:rPr>
              <w:t>905,24</w:t>
            </w:r>
          </w:p>
        </w:tc>
        <w:tc>
          <w:tcPr>
            <w:tcW w:w="1276" w:type="dxa"/>
            <w:vAlign w:val="bottom"/>
          </w:tcPr>
          <w:p w14:paraId="36338F68" w14:textId="002E0EAE" w:rsidR="002A30E5" w:rsidRPr="00843561" w:rsidRDefault="002A30E5" w:rsidP="002A30E5">
            <w:pPr>
              <w:spacing w:before="0" w:after="0"/>
              <w:ind w:left="113"/>
              <w:jc w:val="right"/>
              <w:rPr>
                <w:rFonts w:cs="Arial"/>
                <w:color w:val="000000"/>
              </w:rPr>
            </w:pPr>
            <w:r w:rsidRPr="004A6580">
              <w:rPr>
                <w:rFonts w:cs="Arial"/>
                <w:color w:val="000000"/>
              </w:rPr>
              <w:t>36</w:t>
            </w:r>
            <w:r>
              <w:rPr>
                <w:rFonts w:cs="Arial"/>
                <w:color w:val="000000"/>
              </w:rPr>
              <w:t>.</w:t>
            </w:r>
            <w:r w:rsidRPr="004A6580">
              <w:rPr>
                <w:rFonts w:cs="Arial"/>
                <w:color w:val="000000"/>
              </w:rPr>
              <w:t>958,82</w:t>
            </w:r>
          </w:p>
        </w:tc>
        <w:tc>
          <w:tcPr>
            <w:tcW w:w="1276" w:type="dxa"/>
            <w:vAlign w:val="bottom"/>
          </w:tcPr>
          <w:p w14:paraId="36D5A0F4" w14:textId="217A3411" w:rsidR="002A30E5" w:rsidRPr="004A6580" w:rsidRDefault="002A30E5" w:rsidP="002A30E5">
            <w:pPr>
              <w:spacing w:before="0" w:after="0"/>
              <w:ind w:left="113"/>
              <w:jc w:val="right"/>
              <w:rPr>
                <w:rFonts w:cs="Arial"/>
                <w:color w:val="000000"/>
              </w:rPr>
            </w:pPr>
            <w:r w:rsidRPr="002A30E5">
              <w:rPr>
                <w:rFonts w:cs="Arial"/>
                <w:color w:val="000000"/>
              </w:rPr>
              <w:t>40.012,41</w:t>
            </w:r>
          </w:p>
        </w:tc>
      </w:tr>
      <w:tr w:rsidR="002A30E5" w:rsidRPr="00843561" w14:paraId="49002D84" w14:textId="6A628273" w:rsidTr="002A30E5">
        <w:trPr>
          <w:trHeight w:val="300"/>
          <w:jc w:val="center"/>
        </w:trPr>
        <w:tc>
          <w:tcPr>
            <w:tcW w:w="1163" w:type="dxa"/>
            <w:shd w:val="clear" w:color="auto" w:fill="C0C0C0"/>
            <w:noWrap/>
            <w:vAlign w:val="bottom"/>
          </w:tcPr>
          <w:p w14:paraId="7C48597D" w14:textId="77777777" w:rsidR="002A30E5" w:rsidRPr="00037A46" w:rsidRDefault="002A30E5" w:rsidP="002A30E5">
            <w:pPr>
              <w:spacing w:before="0" w:after="0"/>
              <w:ind w:hanging="764"/>
              <w:jc w:val="right"/>
              <w:rPr>
                <w:b/>
                <w:bCs/>
                <w:lang w:val="en-US"/>
              </w:rPr>
            </w:pPr>
            <w:r w:rsidRPr="00037A46">
              <w:rPr>
                <w:b/>
                <w:bCs/>
                <w:lang w:val="en-US"/>
              </w:rPr>
              <w:t>12</w:t>
            </w:r>
          </w:p>
        </w:tc>
        <w:tc>
          <w:tcPr>
            <w:tcW w:w="1143" w:type="dxa"/>
            <w:vAlign w:val="bottom"/>
          </w:tcPr>
          <w:p w14:paraId="47D69AFD" w14:textId="25401D89" w:rsidR="002A30E5" w:rsidRPr="00843561" w:rsidRDefault="002A30E5" w:rsidP="002A30E5">
            <w:pPr>
              <w:spacing w:before="0" w:after="0"/>
              <w:ind w:left="113"/>
              <w:jc w:val="right"/>
              <w:rPr>
                <w:rFonts w:cs="Arial"/>
                <w:color w:val="000000"/>
              </w:rPr>
            </w:pPr>
            <w:r w:rsidRPr="004A6580">
              <w:rPr>
                <w:rFonts w:cs="Arial"/>
                <w:color w:val="000000"/>
              </w:rPr>
              <w:t>20.482,85</w:t>
            </w:r>
          </w:p>
        </w:tc>
        <w:tc>
          <w:tcPr>
            <w:tcW w:w="1228" w:type="dxa"/>
            <w:vAlign w:val="bottom"/>
          </w:tcPr>
          <w:p w14:paraId="1CEC24DA" w14:textId="73D40F96" w:rsidR="002A30E5" w:rsidRPr="00843561" w:rsidRDefault="002A30E5" w:rsidP="002A30E5">
            <w:pPr>
              <w:spacing w:before="0" w:after="0"/>
              <w:ind w:left="113"/>
              <w:jc w:val="right"/>
              <w:rPr>
                <w:rFonts w:cs="Arial"/>
                <w:color w:val="000000"/>
              </w:rPr>
            </w:pPr>
            <w:r w:rsidRPr="004A6580">
              <w:rPr>
                <w:rFonts w:cs="Arial"/>
                <w:color w:val="000000"/>
              </w:rPr>
              <w:t>22.031,81</w:t>
            </w:r>
          </w:p>
        </w:tc>
        <w:tc>
          <w:tcPr>
            <w:tcW w:w="1276" w:type="dxa"/>
            <w:tcBorders>
              <w:top w:val="nil"/>
              <w:left w:val="single" w:sz="4" w:space="0" w:color="auto"/>
              <w:bottom w:val="nil"/>
              <w:right w:val="single" w:sz="4" w:space="0" w:color="auto"/>
            </w:tcBorders>
            <w:vAlign w:val="bottom"/>
          </w:tcPr>
          <w:p w14:paraId="41E001D8" w14:textId="4242E8FE" w:rsidR="002A30E5" w:rsidRPr="004A6580" w:rsidRDefault="002A30E5" w:rsidP="002A30E5">
            <w:pPr>
              <w:spacing w:before="0" w:after="0"/>
              <w:ind w:left="113"/>
              <w:jc w:val="right"/>
              <w:rPr>
                <w:rFonts w:cs="Arial"/>
                <w:color w:val="000000"/>
              </w:rPr>
            </w:pPr>
            <w:r w:rsidRPr="00843561">
              <w:rPr>
                <w:rFonts w:cs="Arial"/>
                <w:color w:val="000000"/>
              </w:rPr>
              <w:t>22</w:t>
            </w:r>
            <w:r>
              <w:rPr>
                <w:rFonts w:cs="Arial"/>
                <w:color w:val="000000"/>
              </w:rPr>
              <w:t>.</w:t>
            </w:r>
            <w:r w:rsidRPr="00843561">
              <w:rPr>
                <w:rFonts w:cs="Arial"/>
                <w:color w:val="000000"/>
              </w:rPr>
              <w:t>740,8</w:t>
            </w:r>
          </w:p>
        </w:tc>
        <w:tc>
          <w:tcPr>
            <w:tcW w:w="1276" w:type="dxa"/>
            <w:tcBorders>
              <w:top w:val="nil"/>
              <w:left w:val="single" w:sz="4" w:space="0" w:color="auto"/>
              <w:bottom w:val="nil"/>
              <w:right w:val="single" w:sz="4" w:space="0" w:color="auto"/>
            </w:tcBorders>
            <w:vAlign w:val="bottom"/>
          </w:tcPr>
          <w:p w14:paraId="49B38F2A" w14:textId="77777777" w:rsidR="002A30E5" w:rsidRPr="004A6580" w:rsidRDefault="002A30E5" w:rsidP="002A30E5">
            <w:pPr>
              <w:spacing w:before="0" w:after="0"/>
              <w:ind w:left="113"/>
              <w:jc w:val="right"/>
              <w:rPr>
                <w:rFonts w:cs="Arial"/>
                <w:color w:val="000000"/>
              </w:rPr>
            </w:pPr>
            <w:r w:rsidRPr="00843561">
              <w:rPr>
                <w:rFonts w:cs="Arial"/>
                <w:color w:val="000000"/>
              </w:rPr>
              <w:t>24</w:t>
            </w:r>
            <w:r>
              <w:rPr>
                <w:rFonts w:cs="Arial"/>
                <w:color w:val="000000"/>
              </w:rPr>
              <w:t>.</w:t>
            </w:r>
            <w:r w:rsidRPr="00843561">
              <w:rPr>
                <w:rFonts w:cs="Arial"/>
                <w:color w:val="000000"/>
              </w:rPr>
              <w:t>987,88</w:t>
            </w:r>
          </w:p>
        </w:tc>
        <w:tc>
          <w:tcPr>
            <w:tcW w:w="1417" w:type="dxa"/>
            <w:tcBorders>
              <w:top w:val="nil"/>
              <w:left w:val="single" w:sz="4" w:space="0" w:color="auto"/>
              <w:bottom w:val="nil"/>
              <w:right w:val="single" w:sz="4" w:space="0" w:color="auto"/>
            </w:tcBorders>
            <w:vAlign w:val="bottom"/>
          </w:tcPr>
          <w:p w14:paraId="088813FB" w14:textId="77777777" w:rsidR="002A30E5" w:rsidRPr="004A6580" w:rsidRDefault="002A30E5" w:rsidP="002A30E5">
            <w:pPr>
              <w:spacing w:before="0" w:after="0"/>
              <w:ind w:left="113"/>
              <w:jc w:val="right"/>
              <w:rPr>
                <w:rFonts w:cs="Arial"/>
                <w:color w:val="000000"/>
              </w:rPr>
            </w:pPr>
            <w:r w:rsidRPr="00843561">
              <w:rPr>
                <w:rFonts w:cs="Arial"/>
                <w:color w:val="000000"/>
              </w:rPr>
              <w:t>26</w:t>
            </w:r>
            <w:r>
              <w:rPr>
                <w:rFonts w:cs="Arial"/>
                <w:color w:val="000000"/>
              </w:rPr>
              <w:t>.</w:t>
            </w:r>
            <w:r w:rsidRPr="00843561">
              <w:rPr>
                <w:rFonts w:cs="Arial"/>
                <w:color w:val="000000"/>
              </w:rPr>
              <w:t>765,04</w:t>
            </w:r>
          </w:p>
        </w:tc>
        <w:tc>
          <w:tcPr>
            <w:tcW w:w="1276" w:type="dxa"/>
            <w:vAlign w:val="bottom"/>
          </w:tcPr>
          <w:p w14:paraId="4746E7D5" w14:textId="369159BA" w:rsidR="002A30E5" w:rsidRPr="00843561" w:rsidRDefault="002A30E5" w:rsidP="002A30E5">
            <w:pPr>
              <w:spacing w:before="0" w:after="0"/>
              <w:ind w:left="113"/>
              <w:jc w:val="right"/>
              <w:rPr>
                <w:rFonts w:cs="Arial"/>
                <w:color w:val="000000"/>
              </w:rPr>
            </w:pPr>
            <w:r w:rsidRPr="004A6580">
              <w:rPr>
                <w:rFonts w:cs="Arial"/>
                <w:color w:val="000000"/>
              </w:rPr>
              <w:t>29</w:t>
            </w:r>
            <w:r>
              <w:rPr>
                <w:rFonts w:cs="Arial"/>
                <w:color w:val="000000"/>
              </w:rPr>
              <w:t>.</w:t>
            </w:r>
            <w:r w:rsidRPr="004A6580">
              <w:rPr>
                <w:rFonts w:cs="Arial"/>
                <w:color w:val="000000"/>
              </w:rPr>
              <w:t>419,8</w:t>
            </w:r>
          </w:p>
        </w:tc>
        <w:tc>
          <w:tcPr>
            <w:tcW w:w="1417" w:type="dxa"/>
            <w:tcBorders>
              <w:top w:val="nil"/>
              <w:left w:val="single" w:sz="4" w:space="0" w:color="auto"/>
              <w:bottom w:val="nil"/>
              <w:right w:val="single" w:sz="4" w:space="0" w:color="auto"/>
            </w:tcBorders>
            <w:vAlign w:val="bottom"/>
          </w:tcPr>
          <w:p w14:paraId="67732FDD" w14:textId="74C23245" w:rsidR="002A30E5" w:rsidRPr="004A6580" w:rsidRDefault="002A30E5" w:rsidP="002A30E5">
            <w:pPr>
              <w:spacing w:before="0" w:after="0"/>
              <w:ind w:left="113"/>
              <w:jc w:val="right"/>
              <w:rPr>
                <w:rFonts w:cs="Arial"/>
                <w:color w:val="000000"/>
              </w:rPr>
            </w:pPr>
            <w:r w:rsidRPr="00843561">
              <w:rPr>
                <w:rFonts w:cs="Arial"/>
                <w:color w:val="000000"/>
              </w:rPr>
              <w:t>31</w:t>
            </w:r>
            <w:r>
              <w:rPr>
                <w:rFonts w:cs="Arial"/>
                <w:color w:val="000000"/>
              </w:rPr>
              <w:t>.</w:t>
            </w:r>
            <w:r w:rsidRPr="00843561">
              <w:rPr>
                <w:rFonts w:cs="Arial"/>
                <w:color w:val="000000"/>
              </w:rPr>
              <w:t>309,74</w:t>
            </w:r>
          </w:p>
        </w:tc>
        <w:tc>
          <w:tcPr>
            <w:tcW w:w="1276" w:type="dxa"/>
            <w:vAlign w:val="bottom"/>
          </w:tcPr>
          <w:p w14:paraId="352DA352" w14:textId="3CE491AF" w:rsidR="002A30E5" w:rsidRPr="00843561" w:rsidRDefault="002A30E5" w:rsidP="002A30E5">
            <w:pPr>
              <w:spacing w:before="0" w:after="0"/>
              <w:ind w:left="113"/>
              <w:jc w:val="right"/>
              <w:rPr>
                <w:rFonts w:cs="Arial"/>
                <w:color w:val="000000"/>
              </w:rPr>
            </w:pPr>
            <w:r w:rsidRPr="004A6580">
              <w:rPr>
                <w:rFonts w:cs="Arial"/>
                <w:color w:val="000000"/>
              </w:rPr>
              <w:t>34</w:t>
            </w:r>
            <w:r>
              <w:rPr>
                <w:rFonts w:cs="Arial"/>
                <w:color w:val="000000"/>
              </w:rPr>
              <w:t>.</w:t>
            </w:r>
            <w:r w:rsidRPr="004A6580">
              <w:rPr>
                <w:rFonts w:cs="Arial"/>
                <w:color w:val="000000"/>
              </w:rPr>
              <w:t>408,6</w:t>
            </w:r>
          </w:p>
        </w:tc>
        <w:tc>
          <w:tcPr>
            <w:tcW w:w="1276" w:type="dxa"/>
            <w:vAlign w:val="bottom"/>
          </w:tcPr>
          <w:p w14:paraId="7E3D7134" w14:textId="01F5CF81" w:rsidR="002A30E5" w:rsidRPr="00843561" w:rsidRDefault="002A30E5" w:rsidP="002A30E5">
            <w:pPr>
              <w:spacing w:before="0" w:after="0"/>
              <w:ind w:left="113"/>
              <w:jc w:val="right"/>
              <w:rPr>
                <w:rFonts w:cs="Arial"/>
                <w:color w:val="000000"/>
              </w:rPr>
            </w:pPr>
            <w:r w:rsidRPr="004A6580">
              <w:rPr>
                <w:rFonts w:cs="Arial"/>
                <w:color w:val="000000"/>
              </w:rPr>
              <w:t>37</w:t>
            </w:r>
            <w:r>
              <w:rPr>
                <w:rFonts w:cs="Arial"/>
                <w:color w:val="000000"/>
              </w:rPr>
              <w:t>.</w:t>
            </w:r>
            <w:r w:rsidRPr="004A6580">
              <w:rPr>
                <w:rFonts w:cs="Arial"/>
                <w:color w:val="000000"/>
              </w:rPr>
              <w:t>507,53</w:t>
            </w:r>
          </w:p>
        </w:tc>
        <w:tc>
          <w:tcPr>
            <w:tcW w:w="1276" w:type="dxa"/>
            <w:vAlign w:val="bottom"/>
          </w:tcPr>
          <w:p w14:paraId="72D80E53" w14:textId="682C3E06" w:rsidR="002A30E5" w:rsidRPr="004A6580" w:rsidRDefault="002A30E5" w:rsidP="002A30E5">
            <w:pPr>
              <w:spacing w:before="0" w:after="0"/>
              <w:ind w:left="113"/>
              <w:jc w:val="right"/>
              <w:rPr>
                <w:rFonts w:cs="Arial"/>
                <w:color w:val="000000"/>
              </w:rPr>
            </w:pPr>
            <w:r w:rsidRPr="002A30E5">
              <w:rPr>
                <w:rFonts w:cs="Arial"/>
                <w:color w:val="000000"/>
              </w:rPr>
              <w:t>40.606,46</w:t>
            </w:r>
          </w:p>
        </w:tc>
      </w:tr>
      <w:tr w:rsidR="002A30E5" w:rsidRPr="00843561" w14:paraId="11078D6E" w14:textId="302B1C67" w:rsidTr="002A30E5">
        <w:trPr>
          <w:trHeight w:val="300"/>
          <w:jc w:val="center"/>
        </w:trPr>
        <w:tc>
          <w:tcPr>
            <w:tcW w:w="1163" w:type="dxa"/>
            <w:shd w:val="clear" w:color="auto" w:fill="C0C0C0"/>
            <w:noWrap/>
            <w:vAlign w:val="bottom"/>
          </w:tcPr>
          <w:p w14:paraId="26DF00F0" w14:textId="77777777" w:rsidR="002A30E5" w:rsidRPr="00037A46" w:rsidRDefault="002A30E5" w:rsidP="002A30E5">
            <w:pPr>
              <w:spacing w:before="0" w:after="0"/>
              <w:ind w:hanging="764"/>
              <w:jc w:val="right"/>
              <w:rPr>
                <w:b/>
                <w:bCs/>
                <w:lang w:val="en-US"/>
              </w:rPr>
            </w:pPr>
            <w:r w:rsidRPr="00037A46">
              <w:rPr>
                <w:b/>
                <w:bCs/>
                <w:lang w:val="en-US"/>
              </w:rPr>
              <w:t>13</w:t>
            </w:r>
          </w:p>
        </w:tc>
        <w:tc>
          <w:tcPr>
            <w:tcW w:w="1143" w:type="dxa"/>
            <w:vAlign w:val="bottom"/>
          </w:tcPr>
          <w:p w14:paraId="41B7C431" w14:textId="27B9E01F" w:rsidR="002A30E5" w:rsidRPr="00843561" w:rsidRDefault="002A30E5" w:rsidP="002A30E5">
            <w:pPr>
              <w:spacing w:before="0" w:after="0"/>
              <w:ind w:left="113"/>
              <w:jc w:val="right"/>
              <w:rPr>
                <w:rFonts w:cs="Arial"/>
                <w:color w:val="000000"/>
              </w:rPr>
            </w:pPr>
            <w:r w:rsidRPr="004A6580">
              <w:rPr>
                <w:rFonts w:cs="Arial"/>
                <w:color w:val="000000"/>
              </w:rPr>
              <w:t>20.683,75</w:t>
            </w:r>
          </w:p>
        </w:tc>
        <w:tc>
          <w:tcPr>
            <w:tcW w:w="1228" w:type="dxa"/>
            <w:vAlign w:val="bottom"/>
          </w:tcPr>
          <w:p w14:paraId="21C25D6E" w14:textId="2966E498" w:rsidR="002A30E5" w:rsidRPr="00843561" w:rsidRDefault="002A30E5" w:rsidP="002A30E5">
            <w:pPr>
              <w:spacing w:before="0" w:after="0"/>
              <w:ind w:left="113"/>
              <w:jc w:val="right"/>
              <w:rPr>
                <w:rFonts w:cs="Arial"/>
                <w:color w:val="000000"/>
              </w:rPr>
            </w:pPr>
            <w:r w:rsidRPr="004A6580">
              <w:rPr>
                <w:rFonts w:cs="Arial"/>
                <w:color w:val="000000"/>
              </w:rPr>
              <w:t>22.291,09</w:t>
            </w:r>
          </w:p>
        </w:tc>
        <w:tc>
          <w:tcPr>
            <w:tcW w:w="1276" w:type="dxa"/>
            <w:tcBorders>
              <w:top w:val="nil"/>
              <w:left w:val="single" w:sz="4" w:space="0" w:color="auto"/>
              <w:bottom w:val="nil"/>
              <w:right w:val="single" w:sz="4" w:space="0" w:color="auto"/>
            </w:tcBorders>
            <w:vAlign w:val="bottom"/>
          </w:tcPr>
          <w:p w14:paraId="1C47D0C8" w14:textId="5A65C54E" w:rsidR="002A30E5" w:rsidRPr="004A6580" w:rsidRDefault="002A30E5" w:rsidP="002A30E5">
            <w:pPr>
              <w:spacing w:before="0" w:after="0"/>
              <w:ind w:left="113"/>
              <w:jc w:val="right"/>
              <w:rPr>
                <w:rFonts w:cs="Arial"/>
                <w:color w:val="000000"/>
              </w:rPr>
            </w:pPr>
            <w:r w:rsidRPr="00843561">
              <w:rPr>
                <w:rFonts w:cs="Arial"/>
                <w:color w:val="000000"/>
              </w:rPr>
              <w:t>23</w:t>
            </w:r>
            <w:r>
              <w:rPr>
                <w:rFonts w:cs="Arial"/>
                <w:color w:val="000000"/>
              </w:rPr>
              <w:t>.</w:t>
            </w:r>
            <w:r w:rsidRPr="00843561">
              <w:rPr>
                <w:rFonts w:cs="Arial"/>
                <w:color w:val="000000"/>
              </w:rPr>
              <w:t>044,22</w:t>
            </w:r>
          </w:p>
        </w:tc>
        <w:tc>
          <w:tcPr>
            <w:tcW w:w="1276" w:type="dxa"/>
            <w:tcBorders>
              <w:top w:val="nil"/>
              <w:left w:val="single" w:sz="4" w:space="0" w:color="auto"/>
              <w:bottom w:val="nil"/>
              <w:right w:val="single" w:sz="4" w:space="0" w:color="auto"/>
            </w:tcBorders>
            <w:vAlign w:val="bottom"/>
          </w:tcPr>
          <w:p w14:paraId="0A215B9B" w14:textId="77777777"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340,89</w:t>
            </w:r>
          </w:p>
        </w:tc>
        <w:tc>
          <w:tcPr>
            <w:tcW w:w="1417" w:type="dxa"/>
            <w:tcBorders>
              <w:top w:val="nil"/>
              <w:left w:val="single" w:sz="4" w:space="0" w:color="auto"/>
              <w:bottom w:val="nil"/>
              <w:right w:val="single" w:sz="4" w:space="0" w:color="auto"/>
            </w:tcBorders>
            <w:vAlign w:val="bottom"/>
          </w:tcPr>
          <w:p w14:paraId="3CC3FFB5" w14:textId="77777777" w:rsidR="002A30E5" w:rsidRPr="004A6580" w:rsidRDefault="002A30E5" w:rsidP="002A30E5">
            <w:pPr>
              <w:spacing w:before="0" w:after="0"/>
              <w:ind w:left="113"/>
              <w:jc w:val="right"/>
              <w:rPr>
                <w:rFonts w:cs="Arial"/>
                <w:color w:val="000000"/>
              </w:rPr>
            </w:pPr>
            <w:r w:rsidRPr="00843561">
              <w:rPr>
                <w:rFonts w:cs="Arial"/>
                <w:color w:val="000000"/>
              </w:rPr>
              <w:t>27</w:t>
            </w:r>
            <w:r>
              <w:rPr>
                <w:rFonts w:cs="Arial"/>
                <w:color w:val="000000"/>
              </w:rPr>
              <w:t>.</w:t>
            </w:r>
            <w:r w:rsidRPr="00843561">
              <w:rPr>
                <w:rFonts w:cs="Arial"/>
                <w:color w:val="000000"/>
              </w:rPr>
              <w:t>143,12</w:t>
            </w:r>
          </w:p>
        </w:tc>
        <w:tc>
          <w:tcPr>
            <w:tcW w:w="1276" w:type="dxa"/>
            <w:vAlign w:val="bottom"/>
          </w:tcPr>
          <w:p w14:paraId="4AAA250A" w14:textId="012C1622" w:rsidR="002A30E5" w:rsidRPr="00843561" w:rsidRDefault="002A30E5" w:rsidP="002A30E5">
            <w:pPr>
              <w:spacing w:before="0" w:after="0"/>
              <w:ind w:left="113"/>
              <w:jc w:val="right"/>
              <w:rPr>
                <w:rFonts w:cs="Arial"/>
                <w:color w:val="000000"/>
              </w:rPr>
            </w:pPr>
            <w:r w:rsidRPr="004A6580">
              <w:rPr>
                <w:rFonts w:cs="Arial"/>
                <w:color w:val="000000"/>
              </w:rPr>
              <w:t>29</w:t>
            </w:r>
            <w:r>
              <w:rPr>
                <w:rFonts w:cs="Arial"/>
                <w:color w:val="000000"/>
              </w:rPr>
              <w:t>.</w:t>
            </w:r>
            <w:r w:rsidRPr="004A6580">
              <w:rPr>
                <w:rFonts w:cs="Arial"/>
                <w:color w:val="000000"/>
              </w:rPr>
              <w:t>846,87</w:t>
            </w:r>
          </w:p>
        </w:tc>
        <w:tc>
          <w:tcPr>
            <w:tcW w:w="1417" w:type="dxa"/>
            <w:tcBorders>
              <w:top w:val="nil"/>
              <w:left w:val="single" w:sz="4" w:space="0" w:color="auto"/>
              <w:bottom w:val="nil"/>
              <w:right w:val="single" w:sz="4" w:space="0" w:color="auto"/>
            </w:tcBorders>
            <w:vAlign w:val="bottom"/>
          </w:tcPr>
          <w:p w14:paraId="463597A6" w14:textId="4257EBD1" w:rsidR="002A30E5" w:rsidRPr="004A6580" w:rsidRDefault="002A30E5" w:rsidP="002A30E5">
            <w:pPr>
              <w:spacing w:before="0" w:after="0"/>
              <w:ind w:left="113"/>
              <w:jc w:val="right"/>
              <w:rPr>
                <w:rFonts w:cs="Arial"/>
                <w:color w:val="000000"/>
              </w:rPr>
            </w:pPr>
            <w:r w:rsidRPr="00843561">
              <w:rPr>
                <w:rFonts w:cs="Arial"/>
                <w:color w:val="000000"/>
              </w:rPr>
              <w:t>31</w:t>
            </w:r>
            <w:r>
              <w:rPr>
                <w:rFonts w:cs="Arial"/>
                <w:color w:val="000000"/>
              </w:rPr>
              <w:t>.</w:t>
            </w:r>
            <w:r w:rsidRPr="00843561">
              <w:rPr>
                <w:rFonts w:cs="Arial"/>
                <w:color w:val="000000"/>
              </w:rPr>
              <w:t>739,72</w:t>
            </w:r>
          </w:p>
        </w:tc>
        <w:tc>
          <w:tcPr>
            <w:tcW w:w="1276" w:type="dxa"/>
            <w:vAlign w:val="bottom"/>
          </w:tcPr>
          <w:p w14:paraId="3B90DC16" w14:textId="5309E009" w:rsidR="002A30E5" w:rsidRPr="00843561" w:rsidRDefault="002A30E5" w:rsidP="002A30E5">
            <w:pPr>
              <w:spacing w:before="0" w:after="0"/>
              <w:ind w:left="113"/>
              <w:jc w:val="right"/>
              <w:rPr>
                <w:rFonts w:cs="Arial"/>
                <w:color w:val="000000"/>
              </w:rPr>
            </w:pPr>
            <w:r w:rsidRPr="004A6580">
              <w:rPr>
                <w:rFonts w:cs="Arial"/>
                <w:color w:val="000000"/>
              </w:rPr>
              <w:t>34</w:t>
            </w:r>
            <w:r>
              <w:rPr>
                <w:rFonts w:cs="Arial"/>
                <w:color w:val="000000"/>
              </w:rPr>
              <w:t>.</w:t>
            </w:r>
            <w:r w:rsidRPr="004A6580">
              <w:rPr>
                <w:rFonts w:cs="Arial"/>
                <w:color w:val="000000"/>
              </w:rPr>
              <w:t>881,16</w:t>
            </w:r>
          </w:p>
        </w:tc>
        <w:tc>
          <w:tcPr>
            <w:tcW w:w="1276" w:type="dxa"/>
            <w:vAlign w:val="bottom"/>
          </w:tcPr>
          <w:p w14:paraId="5267D716" w14:textId="4E26345F" w:rsidR="002A30E5" w:rsidRPr="00843561" w:rsidRDefault="002A30E5" w:rsidP="002A30E5">
            <w:pPr>
              <w:spacing w:before="0" w:after="0"/>
              <w:ind w:left="113"/>
              <w:jc w:val="right"/>
              <w:rPr>
                <w:rFonts w:cs="Arial"/>
                <w:color w:val="000000"/>
              </w:rPr>
            </w:pPr>
            <w:r w:rsidRPr="004A6580">
              <w:rPr>
                <w:rFonts w:cs="Arial"/>
                <w:color w:val="000000"/>
              </w:rPr>
              <w:t>38</w:t>
            </w:r>
            <w:r>
              <w:rPr>
                <w:rFonts w:cs="Arial"/>
                <w:color w:val="000000"/>
              </w:rPr>
              <w:t>.</w:t>
            </w:r>
            <w:r w:rsidRPr="004A6580">
              <w:rPr>
                <w:rFonts w:cs="Arial"/>
                <w:color w:val="000000"/>
              </w:rPr>
              <w:t>022,66</w:t>
            </w:r>
          </w:p>
        </w:tc>
        <w:tc>
          <w:tcPr>
            <w:tcW w:w="1276" w:type="dxa"/>
            <w:vAlign w:val="bottom"/>
          </w:tcPr>
          <w:p w14:paraId="57228323" w14:textId="1A77AD3D" w:rsidR="002A30E5" w:rsidRPr="004A6580" w:rsidRDefault="002A30E5" w:rsidP="002A30E5">
            <w:pPr>
              <w:spacing w:before="0" w:after="0"/>
              <w:ind w:left="113"/>
              <w:jc w:val="right"/>
              <w:rPr>
                <w:rFonts w:cs="Arial"/>
                <w:color w:val="000000"/>
              </w:rPr>
            </w:pPr>
            <w:r w:rsidRPr="002A30E5">
              <w:rPr>
                <w:rFonts w:cs="Arial"/>
                <w:color w:val="000000"/>
              </w:rPr>
              <w:t>41.164,1</w:t>
            </w:r>
          </w:p>
        </w:tc>
      </w:tr>
      <w:tr w:rsidR="002A30E5" w:rsidRPr="00843561" w14:paraId="1E2DCBF8" w14:textId="2D513DD6" w:rsidTr="002A30E5">
        <w:trPr>
          <w:trHeight w:val="300"/>
          <w:jc w:val="center"/>
        </w:trPr>
        <w:tc>
          <w:tcPr>
            <w:tcW w:w="1163" w:type="dxa"/>
            <w:shd w:val="clear" w:color="auto" w:fill="C0C0C0"/>
            <w:noWrap/>
            <w:vAlign w:val="bottom"/>
          </w:tcPr>
          <w:p w14:paraId="69C96B6E" w14:textId="77777777" w:rsidR="002A30E5" w:rsidRPr="00037A46" w:rsidRDefault="002A30E5" w:rsidP="002A30E5">
            <w:pPr>
              <w:spacing w:before="0" w:after="0"/>
              <w:ind w:hanging="764"/>
              <w:jc w:val="right"/>
              <w:rPr>
                <w:b/>
                <w:bCs/>
                <w:lang w:val="en-US"/>
              </w:rPr>
            </w:pPr>
            <w:r w:rsidRPr="00037A46">
              <w:rPr>
                <w:b/>
                <w:bCs/>
                <w:lang w:val="en-US"/>
              </w:rPr>
              <w:t>14</w:t>
            </w:r>
          </w:p>
        </w:tc>
        <w:tc>
          <w:tcPr>
            <w:tcW w:w="1143" w:type="dxa"/>
            <w:vAlign w:val="bottom"/>
          </w:tcPr>
          <w:p w14:paraId="706245E5" w14:textId="3CF0D443" w:rsidR="002A30E5" w:rsidRPr="00843561" w:rsidRDefault="002A30E5" w:rsidP="002A30E5">
            <w:pPr>
              <w:spacing w:before="0" w:after="0"/>
              <w:ind w:left="113"/>
              <w:jc w:val="right"/>
              <w:rPr>
                <w:rFonts w:cs="Arial"/>
                <w:color w:val="000000"/>
              </w:rPr>
            </w:pPr>
            <w:r w:rsidRPr="004A6580">
              <w:rPr>
                <w:rFonts w:cs="Arial"/>
                <w:color w:val="000000"/>
              </w:rPr>
              <w:t>20.871,4</w:t>
            </w:r>
          </w:p>
        </w:tc>
        <w:tc>
          <w:tcPr>
            <w:tcW w:w="1228" w:type="dxa"/>
            <w:vAlign w:val="bottom"/>
          </w:tcPr>
          <w:p w14:paraId="2FB8D28C" w14:textId="6B5C5716" w:rsidR="002A30E5" w:rsidRPr="00843561" w:rsidRDefault="002A30E5" w:rsidP="002A30E5">
            <w:pPr>
              <w:spacing w:before="0" w:after="0"/>
              <w:ind w:left="113"/>
              <w:jc w:val="right"/>
              <w:rPr>
                <w:rFonts w:cs="Arial"/>
                <w:color w:val="000000"/>
              </w:rPr>
            </w:pPr>
            <w:r w:rsidRPr="004A6580">
              <w:rPr>
                <w:rFonts w:cs="Arial"/>
                <w:color w:val="000000"/>
              </w:rPr>
              <w:t>22.533,82</w:t>
            </w:r>
          </w:p>
        </w:tc>
        <w:tc>
          <w:tcPr>
            <w:tcW w:w="1276" w:type="dxa"/>
            <w:tcBorders>
              <w:top w:val="nil"/>
              <w:left w:val="single" w:sz="4" w:space="0" w:color="auto"/>
              <w:bottom w:val="nil"/>
              <w:right w:val="single" w:sz="4" w:space="0" w:color="auto"/>
            </w:tcBorders>
            <w:vAlign w:val="bottom"/>
          </w:tcPr>
          <w:p w14:paraId="0A1BC972" w14:textId="49E68870" w:rsidR="002A30E5" w:rsidRPr="004A6580" w:rsidRDefault="002A30E5" w:rsidP="002A30E5">
            <w:pPr>
              <w:spacing w:before="0" w:after="0"/>
              <w:ind w:left="113"/>
              <w:jc w:val="right"/>
              <w:rPr>
                <w:rFonts w:cs="Arial"/>
                <w:color w:val="000000"/>
              </w:rPr>
            </w:pPr>
            <w:r w:rsidRPr="00843561">
              <w:rPr>
                <w:rFonts w:cs="Arial"/>
                <w:color w:val="000000"/>
              </w:rPr>
              <w:t>23</w:t>
            </w:r>
            <w:r>
              <w:rPr>
                <w:rFonts w:cs="Arial"/>
                <w:color w:val="000000"/>
              </w:rPr>
              <w:t>.</w:t>
            </w:r>
            <w:r w:rsidRPr="00843561">
              <w:rPr>
                <w:rFonts w:cs="Arial"/>
                <w:color w:val="000000"/>
              </w:rPr>
              <w:t>328,51</w:t>
            </w:r>
          </w:p>
        </w:tc>
        <w:tc>
          <w:tcPr>
            <w:tcW w:w="1276" w:type="dxa"/>
            <w:tcBorders>
              <w:top w:val="nil"/>
              <w:left w:val="single" w:sz="4" w:space="0" w:color="auto"/>
              <w:bottom w:val="nil"/>
              <w:right w:val="single" w:sz="4" w:space="0" w:color="auto"/>
            </w:tcBorders>
            <w:vAlign w:val="bottom"/>
          </w:tcPr>
          <w:p w14:paraId="670BC618" w14:textId="77777777"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671,95</w:t>
            </w:r>
          </w:p>
        </w:tc>
        <w:tc>
          <w:tcPr>
            <w:tcW w:w="1417" w:type="dxa"/>
            <w:tcBorders>
              <w:top w:val="nil"/>
              <w:left w:val="single" w:sz="4" w:space="0" w:color="auto"/>
              <w:bottom w:val="nil"/>
              <w:right w:val="single" w:sz="4" w:space="0" w:color="auto"/>
            </w:tcBorders>
            <w:vAlign w:val="bottom"/>
          </w:tcPr>
          <w:p w14:paraId="49BB82F3" w14:textId="77777777" w:rsidR="002A30E5" w:rsidRPr="004A6580" w:rsidRDefault="002A30E5" w:rsidP="002A30E5">
            <w:pPr>
              <w:spacing w:before="0" w:after="0"/>
              <w:ind w:left="113"/>
              <w:jc w:val="right"/>
              <w:rPr>
                <w:rFonts w:cs="Arial"/>
                <w:color w:val="000000"/>
              </w:rPr>
            </w:pPr>
            <w:r w:rsidRPr="00843561">
              <w:rPr>
                <w:rFonts w:cs="Arial"/>
                <w:color w:val="000000"/>
              </w:rPr>
              <w:t>27</w:t>
            </w:r>
            <w:r>
              <w:rPr>
                <w:rFonts w:cs="Arial"/>
                <w:color w:val="000000"/>
              </w:rPr>
              <w:t>.</w:t>
            </w:r>
            <w:r w:rsidRPr="00843561">
              <w:rPr>
                <w:rFonts w:cs="Arial"/>
                <w:color w:val="000000"/>
              </w:rPr>
              <w:t>497,76</w:t>
            </w:r>
          </w:p>
        </w:tc>
        <w:tc>
          <w:tcPr>
            <w:tcW w:w="1276" w:type="dxa"/>
            <w:vAlign w:val="bottom"/>
          </w:tcPr>
          <w:p w14:paraId="66205066" w14:textId="1359B680" w:rsidR="002A30E5" w:rsidRPr="00843561" w:rsidRDefault="002A30E5" w:rsidP="002A30E5">
            <w:pPr>
              <w:spacing w:before="0" w:after="0"/>
              <w:ind w:left="113"/>
              <w:jc w:val="right"/>
              <w:rPr>
                <w:rFonts w:cs="Arial"/>
                <w:color w:val="000000"/>
              </w:rPr>
            </w:pPr>
            <w:r w:rsidRPr="004A6580">
              <w:rPr>
                <w:rFonts w:cs="Arial"/>
                <w:color w:val="000000"/>
              </w:rPr>
              <w:t>30</w:t>
            </w:r>
            <w:r>
              <w:rPr>
                <w:rFonts w:cs="Arial"/>
                <w:color w:val="000000"/>
              </w:rPr>
              <w:t>.</w:t>
            </w:r>
            <w:r w:rsidRPr="004A6580">
              <w:rPr>
                <w:rFonts w:cs="Arial"/>
                <w:color w:val="000000"/>
              </w:rPr>
              <w:t>247,66</w:t>
            </w:r>
          </w:p>
        </w:tc>
        <w:tc>
          <w:tcPr>
            <w:tcW w:w="1417" w:type="dxa"/>
            <w:tcBorders>
              <w:top w:val="nil"/>
              <w:left w:val="single" w:sz="4" w:space="0" w:color="auto"/>
              <w:bottom w:val="nil"/>
              <w:right w:val="single" w:sz="4" w:space="0" w:color="auto"/>
            </w:tcBorders>
            <w:vAlign w:val="bottom"/>
          </w:tcPr>
          <w:p w14:paraId="399B8443" w14:textId="5D54F06B" w:rsidR="002A30E5" w:rsidRPr="004A6580" w:rsidRDefault="002A30E5" w:rsidP="002A30E5">
            <w:pPr>
              <w:spacing w:before="0" w:after="0"/>
              <w:ind w:left="113"/>
              <w:jc w:val="right"/>
              <w:rPr>
                <w:rFonts w:cs="Arial"/>
                <w:color w:val="000000"/>
              </w:rPr>
            </w:pPr>
            <w:r w:rsidRPr="00843561">
              <w:rPr>
                <w:rFonts w:cs="Arial"/>
                <w:color w:val="000000"/>
              </w:rPr>
              <w:t>32</w:t>
            </w:r>
            <w:r>
              <w:rPr>
                <w:rFonts w:cs="Arial"/>
                <w:color w:val="000000"/>
              </w:rPr>
              <w:t>.</w:t>
            </w:r>
            <w:r w:rsidRPr="00843561">
              <w:rPr>
                <w:rFonts w:cs="Arial"/>
                <w:color w:val="000000"/>
              </w:rPr>
              <w:t>142,88</w:t>
            </w:r>
          </w:p>
        </w:tc>
        <w:tc>
          <w:tcPr>
            <w:tcW w:w="1276" w:type="dxa"/>
            <w:vAlign w:val="bottom"/>
          </w:tcPr>
          <w:p w14:paraId="2FE4D33C" w14:textId="0830CBDF" w:rsidR="002A30E5" w:rsidRPr="00843561" w:rsidRDefault="002A30E5" w:rsidP="002A30E5">
            <w:pPr>
              <w:spacing w:before="0" w:after="0"/>
              <w:ind w:left="113"/>
              <w:jc w:val="right"/>
              <w:rPr>
                <w:rFonts w:cs="Arial"/>
                <w:color w:val="000000"/>
              </w:rPr>
            </w:pPr>
            <w:r w:rsidRPr="004A6580">
              <w:rPr>
                <w:rFonts w:cs="Arial"/>
                <w:color w:val="000000"/>
              </w:rPr>
              <w:t>35</w:t>
            </w:r>
            <w:r>
              <w:rPr>
                <w:rFonts w:cs="Arial"/>
                <w:color w:val="000000"/>
              </w:rPr>
              <w:t>.</w:t>
            </w:r>
            <w:r w:rsidRPr="004A6580">
              <w:rPr>
                <w:rFonts w:cs="Arial"/>
                <w:color w:val="000000"/>
              </w:rPr>
              <w:t>324,25</w:t>
            </w:r>
          </w:p>
        </w:tc>
        <w:tc>
          <w:tcPr>
            <w:tcW w:w="1276" w:type="dxa"/>
            <w:vAlign w:val="bottom"/>
          </w:tcPr>
          <w:p w14:paraId="1A2A2FCE" w14:textId="2AB404AE" w:rsidR="002A30E5" w:rsidRPr="00843561" w:rsidRDefault="002A30E5" w:rsidP="002A30E5">
            <w:pPr>
              <w:spacing w:before="0" w:after="0"/>
              <w:ind w:left="113"/>
              <w:jc w:val="right"/>
              <w:rPr>
                <w:rFonts w:cs="Arial"/>
                <w:color w:val="000000"/>
              </w:rPr>
            </w:pPr>
            <w:r w:rsidRPr="004A6580">
              <w:rPr>
                <w:rFonts w:cs="Arial"/>
                <w:color w:val="000000"/>
              </w:rPr>
              <w:t>38</w:t>
            </w:r>
            <w:r>
              <w:rPr>
                <w:rFonts w:cs="Arial"/>
                <w:color w:val="000000"/>
              </w:rPr>
              <w:t>.</w:t>
            </w:r>
            <w:r w:rsidRPr="004A6580">
              <w:rPr>
                <w:rFonts w:cs="Arial"/>
                <w:color w:val="000000"/>
              </w:rPr>
              <w:t>505,62</w:t>
            </w:r>
          </w:p>
        </w:tc>
        <w:tc>
          <w:tcPr>
            <w:tcW w:w="1276" w:type="dxa"/>
            <w:vAlign w:val="bottom"/>
          </w:tcPr>
          <w:p w14:paraId="423A0A94" w14:textId="7C3DBCEC" w:rsidR="002A30E5" w:rsidRPr="004A6580" w:rsidRDefault="002A30E5" w:rsidP="002A30E5">
            <w:pPr>
              <w:spacing w:before="0" w:after="0"/>
              <w:ind w:left="113"/>
              <w:jc w:val="right"/>
              <w:rPr>
                <w:rFonts w:cs="Arial"/>
                <w:color w:val="000000"/>
              </w:rPr>
            </w:pPr>
            <w:r w:rsidRPr="002A30E5">
              <w:rPr>
                <w:rFonts w:cs="Arial"/>
                <w:color w:val="000000"/>
              </w:rPr>
              <w:t>41.686,99</w:t>
            </w:r>
          </w:p>
        </w:tc>
      </w:tr>
      <w:tr w:rsidR="002A30E5" w:rsidRPr="00843561" w14:paraId="6F932350" w14:textId="347F33F4" w:rsidTr="002A30E5">
        <w:trPr>
          <w:trHeight w:val="300"/>
          <w:jc w:val="center"/>
        </w:trPr>
        <w:tc>
          <w:tcPr>
            <w:tcW w:w="1163" w:type="dxa"/>
            <w:shd w:val="clear" w:color="auto" w:fill="C0C0C0"/>
            <w:noWrap/>
            <w:vAlign w:val="bottom"/>
          </w:tcPr>
          <w:p w14:paraId="5DF6A376" w14:textId="77777777" w:rsidR="002A30E5" w:rsidRPr="00037A46" w:rsidRDefault="002A30E5" w:rsidP="002A30E5">
            <w:pPr>
              <w:spacing w:before="0" w:after="0"/>
              <w:ind w:hanging="764"/>
              <w:jc w:val="right"/>
              <w:rPr>
                <w:b/>
                <w:bCs/>
                <w:lang w:val="en-US"/>
              </w:rPr>
            </w:pPr>
            <w:r w:rsidRPr="00037A46">
              <w:rPr>
                <w:b/>
                <w:bCs/>
                <w:lang w:val="en-US"/>
              </w:rPr>
              <w:t>15</w:t>
            </w:r>
          </w:p>
        </w:tc>
        <w:tc>
          <w:tcPr>
            <w:tcW w:w="1143" w:type="dxa"/>
            <w:vAlign w:val="bottom"/>
          </w:tcPr>
          <w:p w14:paraId="46576F45" w14:textId="7E0BD465" w:rsidR="002A30E5" w:rsidRPr="00843561" w:rsidRDefault="002A30E5" w:rsidP="002A30E5">
            <w:pPr>
              <w:spacing w:before="0" w:after="0"/>
              <w:ind w:left="113"/>
              <w:jc w:val="right"/>
              <w:rPr>
                <w:rFonts w:cs="Arial"/>
                <w:color w:val="000000"/>
              </w:rPr>
            </w:pPr>
            <w:r w:rsidRPr="004A6580">
              <w:rPr>
                <w:rFonts w:cs="Arial"/>
                <w:color w:val="000000"/>
              </w:rPr>
              <w:t>21.046,63</w:t>
            </w:r>
          </w:p>
        </w:tc>
        <w:tc>
          <w:tcPr>
            <w:tcW w:w="1228" w:type="dxa"/>
            <w:vAlign w:val="bottom"/>
          </w:tcPr>
          <w:p w14:paraId="128CA7AC" w14:textId="5085C5DA" w:rsidR="002A30E5" w:rsidRPr="00843561" w:rsidRDefault="002A30E5" w:rsidP="002A30E5">
            <w:pPr>
              <w:spacing w:before="0" w:after="0"/>
              <w:ind w:left="113"/>
              <w:jc w:val="right"/>
              <w:rPr>
                <w:rFonts w:cs="Arial"/>
                <w:color w:val="000000"/>
              </w:rPr>
            </w:pPr>
            <w:r w:rsidRPr="004A6580">
              <w:rPr>
                <w:rFonts w:cs="Arial"/>
                <w:color w:val="000000"/>
              </w:rPr>
              <w:t>22.760,81</w:t>
            </w:r>
          </w:p>
        </w:tc>
        <w:tc>
          <w:tcPr>
            <w:tcW w:w="1276" w:type="dxa"/>
            <w:tcBorders>
              <w:top w:val="nil"/>
              <w:left w:val="single" w:sz="4" w:space="0" w:color="auto"/>
              <w:bottom w:val="nil"/>
              <w:right w:val="single" w:sz="4" w:space="0" w:color="auto"/>
            </w:tcBorders>
            <w:vAlign w:val="bottom"/>
          </w:tcPr>
          <w:p w14:paraId="7E21FDFF" w14:textId="0E5E4400" w:rsidR="002A30E5" w:rsidRPr="004A6580" w:rsidRDefault="002A30E5" w:rsidP="002A30E5">
            <w:pPr>
              <w:spacing w:before="0" w:after="0"/>
              <w:ind w:left="113"/>
              <w:jc w:val="right"/>
              <w:rPr>
                <w:rFonts w:cs="Arial"/>
                <w:color w:val="000000"/>
              </w:rPr>
            </w:pPr>
            <w:r w:rsidRPr="00843561">
              <w:rPr>
                <w:rFonts w:cs="Arial"/>
                <w:color w:val="000000"/>
              </w:rPr>
              <w:t>23</w:t>
            </w:r>
            <w:r>
              <w:rPr>
                <w:rFonts w:cs="Arial"/>
                <w:color w:val="000000"/>
              </w:rPr>
              <w:t>.</w:t>
            </w:r>
            <w:r w:rsidRPr="00843561">
              <w:rPr>
                <w:rFonts w:cs="Arial"/>
                <w:color w:val="000000"/>
              </w:rPr>
              <w:t>594,89</w:t>
            </w:r>
          </w:p>
        </w:tc>
        <w:tc>
          <w:tcPr>
            <w:tcW w:w="1276" w:type="dxa"/>
            <w:tcBorders>
              <w:top w:val="nil"/>
              <w:left w:val="single" w:sz="4" w:space="0" w:color="auto"/>
              <w:bottom w:val="nil"/>
              <w:right w:val="single" w:sz="4" w:space="0" w:color="auto"/>
            </w:tcBorders>
            <w:vAlign w:val="bottom"/>
          </w:tcPr>
          <w:p w14:paraId="791A1439" w14:textId="77777777"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982,25</w:t>
            </w:r>
          </w:p>
        </w:tc>
        <w:tc>
          <w:tcPr>
            <w:tcW w:w="1417" w:type="dxa"/>
            <w:tcBorders>
              <w:top w:val="nil"/>
              <w:left w:val="single" w:sz="4" w:space="0" w:color="auto"/>
              <w:bottom w:val="nil"/>
              <w:right w:val="single" w:sz="4" w:space="0" w:color="auto"/>
            </w:tcBorders>
            <w:vAlign w:val="bottom"/>
          </w:tcPr>
          <w:p w14:paraId="7886C0D2" w14:textId="77777777" w:rsidR="002A30E5" w:rsidRPr="004A6580" w:rsidRDefault="002A30E5" w:rsidP="002A30E5">
            <w:pPr>
              <w:spacing w:before="0" w:after="0"/>
              <w:ind w:left="113"/>
              <w:jc w:val="right"/>
              <w:rPr>
                <w:rFonts w:cs="Arial"/>
                <w:color w:val="000000"/>
              </w:rPr>
            </w:pPr>
            <w:r w:rsidRPr="00843561">
              <w:rPr>
                <w:rFonts w:cs="Arial"/>
                <w:color w:val="000000"/>
              </w:rPr>
              <w:t>27</w:t>
            </w:r>
            <w:r>
              <w:rPr>
                <w:rFonts w:cs="Arial"/>
                <w:color w:val="000000"/>
              </w:rPr>
              <w:t>.</w:t>
            </w:r>
            <w:r w:rsidRPr="00843561">
              <w:rPr>
                <w:rFonts w:cs="Arial"/>
                <w:color w:val="000000"/>
              </w:rPr>
              <w:t>830,09</w:t>
            </w:r>
          </w:p>
        </w:tc>
        <w:tc>
          <w:tcPr>
            <w:tcW w:w="1276" w:type="dxa"/>
            <w:vAlign w:val="bottom"/>
          </w:tcPr>
          <w:p w14:paraId="5D2FBDDC" w14:textId="73BAFD0D" w:rsidR="002A30E5" w:rsidRPr="00843561" w:rsidRDefault="002A30E5" w:rsidP="002A30E5">
            <w:pPr>
              <w:spacing w:before="0" w:after="0"/>
              <w:ind w:left="113"/>
              <w:jc w:val="right"/>
              <w:rPr>
                <w:rFonts w:cs="Arial"/>
                <w:color w:val="000000"/>
              </w:rPr>
            </w:pPr>
            <w:r w:rsidRPr="004A6580">
              <w:rPr>
                <w:rFonts w:cs="Arial"/>
                <w:color w:val="000000"/>
              </w:rPr>
              <w:t>30</w:t>
            </w:r>
            <w:r>
              <w:rPr>
                <w:rFonts w:cs="Arial"/>
                <w:color w:val="000000"/>
              </w:rPr>
              <w:t>.</w:t>
            </w:r>
            <w:r w:rsidRPr="004A6580">
              <w:rPr>
                <w:rFonts w:cs="Arial"/>
                <w:color w:val="000000"/>
              </w:rPr>
              <w:t>623,45</w:t>
            </w:r>
          </w:p>
        </w:tc>
        <w:tc>
          <w:tcPr>
            <w:tcW w:w="1417" w:type="dxa"/>
            <w:tcBorders>
              <w:top w:val="nil"/>
              <w:left w:val="single" w:sz="4" w:space="0" w:color="auto"/>
              <w:bottom w:val="nil"/>
              <w:right w:val="single" w:sz="4" w:space="0" w:color="auto"/>
            </w:tcBorders>
            <w:vAlign w:val="bottom"/>
          </w:tcPr>
          <w:p w14:paraId="64A02AB4" w14:textId="4AC50548" w:rsidR="002A30E5" w:rsidRPr="004A6580" w:rsidRDefault="002A30E5" w:rsidP="002A30E5">
            <w:pPr>
              <w:spacing w:before="0" w:after="0"/>
              <w:ind w:left="113"/>
              <w:jc w:val="right"/>
              <w:rPr>
                <w:rFonts w:cs="Arial"/>
                <w:color w:val="000000"/>
              </w:rPr>
            </w:pPr>
            <w:r w:rsidRPr="00843561">
              <w:rPr>
                <w:rFonts w:cs="Arial"/>
                <w:color w:val="000000"/>
              </w:rPr>
              <w:t>32</w:t>
            </w:r>
            <w:r>
              <w:rPr>
                <w:rFonts w:cs="Arial"/>
                <w:color w:val="000000"/>
              </w:rPr>
              <w:t>.</w:t>
            </w:r>
            <w:r w:rsidRPr="00843561">
              <w:rPr>
                <w:rFonts w:cs="Arial"/>
                <w:color w:val="000000"/>
              </w:rPr>
              <w:t>520,55</w:t>
            </w:r>
          </w:p>
        </w:tc>
        <w:tc>
          <w:tcPr>
            <w:tcW w:w="1276" w:type="dxa"/>
            <w:vAlign w:val="bottom"/>
          </w:tcPr>
          <w:p w14:paraId="2538BE5E" w14:textId="1CEB4132" w:rsidR="002A30E5" w:rsidRPr="00843561" w:rsidRDefault="002A30E5" w:rsidP="002A30E5">
            <w:pPr>
              <w:spacing w:before="0" w:after="0"/>
              <w:ind w:left="113"/>
              <w:jc w:val="right"/>
              <w:rPr>
                <w:rFonts w:cs="Arial"/>
                <w:color w:val="000000"/>
              </w:rPr>
            </w:pPr>
            <w:r w:rsidRPr="004A6580">
              <w:rPr>
                <w:rFonts w:cs="Arial"/>
                <w:color w:val="000000"/>
              </w:rPr>
              <w:t>35</w:t>
            </w:r>
            <w:r>
              <w:rPr>
                <w:rFonts w:cs="Arial"/>
                <w:color w:val="000000"/>
              </w:rPr>
              <w:t>.</w:t>
            </w:r>
            <w:r w:rsidRPr="004A6580">
              <w:rPr>
                <w:rFonts w:cs="Arial"/>
                <w:color w:val="000000"/>
              </w:rPr>
              <w:t>739,29</w:t>
            </w:r>
          </w:p>
        </w:tc>
        <w:tc>
          <w:tcPr>
            <w:tcW w:w="1276" w:type="dxa"/>
            <w:vAlign w:val="bottom"/>
          </w:tcPr>
          <w:p w14:paraId="35AC5A3B" w14:textId="57245B81" w:rsidR="002A30E5" w:rsidRPr="00843561" w:rsidRDefault="002A30E5" w:rsidP="002A30E5">
            <w:pPr>
              <w:spacing w:before="0" w:after="0"/>
              <w:ind w:left="113"/>
              <w:jc w:val="right"/>
              <w:rPr>
                <w:rFonts w:cs="Arial"/>
                <w:color w:val="000000"/>
              </w:rPr>
            </w:pPr>
            <w:r w:rsidRPr="004A6580">
              <w:rPr>
                <w:rFonts w:cs="Arial"/>
                <w:color w:val="000000"/>
              </w:rPr>
              <w:t>38</w:t>
            </w:r>
            <w:r>
              <w:rPr>
                <w:rFonts w:cs="Arial"/>
                <w:color w:val="000000"/>
              </w:rPr>
              <w:t>.</w:t>
            </w:r>
            <w:r w:rsidRPr="004A6580">
              <w:rPr>
                <w:rFonts w:cs="Arial"/>
                <w:color w:val="000000"/>
              </w:rPr>
              <w:t>958,1</w:t>
            </w:r>
          </w:p>
        </w:tc>
        <w:tc>
          <w:tcPr>
            <w:tcW w:w="1276" w:type="dxa"/>
            <w:vAlign w:val="bottom"/>
          </w:tcPr>
          <w:p w14:paraId="7682AC02" w14:textId="678599AD" w:rsidR="002A30E5" w:rsidRPr="004A6580" w:rsidRDefault="002A30E5" w:rsidP="002A30E5">
            <w:pPr>
              <w:spacing w:before="0" w:after="0"/>
              <w:ind w:left="113"/>
              <w:jc w:val="right"/>
              <w:rPr>
                <w:rFonts w:cs="Arial"/>
                <w:color w:val="000000"/>
              </w:rPr>
            </w:pPr>
            <w:r w:rsidRPr="002A30E5">
              <w:rPr>
                <w:rFonts w:cs="Arial"/>
                <w:color w:val="000000"/>
              </w:rPr>
              <w:t>42.176,84</w:t>
            </w:r>
          </w:p>
        </w:tc>
      </w:tr>
      <w:tr w:rsidR="002A30E5" w:rsidRPr="00843561" w14:paraId="67057D34" w14:textId="7E5948AB" w:rsidTr="002A30E5">
        <w:trPr>
          <w:trHeight w:val="300"/>
          <w:jc w:val="center"/>
        </w:trPr>
        <w:tc>
          <w:tcPr>
            <w:tcW w:w="1163" w:type="dxa"/>
            <w:shd w:val="clear" w:color="auto" w:fill="C0C0C0"/>
            <w:noWrap/>
            <w:vAlign w:val="bottom"/>
          </w:tcPr>
          <w:p w14:paraId="7ABEB1CA" w14:textId="77777777" w:rsidR="002A30E5" w:rsidRPr="00037A46" w:rsidRDefault="002A30E5" w:rsidP="002A30E5">
            <w:pPr>
              <w:spacing w:before="0" w:after="0"/>
              <w:ind w:hanging="764"/>
              <w:jc w:val="right"/>
              <w:rPr>
                <w:b/>
                <w:bCs/>
                <w:lang w:val="en-US"/>
              </w:rPr>
            </w:pPr>
            <w:r w:rsidRPr="00037A46">
              <w:rPr>
                <w:b/>
                <w:bCs/>
                <w:lang w:val="en-US"/>
              </w:rPr>
              <w:t>16</w:t>
            </w:r>
          </w:p>
        </w:tc>
        <w:tc>
          <w:tcPr>
            <w:tcW w:w="1143" w:type="dxa"/>
            <w:vAlign w:val="bottom"/>
          </w:tcPr>
          <w:p w14:paraId="7AD6DE26" w14:textId="26E02087" w:rsidR="002A30E5" w:rsidRPr="00843561" w:rsidRDefault="002A30E5" w:rsidP="002A30E5">
            <w:pPr>
              <w:spacing w:before="0" w:after="0"/>
              <w:ind w:left="113"/>
              <w:jc w:val="right"/>
              <w:rPr>
                <w:rFonts w:cs="Arial"/>
                <w:color w:val="000000"/>
              </w:rPr>
            </w:pPr>
            <w:r w:rsidRPr="004A6580">
              <w:rPr>
                <w:rFonts w:cs="Arial"/>
                <w:color w:val="000000"/>
              </w:rPr>
              <w:t>21.281,92</w:t>
            </w:r>
          </w:p>
        </w:tc>
        <w:tc>
          <w:tcPr>
            <w:tcW w:w="1228" w:type="dxa"/>
            <w:vAlign w:val="bottom"/>
          </w:tcPr>
          <w:p w14:paraId="2F267FAE" w14:textId="37041489" w:rsidR="002A30E5" w:rsidRPr="00843561" w:rsidRDefault="002A30E5" w:rsidP="002A30E5">
            <w:pPr>
              <w:spacing w:before="0" w:after="0"/>
              <w:ind w:left="113"/>
              <w:jc w:val="right"/>
              <w:rPr>
                <w:rFonts w:cs="Arial"/>
                <w:color w:val="000000"/>
              </w:rPr>
            </w:pPr>
            <w:r w:rsidRPr="004A6580">
              <w:rPr>
                <w:rFonts w:cs="Arial"/>
                <w:color w:val="000000"/>
              </w:rPr>
              <w:t>23.029,35</w:t>
            </w:r>
          </w:p>
        </w:tc>
        <w:tc>
          <w:tcPr>
            <w:tcW w:w="1276" w:type="dxa"/>
            <w:tcBorders>
              <w:top w:val="nil"/>
              <w:left w:val="single" w:sz="4" w:space="0" w:color="auto"/>
              <w:bottom w:val="nil"/>
              <w:right w:val="single" w:sz="4" w:space="0" w:color="auto"/>
            </w:tcBorders>
            <w:vAlign w:val="bottom"/>
          </w:tcPr>
          <w:p w14:paraId="3DE737E7" w14:textId="04AEA941" w:rsidR="002A30E5" w:rsidRPr="004A6580" w:rsidRDefault="002A30E5" w:rsidP="002A30E5">
            <w:pPr>
              <w:spacing w:before="0" w:after="0"/>
              <w:ind w:left="113"/>
              <w:jc w:val="right"/>
              <w:rPr>
                <w:rFonts w:cs="Arial"/>
                <w:color w:val="000000"/>
              </w:rPr>
            </w:pPr>
            <w:r w:rsidRPr="00843561">
              <w:rPr>
                <w:rFonts w:cs="Arial"/>
                <w:color w:val="000000"/>
              </w:rPr>
              <w:t>23</w:t>
            </w:r>
            <w:r>
              <w:rPr>
                <w:rFonts w:cs="Arial"/>
                <w:color w:val="000000"/>
              </w:rPr>
              <w:t>.</w:t>
            </w:r>
            <w:r w:rsidRPr="00843561">
              <w:rPr>
                <w:rFonts w:cs="Arial"/>
                <w:color w:val="000000"/>
              </w:rPr>
              <w:t>843,97</w:t>
            </w:r>
          </w:p>
        </w:tc>
        <w:tc>
          <w:tcPr>
            <w:tcW w:w="1276" w:type="dxa"/>
            <w:tcBorders>
              <w:top w:val="nil"/>
              <w:left w:val="single" w:sz="4" w:space="0" w:color="auto"/>
              <w:bottom w:val="nil"/>
              <w:right w:val="single" w:sz="4" w:space="0" w:color="auto"/>
            </w:tcBorders>
            <w:vAlign w:val="bottom"/>
          </w:tcPr>
          <w:p w14:paraId="6A586857" w14:textId="77777777" w:rsidR="002A30E5" w:rsidRPr="004A6580" w:rsidRDefault="002A30E5" w:rsidP="002A30E5">
            <w:pPr>
              <w:spacing w:before="0" w:after="0"/>
              <w:ind w:left="113"/>
              <w:jc w:val="right"/>
              <w:rPr>
                <w:rFonts w:cs="Arial"/>
                <w:color w:val="000000"/>
              </w:rPr>
            </w:pPr>
            <w:r w:rsidRPr="00843561">
              <w:rPr>
                <w:rFonts w:cs="Arial"/>
                <w:color w:val="000000"/>
              </w:rPr>
              <w:t>26</w:t>
            </w:r>
            <w:r>
              <w:rPr>
                <w:rFonts w:cs="Arial"/>
                <w:color w:val="000000"/>
              </w:rPr>
              <w:t>.</w:t>
            </w:r>
            <w:r w:rsidRPr="00843561">
              <w:rPr>
                <w:rFonts w:cs="Arial"/>
                <w:color w:val="000000"/>
              </w:rPr>
              <w:t>304,99</w:t>
            </w:r>
          </w:p>
        </w:tc>
        <w:tc>
          <w:tcPr>
            <w:tcW w:w="1417" w:type="dxa"/>
            <w:tcBorders>
              <w:top w:val="nil"/>
              <w:left w:val="single" w:sz="4" w:space="0" w:color="auto"/>
              <w:bottom w:val="nil"/>
              <w:right w:val="single" w:sz="4" w:space="0" w:color="auto"/>
            </w:tcBorders>
            <w:vAlign w:val="bottom"/>
          </w:tcPr>
          <w:p w14:paraId="5CA7C020" w14:textId="77777777" w:rsidR="002A30E5" w:rsidRPr="004A6580" w:rsidRDefault="002A30E5" w:rsidP="002A30E5">
            <w:pPr>
              <w:spacing w:before="0" w:after="0"/>
              <w:ind w:left="113"/>
              <w:jc w:val="right"/>
              <w:rPr>
                <w:rFonts w:cs="Arial"/>
                <w:color w:val="000000"/>
              </w:rPr>
            </w:pPr>
            <w:r w:rsidRPr="00843561">
              <w:rPr>
                <w:rFonts w:cs="Arial"/>
                <w:color w:val="000000"/>
              </w:rPr>
              <w:t>28</w:t>
            </w:r>
            <w:r>
              <w:rPr>
                <w:rFonts w:cs="Arial"/>
                <w:color w:val="000000"/>
              </w:rPr>
              <w:t>.</w:t>
            </w:r>
            <w:r w:rsidRPr="00843561">
              <w:rPr>
                <w:rFonts w:cs="Arial"/>
                <w:color w:val="000000"/>
              </w:rPr>
              <w:t>175,81</w:t>
            </w:r>
          </w:p>
        </w:tc>
        <w:tc>
          <w:tcPr>
            <w:tcW w:w="1276" w:type="dxa"/>
            <w:vAlign w:val="bottom"/>
          </w:tcPr>
          <w:p w14:paraId="36E1850F" w14:textId="678ADC09" w:rsidR="002A30E5" w:rsidRPr="00843561" w:rsidRDefault="002A30E5" w:rsidP="002A30E5">
            <w:pPr>
              <w:spacing w:before="0" w:after="0"/>
              <w:ind w:left="113"/>
              <w:jc w:val="right"/>
              <w:rPr>
                <w:rFonts w:cs="Arial"/>
                <w:color w:val="000000"/>
              </w:rPr>
            </w:pPr>
            <w:r w:rsidRPr="004A6580">
              <w:rPr>
                <w:rFonts w:cs="Arial"/>
                <w:color w:val="000000"/>
              </w:rPr>
              <w:t>31</w:t>
            </w:r>
            <w:r>
              <w:rPr>
                <w:rFonts w:cs="Arial"/>
                <w:color w:val="000000"/>
              </w:rPr>
              <w:t>.</w:t>
            </w:r>
            <w:r w:rsidRPr="004A6580">
              <w:rPr>
                <w:rFonts w:cs="Arial"/>
                <w:color w:val="000000"/>
              </w:rPr>
              <w:t>022,89</w:t>
            </w:r>
          </w:p>
        </w:tc>
        <w:tc>
          <w:tcPr>
            <w:tcW w:w="1417" w:type="dxa"/>
            <w:tcBorders>
              <w:top w:val="nil"/>
              <w:left w:val="single" w:sz="4" w:space="0" w:color="auto"/>
              <w:bottom w:val="nil"/>
              <w:right w:val="single" w:sz="4" w:space="0" w:color="auto"/>
            </w:tcBorders>
            <w:vAlign w:val="bottom"/>
          </w:tcPr>
          <w:p w14:paraId="2A826265" w14:textId="58B953AE" w:rsidR="002A30E5" w:rsidRPr="004A6580" w:rsidRDefault="002A30E5" w:rsidP="002A30E5">
            <w:pPr>
              <w:spacing w:before="0" w:after="0"/>
              <w:ind w:left="113"/>
              <w:jc w:val="right"/>
              <w:rPr>
                <w:rFonts w:cs="Arial"/>
                <w:color w:val="000000"/>
              </w:rPr>
            </w:pPr>
            <w:r w:rsidRPr="00843561">
              <w:rPr>
                <w:rFonts w:cs="Arial"/>
                <w:color w:val="000000"/>
              </w:rPr>
              <w:t>32</w:t>
            </w:r>
            <w:r>
              <w:rPr>
                <w:rFonts w:cs="Arial"/>
                <w:color w:val="000000"/>
              </w:rPr>
              <w:t>.</w:t>
            </w:r>
            <w:r w:rsidRPr="00843561">
              <w:rPr>
                <w:rFonts w:cs="Arial"/>
                <w:color w:val="000000"/>
              </w:rPr>
              <w:t>863,9</w:t>
            </w:r>
          </w:p>
        </w:tc>
        <w:tc>
          <w:tcPr>
            <w:tcW w:w="1276" w:type="dxa"/>
            <w:vAlign w:val="bottom"/>
          </w:tcPr>
          <w:p w14:paraId="4E6934B5" w14:textId="30F75E59" w:rsidR="002A30E5" w:rsidRPr="00843561" w:rsidRDefault="002A30E5" w:rsidP="002A30E5">
            <w:pPr>
              <w:spacing w:before="0" w:after="0"/>
              <w:ind w:left="113"/>
              <w:jc w:val="right"/>
              <w:rPr>
                <w:rFonts w:cs="Arial"/>
                <w:color w:val="000000"/>
              </w:rPr>
            </w:pPr>
            <w:r w:rsidRPr="004A6580">
              <w:rPr>
                <w:rFonts w:cs="Arial"/>
                <w:color w:val="000000"/>
              </w:rPr>
              <w:t>36</w:t>
            </w:r>
            <w:r>
              <w:rPr>
                <w:rFonts w:cs="Arial"/>
                <w:color w:val="000000"/>
              </w:rPr>
              <w:t>.</w:t>
            </w:r>
            <w:r w:rsidRPr="004A6580">
              <w:rPr>
                <w:rFonts w:cs="Arial"/>
                <w:color w:val="000000"/>
              </w:rPr>
              <w:t>116,63</w:t>
            </w:r>
          </w:p>
        </w:tc>
        <w:tc>
          <w:tcPr>
            <w:tcW w:w="1276" w:type="dxa"/>
            <w:vAlign w:val="bottom"/>
          </w:tcPr>
          <w:p w14:paraId="3211D0F7" w14:textId="28D74AF7" w:rsidR="002A30E5" w:rsidRPr="00843561" w:rsidRDefault="002A30E5" w:rsidP="002A30E5">
            <w:pPr>
              <w:spacing w:before="0" w:after="0"/>
              <w:ind w:left="113"/>
              <w:jc w:val="right"/>
              <w:rPr>
                <w:rFonts w:cs="Arial"/>
                <w:color w:val="000000"/>
              </w:rPr>
            </w:pPr>
            <w:r w:rsidRPr="004A6580">
              <w:rPr>
                <w:rFonts w:cs="Arial"/>
                <w:color w:val="000000"/>
              </w:rPr>
              <w:t>39</w:t>
            </w:r>
            <w:r>
              <w:rPr>
                <w:rFonts w:cs="Arial"/>
                <w:color w:val="000000"/>
              </w:rPr>
              <w:t>.</w:t>
            </w:r>
            <w:r w:rsidRPr="004A6580">
              <w:rPr>
                <w:rFonts w:cs="Arial"/>
                <w:color w:val="000000"/>
              </w:rPr>
              <w:t>369,43</w:t>
            </w:r>
          </w:p>
        </w:tc>
        <w:tc>
          <w:tcPr>
            <w:tcW w:w="1276" w:type="dxa"/>
            <w:vAlign w:val="bottom"/>
          </w:tcPr>
          <w:p w14:paraId="3EA92940" w14:textId="0B656A14" w:rsidR="002A30E5" w:rsidRPr="004A6580" w:rsidRDefault="002A30E5" w:rsidP="002A30E5">
            <w:pPr>
              <w:spacing w:before="0" w:after="0"/>
              <w:ind w:left="113"/>
              <w:jc w:val="right"/>
              <w:rPr>
                <w:rFonts w:cs="Arial"/>
                <w:color w:val="000000"/>
              </w:rPr>
            </w:pPr>
            <w:r w:rsidRPr="002A30E5">
              <w:rPr>
                <w:rFonts w:cs="Arial"/>
                <w:color w:val="000000"/>
              </w:rPr>
              <w:t>42.622,16</w:t>
            </w:r>
          </w:p>
        </w:tc>
      </w:tr>
      <w:tr w:rsidR="002A30E5" w:rsidRPr="00843561" w14:paraId="63614598" w14:textId="097DA14D" w:rsidTr="002A30E5">
        <w:trPr>
          <w:trHeight w:val="300"/>
          <w:jc w:val="center"/>
        </w:trPr>
        <w:tc>
          <w:tcPr>
            <w:tcW w:w="1163" w:type="dxa"/>
            <w:shd w:val="clear" w:color="auto" w:fill="C0C0C0"/>
            <w:noWrap/>
            <w:vAlign w:val="bottom"/>
          </w:tcPr>
          <w:p w14:paraId="58A11CCA" w14:textId="77777777" w:rsidR="002A30E5" w:rsidRPr="00037A46" w:rsidRDefault="002A30E5" w:rsidP="002A30E5">
            <w:pPr>
              <w:spacing w:before="0" w:after="0"/>
              <w:ind w:hanging="764"/>
              <w:jc w:val="right"/>
              <w:rPr>
                <w:b/>
                <w:bCs/>
                <w:lang w:val="en-US"/>
              </w:rPr>
            </w:pPr>
            <w:r w:rsidRPr="00037A46">
              <w:rPr>
                <w:b/>
                <w:bCs/>
                <w:lang w:val="en-US"/>
              </w:rPr>
              <w:t>17</w:t>
            </w:r>
          </w:p>
        </w:tc>
        <w:tc>
          <w:tcPr>
            <w:tcW w:w="1143" w:type="dxa"/>
            <w:vAlign w:val="bottom"/>
          </w:tcPr>
          <w:p w14:paraId="6F736429" w14:textId="7F4C9C01" w:rsidR="002A30E5" w:rsidRPr="00843561" w:rsidRDefault="002A30E5" w:rsidP="002A30E5">
            <w:pPr>
              <w:spacing w:before="0" w:after="0"/>
              <w:ind w:left="113"/>
              <w:jc w:val="right"/>
              <w:rPr>
                <w:rFonts w:cs="Arial"/>
                <w:color w:val="000000"/>
              </w:rPr>
            </w:pPr>
            <w:r w:rsidRPr="004A6580">
              <w:rPr>
                <w:rFonts w:cs="Arial"/>
                <w:color w:val="000000"/>
              </w:rPr>
              <w:t>21.501,95</w:t>
            </w:r>
          </w:p>
        </w:tc>
        <w:tc>
          <w:tcPr>
            <w:tcW w:w="1228" w:type="dxa"/>
            <w:vAlign w:val="bottom"/>
          </w:tcPr>
          <w:p w14:paraId="6CBD49AD" w14:textId="3294AB87" w:rsidR="002A30E5" w:rsidRPr="00843561" w:rsidRDefault="002A30E5" w:rsidP="002A30E5">
            <w:pPr>
              <w:spacing w:before="0" w:after="0"/>
              <w:ind w:left="113"/>
              <w:jc w:val="right"/>
              <w:rPr>
                <w:rFonts w:cs="Arial"/>
                <w:color w:val="000000"/>
              </w:rPr>
            </w:pPr>
            <w:r w:rsidRPr="004A6580">
              <w:rPr>
                <w:rFonts w:cs="Arial"/>
                <w:color w:val="000000"/>
              </w:rPr>
              <w:t>23.280,73</w:t>
            </w:r>
          </w:p>
        </w:tc>
        <w:tc>
          <w:tcPr>
            <w:tcW w:w="1276" w:type="dxa"/>
            <w:tcBorders>
              <w:top w:val="nil"/>
              <w:left w:val="single" w:sz="4" w:space="0" w:color="auto"/>
              <w:bottom w:val="nil"/>
              <w:right w:val="single" w:sz="4" w:space="0" w:color="auto"/>
            </w:tcBorders>
            <w:vAlign w:val="bottom"/>
          </w:tcPr>
          <w:p w14:paraId="42C87C6A" w14:textId="5BBCC08D" w:rsidR="002A30E5" w:rsidRPr="004A6580" w:rsidRDefault="002A30E5" w:rsidP="002A30E5">
            <w:pPr>
              <w:spacing w:before="0" w:after="0"/>
              <w:ind w:left="113"/>
              <w:jc w:val="right"/>
              <w:rPr>
                <w:rFonts w:cs="Arial"/>
                <w:color w:val="000000"/>
              </w:rPr>
            </w:pPr>
            <w:r w:rsidRPr="00843561">
              <w:rPr>
                <w:rFonts w:cs="Arial"/>
                <w:color w:val="000000"/>
              </w:rPr>
              <w:t>24</w:t>
            </w:r>
            <w:r>
              <w:rPr>
                <w:rFonts w:cs="Arial"/>
                <w:color w:val="000000"/>
              </w:rPr>
              <w:t>.</w:t>
            </w:r>
            <w:r w:rsidRPr="00843561">
              <w:rPr>
                <w:rFonts w:cs="Arial"/>
                <w:color w:val="000000"/>
              </w:rPr>
              <w:t>076,83</w:t>
            </w:r>
          </w:p>
        </w:tc>
        <w:tc>
          <w:tcPr>
            <w:tcW w:w="1276" w:type="dxa"/>
            <w:tcBorders>
              <w:top w:val="nil"/>
              <w:left w:val="single" w:sz="4" w:space="0" w:color="auto"/>
              <w:bottom w:val="nil"/>
              <w:right w:val="single" w:sz="4" w:space="0" w:color="auto"/>
            </w:tcBorders>
            <w:vAlign w:val="bottom"/>
          </w:tcPr>
          <w:p w14:paraId="2059B9AA" w14:textId="77777777" w:rsidR="002A30E5" w:rsidRPr="004A6580" w:rsidRDefault="002A30E5" w:rsidP="002A30E5">
            <w:pPr>
              <w:spacing w:before="0" w:after="0"/>
              <w:ind w:left="113"/>
              <w:jc w:val="right"/>
              <w:rPr>
                <w:rFonts w:cs="Arial"/>
                <w:color w:val="000000"/>
              </w:rPr>
            </w:pPr>
            <w:r w:rsidRPr="00843561">
              <w:rPr>
                <w:rFonts w:cs="Arial"/>
                <w:color w:val="000000"/>
              </w:rPr>
              <w:t>26</w:t>
            </w:r>
            <w:r>
              <w:rPr>
                <w:rFonts w:cs="Arial"/>
                <w:color w:val="000000"/>
              </w:rPr>
              <w:t>.</w:t>
            </w:r>
            <w:r w:rsidRPr="00843561">
              <w:rPr>
                <w:rFonts w:cs="Arial"/>
                <w:color w:val="000000"/>
              </w:rPr>
              <w:t>607,19</w:t>
            </w:r>
          </w:p>
        </w:tc>
        <w:tc>
          <w:tcPr>
            <w:tcW w:w="1417" w:type="dxa"/>
            <w:tcBorders>
              <w:top w:val="nil"/>
              <w:left w:val="single" w:sz="4" w:space="0" w:color="auto"/>
              <w:bottom w:val="nil"/>
              <w:right w:val="single" w:sz="4" w:space="0" w:color="auto"/>
            </w:tcBorders>
            <w:vAlign w:val="bottom"/>
          </w:tcPr>
          <w:p w14:paraId="2D34695A" w14:textId="77777777" w:rsidR="002A30E5" w:rsidRPr="004A6580" w:rsidRDefault="002A30E5" w:rsidP="002A30E5">
            <w:pPr>
              <w:spacing w:before="0" w:after="0"/>
              <w:ind w:left="113"/>
              <w:jc w:val="right"/>
              <w:rPr>
                <w:rFonts w:cs="Arial"/>
                <w:color w:val="000000"/>
              </w:rPr>
            </w:pPr>
            <w:r w:rsidRPr="00843561">
              <w:rPr>
                <w:rFonts w:cs="Arial"/>
                <w:color w:val="000000"/>
              </w:rPr>
              <w:t>28</w:t>
            </w:r>
            <w:r>
              <w:rPr>
                <w:rFonts w:cs="Arial"/>
                <w:color w:val="000000"/>
              </w:rPr>
              <w:t>.</w:t>
            </w:r>
            <w:r w:rsidRPr="00843561">
              <w:rPr>
                <w:rFonts w:cs="Arial"/>
                <w:color w:val="000000"/>
              </w:rPr>
              <w:t>499,56</w:t>
            </w:r>
          </w:p>
        </w:tc>
        <w:tc>
          <w:tcPr>
            <w:tcW w:w="1276" w:type="dxa"/>
            <w:vAlign w:val="bottom"/>
          </w:tcPr>
          <w:p w14:paraId="7D41D96C" w14:textId="552834B0" w:rsidR="002A30E5" w:rsidRPr="00843561" w:rsidRDefault="002A30E5" w:rsidP="002A30E5">
            <w:pPr>
              <w:spacing w:before="0" w:after="0"/>
              <w:ind w:left="113"/>
              <w:jc w:val="right"/>
              <w:rPr>
                <w:rFonts w:cs="Arial"/>
                <w:color w:val="000000"/>
              </w:rPr>
            </w:pPr>
            <w:r w:rsidRPr="004A6580">
              <w:rPr>
                <w:rFonts w:cs="Arial"/>
                <w:color w:val="000000"/>
              </w:rPr>
              <w:t>31</w:t>
            </w:r>
            <w:r>
              <w:rPr>
                <w:rFonts w:cs="Arial"/>
                <w:color w:val="000000"/>
              </w:rPr>
              <w:t>.</w:t>
            </w:r>
            <w:r w:rsidRPr="004A6580">
              <w:rPr>
                <w:rFonts w:cs="Arial"/>
                <w:color w:val="000000"/>
              </w:rPr>
              <w:t>397,12</w:t>
            </w:r>
          </w:p>
        </w:tc>
        <w:tc>
          <w:tcPr>
            <w:tcW w:w="1417" w:type="dxa"/>
            <w:tcBorders>
              <w:top w:val="nil"/>
              <w:left w:val="single" w:sz="4" w:space="0" w:color="auto"/>
              <w:bottom w:val="nil"/>
              <w:right w:val="single" w:sz="4" w:space="0" w:color="auto"/>
            </w:tcBorders>
            <w:vAlign w:val="bottom"/>
          </w:tcPr>
          <w:p w14:paraId="4EBA7D2F" w14:textId="28CDE106" w:rsidR="002A30E5" w:rsidRPr="004A6580" w:rsidRDefault="002A30E5" w:rsidP="002A30E5">
            <w:pPr>
              <w:spacing w:before="0" w:after="0"/>
              <w:ind w:left="113"/>
              <w:jc w:val="right"/>
              <w:rPr>
                <w:rFonts w:cs="Arial"/>
                <w:color w:val="000000"/>
              </w:rPr>
            </w:pPr>
            <w:r w:rsidRPr="00843561">
              <w:rPr>
                <w:rFonts w:cs="Arial"/>
                <w:color w:val="000000"/>
              </w:rPr>
              <w:t>33</w:t>
            </w:r>
            <w:r>
              <w:rPr>
                <w:rFonts w:cs="Arial"/>
                <w:color w:val="000000"/>
              </w:rPr>
              <w:t>.</w:t>
            </w:r>
            <w:r w:rsidRPr="00843561">
              <w:rPr>
                <w:rFonts w:cs="Arial"/>
                <w:color w:val="000000"/>
              </w:rPr>
              <w:t>184,89</w:t>
            </w:r>
          </w:p>
        </w:tc>
        <w:tc>
          <w:tcPr>
            <w:tcW w:w="1276" w:type="dxa"/>
            <w:vAlign w:val="bottom"/>
          </w:tcPr>
          <w:p w14:paraId="731DB98A" w14:textId="0D131ACA" w:rsidR="002A30E5" w:rsidRPr="00843561" w:rsidRDefault="002A30E5" w:rsidP="002A30E5">
            <w:pPr>
              <w:spacing w:before="0" w:after="0"/>
              <w:ind w:left="113"/>
              <w:jc w:val="right"/>
              <w:rPr>
                <w:rFonts w:cs="Arial"/>
                <w:color w:val="000000"/>
              </w:rPr>
            </w:pPr>
            <w:r w:rsidRPr="004A6580">
              <w:rPr>
                <w:rFonts w:cs="Arial"/>
                <w:color w:val="000000"/>
              </w:rPr>
              <w:t>36</w:t>
            </w:r>
            <w:r>
              <w:rPr>
                <w:rFonts w:cs="Arial"/>
                <w:color w:val="000000"/>
              </w:rPr>
              <w:t>.</w:t>
            </w:r>
            <w:r w:rsidRPr="004A6580">
              <w:rPr>
                <w:rFonts w:cs="Arial"/>
                <w:color w:val="000000"/>
              </w:rPr>
              <w:t>469,38</w:t>
            </w:r>
          </w:p>
        </w:tc>
        <w:tc>
          <w:tcPr>
            <w:tcW w:w="1276" w:type="dxa"/>
            <w:vAlign w:val="bottom"/>
          </w:tcPr>
          <w:p w14:paraId="09AB8AF0" w14:textId="6663BD2B" w:rsidR="002A30E5" w:rsidRPr="00843561" w:rsidRDefault="002A30E5" w:rsidP="002A30E5">
            <w:pPr>
              <w:spacing w:before="0" w:after="0"/>
              <w:ind w:left="113"/>
              <w:jc w:val="right"/>
              <w:rPr>
                <w:rFonts w:cs="Arial"/>
                <w:color w:val="000000"/>
              </w:rPr>
            </w:pPr>
            <w:r w:rsidRPr="004A6580">
              <w:rPr>
                <w:rFonts w:cs="Arial"/>
                <w:color w:val="000000"/>
              </w:rPr>
              <w:t>39</w:t>
            </w:r>
            <w:r>
              <w:rPr>
                <w:rFonts w:cs="Arial"/>
                <w:color w:val="000000"/>
              </w:rPr>
              <w:t>.</w:t>
            </w:r>
            <w:r w:rsidRPr="004A6580">
              <w:rPr>
                <w:rFonts w:cs="Arial"/>
                <w:color w:val="000000"/>
              </w:rPr>
              <w:t>753,94</w:t>
            </w:r>
          </w:p>
        </w:tc>
        <w:tc>
          <w:tcPr>
            <w:tcW w:w="1276" w:type="dxa"/>
            <w:vAlign w:val="bottom"/>
          </w:tcPr>
          <w:p w14:paraId="73082E0D" w14:textId="4CA327C7" w:rsidR="002A30E5" w:rsidRPr="004A6580" w:rsidRDefault="002A30E5" w:rsidP="002A30E5">
            <w:pPr>
              <w:spacing w:before="0" w:after="0"/>
              <w:ind w:left="113"/>
              <w:jc w:val="right"/>
              <w:rPr>
                <w:rFonts w:cs="Arial"/>
                <w:color w:val="000000"/>
              </w:rPr>
            </w:pPr>
            <w:r w:rsidRPr="002A30E5">
              <w:rPr>
                <w:rFonts w:cs="Arial"/>
                <w:color w:val="000000"/>
              </w:rPr>
              <w:t>43.038,43</w:t>
            </w:r>
          </w:p>
        </w:tc>
      </w:tr>
      <w:tr w:rsidR="002A30E5" w:rsidRPr="00843561" w14:paraId="10855E1C" w14:textId="5FF32E82" w:rsidTr="002A30E5">
        <w:trPr>
          <w:trHeight w:val="300"/>
          <w:jc w:val="center"/>
        </w:trPr>
        <w:tc>
          <w:tcPr>
            <w:tcW w:w="1163" w:type="dxa"/>
            <w:shd w:val="clear" w:color="auto" w:fill="C0C0C0"/>
            <w:noWrap/>
            <w:vAlign w:val="bottom"/>
          </w:tcPr>
          <w:p w14:paraId="25B7CA09" w14:textId="77777777" w:rsidR="002A30E5" w:rsidRPr="00037A46" w:rsidRDefault="002A30E5" w:rsidP="002A30E5">
            <w:pPr>
              <w:spacing w:before="0" w:after="0"/>
              <w:ind w:hanging="764"/>
              <w:jc w:val="right"/>
              <w:rPr>
                <w:b/>
                <w:bCs/>
                <w:lang w:val="en-US"/>
              </w:rPr>
            </w:pPr>
            <w:r w:rsidRPr="00037A46">
              <w:rPr>
                <w:b/>
                <w:bCs/>
                <w:lang w:val="en-US"/>
              </w:rPr>
              <w:t>18</w:t>
            </w:r>
          </w:p>
        </w:tc>
        <w:tc>
          <w:tcPr>
            <w:tcW w:w="1143" w:type="dxa"/>
            <w:vAlign w:val="bottom"/>
          </w:tcPr>
          <w:p w14:paraId="1607B062" w14:textId="3909BEB6" w:rsidR="002A30E5" w:rsidRPr="00843561" w:rsidRDefault="002A30E5" w:rsidP="002A30E5">
            <w:pPr>
              <w:spacing w:before="0" w:after="0"/>
              <w:ind w:left="113"/>
              <w:jc w:val="right"/>
              <w:rPr>
                <w:rFonts w:cs="Arial"/>
                <w:color w:val="000000"/>
              </w:rPr>
            </w:pPr>
            <w:r w:rsidRPr="004A6580">
              <w:rPr>
                <w:rFonts w:cs="Arial"/>
                <w:color w:val="000000"/>
              </w:rPr>
              <w:t>21.707,65</w:t>
            </w:r>
          </w:p>
        </w:tc>
        <w:tc>
          <w:tcPr>
            <w:tcW w:w="1228" w:type="dxa"/>
            <w:vAlign w:val="bottom"/>
          </w:tcPr>
          <w:p w14:paraId="51946021" w14:textId="0C853921" w:rsidR="002A30E5" w:rsidRPr="00843561" w:rsidRDefault="002A30E5" w:rsidP="002A30E5">
            <w:pPr>
              <w:spacing w:before="0" w:after="0"/>
              <w:ind w:left="113"/>
              <w:jc w:val="right"/>
              <w:rPr>
                <w:rFonts w:cs="Arial"/>
                <w:color w:val="000000"/>
              </w:rPr>
            </w:pPr>
            <w:r w:rsidRPr="004A6580">
              <w:rPr>
                <w:rFonts w:cs="Arial"/>
                <w:color w:val="000000"/>
              </w:rPr>
              <w:t>23.515,82</w:t>
            </w:r>
          </w:p>
        </w:tc>
        <w:tc>
          <w:tcPr>
            <w:tcW w:w="1276" w:type="dxa"/>
            <w:tcBorders>
              <w:top w:val="nil"/>
              <w:left w:val="single" w:sz="4" w:space="0" w:color="auto"/>
              <w:bottom w:val="nil"/>
              <w:right w:val="single" w:sz="4" w:space="0" w:color="auto"/>
            </w:tcBorders>
            <w:vAlign w:val="bottom"/>
          </w:tcPr>
          <w:p w14:paraId="062DC623" w14:textId="3DBEBC69" w:rsidR="002A30E5" w:rsidRPr="004A6580" w:rsidRDefault="002A30E5" w:rsidP="002A30E5">
            <w:pPr>
              <w:spacing w:before="0" w:after="0"/>
              <w:ind w:left="113"/>
              <w:jc w:val="right"/>
              <w:rPr>
                <w:rFonts w:cs="Arial"/>
                <w:color w:val="000000"/>
              </w:rPr>
            </w:pPr>
            <w:r w:rsidRPr="00843561">
              <w:rPr>
                <w:rFonts w:cs="Arial"/>
                <w:color w:val="000000"/>
              </w:rPr>
              <w:t>24</w:t>
            </w:r>
            <w:r>
              <w:rPr>
                <w:rFonts w:cs="Arial"/>
                <w:color w:val="000000"/>
              </w:rPr>
              <w:t>.</w:t>
            </w:r>
            <w:r w:rsidRPr="00843561">
              <w:rPr>
                <w:rFonts w:cs="Arial"/>
                <w:color w:val="000000"/>
              </w:rPr>
              <w:t>294,29</w:t>
            </w:r>
          </w:p>
        </w:tc>
        <w:tc>
          <w:tcPr>
            <w:tcW w:w="1276" w:type="dxa"/>
            <w:tcBorders>
              <w:top w:val="nil"/>
              <w:left w:val="single" w:sz="4" w:space="0" w:color="auto"/>
              <w:bottom w:val="nil"/>
              <w:right w:val="single" w:sz="4" w:space="0" w:color="auto"/>
            </w:tcBorders>
            <w:vAlign w:val="bottom"/>
          </w:tcPr>
          <w:p w14:paraId="2516D1F5" w14:textId="77777777" w:rsidR="002A30E5" w:rsidRPr="004A6580" w:rsidRDefault="002A30E5" w:rsidP="002A30E5">
            <w:pPr>
              <w:spacing w:before="0" w:after="0"/>
              <w:ind w:left="113"/>
              <w:jc w:val="right"/>
              <w:rPr>
                <w:rFonts w:cs="Arial"/>
                <w:color w:val="000000"/>
              </w:rPr>
            </w:pPr>
            <w:r w:rsidRPr="00843561">
              <w:rPr>
                <w:rFonts w:cs="Arial"/>
                <w:color w:val="000000"/>
              </w:rPr>
              <w:t>26</w:t>
            </w:r>
            <w:r>
              <w:rPr>
                <w:rFonts w:cs="Arial"/>
                <w:color w:val="000000"/>
              </w:rPr>
              <w:t>.</w:t>
            </w:r>
            <w:r w:rsidRPr="00843561">
              <w:rPr>
                <w:rFonts w:cs="Arial"/>
                <w:color w:val="000000"/>
              </w:rPr>
              <w:t>890,06</w:t>
            </w:r>
          </w:p>
        </w:tc>
        <w:tc>
          <w:tcPr>
            <w:tcW w:w="1417" w:type="dxa"/>
            <w:tcBorders>
              <w:top w:val="nil"/>
              <w:left w:val="single" w:sz="4" w:space="0" w:color="auto"/>
              <w:bottom w:val="nil"/>
              <w:right w:val="single" w:sz="4" w:space="0" w:color="auto"/>
            </w:tcBorders>
            <w:vAlign w:val="bottom"/>
          </w:tcPr>
          <w:p w14:paraId="7781620B" w14:textId="77777777" w:rsidR="002A30E5" w:rsidRPr="004A6580" w:rsidRDefault="002A30E5" w:rsidP="002A30E5">
            <w:pPr>
              <w:spacing w:before="0" w:after="0"/>
              <w:ind w:left="113"/>
              <w:jc w:val="right"/>
              <w:rPr>
                <w:rFonts w:cs="Arial"/>
                <w:color w:val="000000"/>
              </w:rPr>
            </w:pPr>
            <w:r w:rsidRPr="00843561">
              <w:rPr>
                <w:rFonts w:cs="Arial"/>
                <w:color w:val="000000"/>
              </w:rPr>
              <w:t>28</w:t>
            </w:r>
            <w:r>
              <w:rPr>
                <w:rFonts w:cs="Arial"/>
                <w:color w:val="000000"/>
              </w:rPr>
              <w:t>.</w:t>
            </w:r>
            <w:r w:rsidRPr="00843561">
              <w:rPr>
                <w:rFonts w:cs="Arial"/>
                <w:color w:val="000000"/>
              </w:rPr>
              <w:t>802,5</w:t>
            </w:r>
          </w:p>
        </w:tc>
        <w:tc>
          <w:tcPr>
            <w:tcW w:w="1276" w:type="dxa"/>
            <w:vAlign w:val="bottom"/>
          </w:tcPr>
          <w:p w14:paraId="289117E1" w14:textId="027A219A" w:rsidR="002A30E5" w:rsidRPr="00843561" w:rsidRDefault="002A30E5" w:rsidP="002A30E5">
            <w:pPr>
              <w:spacing w:before="0" w:after="0"/>
              <w:ind w:left="113"/>
              <w:jc w:val="right"/>
              <w:rPr>
                <w:rFonts w:cs="Arial"/>
                <w:color w:val="000000"/>
              </w:rPr>
            </w:pPr>
            <w:r w:rsidRPr="004A6580">
              <w:rPr>
                <w:rFonts w:cs="Arial"/>
                <w:color w:val="000000"/>
              </w:rPr>
              <w:t>31</w:t>
            </w:r>
            <w:r>
              <w:rPr>
                <w:rFonts w:cs="Arial"/>
                <w:color w:val="000000"/>
              </w:rPr>
              <w:t>.</w:t>
            </w:r>
            <w:r w:rsidRPr="004A6580">
              <w:rPr>
                <w:rFonts w:cs="Arial"/>
                <w:color w:val="000000"/>
              </w:rPr>
              <w:t>747,49</w:t>
            </w:r>
          </w:p>
        </w:tc>
        <w:tc>
          <w:tcPr>
            <w:tcW w:w="1417" w:type="dxa"/>
            <w:tcBorders>
              <w:top w:val="nil"/>
              <w:left w:val="single" w:sz="4" w:space="0" w:color="auto"/>
              <w:bottom w:val="nil"/>
              <w:right w:val="single" w:sz="4" w:space="0" w:color="auto"/>
            </w:tcBorders>
            <w:vAlign w:val="bottom"/>
          </w:tcPr>
          <w:p w14:paraId="399B291F" w14:textId="6088A369" w:rsidR="002A30E5" w:rsidRPr="004A6580" w:rsidRDefault="002A30E5" w:rsidP="002A30E5">
            <w:pPr>
              <w:spacing w:before="0" w:after="0"/>
              <w:ind w:left="113"/>
              <w:jc w:val="right"/>
              <w:rPr>
                <w:rFonts w:cs="Arial"/>
                <w:color w:val="000000"/>
              </w:rPr>
            </w:pPr>
            <w:r w:rsidRPr="00843561">
              <w:rPr>
                <w:rFonts w:cs="Arial"/>
                <w:color w:val="000000"/>
              </w:rPr>
              <w:t>33</w:t>
            </w:r>
            <w:r>
              <w:rPr>
                <w:rFonts w:cs="Arial"/>
                <w:color w:val="000000"/>
              </w:rPr>
              <w:t>.</w:t>
            </w:r>
            <w:r w:rsidRPr="00843561">
              <w:rPr>
                <w:rFonts w:cs="Arial"/>
                <w:color w:val="000000"/>
              </w:rPr>
              <w:t>484,72</w:t>
            </w:r>
          </w:p>
        </w:tc>
        <w:tc>
          <w:tcPr>
            <w:tcW w:w="1276" w:type="dxa"/>
            <w:vAlign w:val="bottom"/>
          </w:tcPr>
          <w:p w14:paraId="4E0D0EE8" w14:textId="193E7B76" w:rsidR="002A30E5" w:rsidRPr="00843561" w:rsidRDefault="002A30E5" w:rsidP="002A30E5">
            <w:pPr>
              <w:spacing w:before="0" w:after="0"/>
              <w:ind w:left="113"/>
              <w:jc w:val="right"/>
              <w:rPr>
                <w:rFonts w:cs="Arial"/>
                <w:color w:val="000000"/>
              </w:rPr>
            </w:pPr>
            <w:r w:rsidRPr="004A6580">
              <w:rPr>
                <w:rFonts w:cs="Arial"/>
                <w:color w:val="000000"/>
              </w:rPr>
              <w:t>36</w:t>
            </w:r>
            <w:r>
              <w:rPr>
                <w:rFonts w:cs="Arial"/>
                <w:color w:val="000000"/>
              </w:rPr>
              <w:t>.</w:t>
            </w:r>
            <w:r w:rsidRPr="004A6580">
              <w:rPr>
                <w:rFonts w:cs="Arial"/>
                <w:color w:val="000000"/>
              </w:rPr>
              <w:t>798,87</w:t>
            </w:r>
          </w:p>
        </w:tc>
        <w:tc>
          <w:tcPr>
            <w:tcW w:w="1276" w:type="dxa"/>
            <w:vAlign w:val="bottom"/>
          </w:tcPr>
          <w:p w14:paraId="699B50AB" w14:textId="179602F7" w:rsidR="002A30E5" w:rsidRPr="00843561" w:rsidRDefault="002A30E5" w:rsidP="002A30E5">
            <w:pPr>
              <w:spacing w:before="0" w:after="0"/>
              <w:ind w:left="113"/>
              <w:jc w:val="right"/>
              <w:rPr>
                <w:rFonts w:cs="Arial"/>
                <w:color w:val="000000"/>
              </w:rPr>
            </w:pPr>
            <w:r w:rsidRPr="004A6580">
              <w:rPr>
                <w:rFonts w:cs="Arial"/>
                <w:color w:val="000000"/>
              </w:rPr>
              <w:t>40</w:t>
            </w:r>
            <w:r>
              <w:rPr>
                <w:rFonts w:cs="Arial"/>
                <w:color w:val="000000"/>
              </w:rPr>
              <w:t>.</w:t>
            </w:r>
            <w:r w:rsidRPr="004A6580">
              <w:rPr>
                <w:rFonts w:cs="Arial"/>
                <w:color w:val="000000"/>
              </w:rPr>
              <w:t>113,1</w:t>
            </w:r>
          </w:p>
        </w:tc>
        <w:tc>
          <w:tcPr>
            <w:tcW w:w="1276" w:type="dxa"/>
            <w:vAlign w:val="bottom"/>
          </w:tcPr>
          <w:p w14:paraId="54CF9F23" w14:textId="2A39E512" w:rsidR="002A30E5" w:rsidRPr="004A6580" w:rsidRDefault="002A30E5" w:rsidP="002A30E5">
            <w:pPr>
              <w:spacing w:before="0" w:after="0"/>
              <w:ind w:left="113"/>
              <w:jc w:val="right"/>
              <w:rPr>
                <w:rFonts w:cs="Arial"/>
                <w:color w:val="000000"/>
              </w:rPr>
            </w:pPr>
            <w:r w:rsidRPr="002A30E5">
              <w:rPr>
                <w:rFonts w:cs="Arial"/>
                <w:color w:val="000000"/>
              </w:rPr>
              <w:t>43.427,26</w:t>
            </w:r>
          </w:p>
        </w:tc>
      </w:tr>
      <w:tr w:rsidR="002A30E5" w:rsidRPr="00843561" w14:paraId="311A61C2" w14:textId="72D5C268" w:rsidTr="002A30E5">
        <w:trPr>
          <w:trHeight w:val="300"/>
          <w:jc w:val="center"/>
        </w:trPr>
        <w:tc>
          <w:tcPr>
            <w:tcW w:w="1163" w:type="dxa"/>
            <w:shd w:val="clear" w:color="auto" w:fill="C0C0C0"/>
            <w:noWrap/>
            <w:vAlign w:val="bottom"/>
          </w:tcPr>
          <w:p w14:paraId="67781576" w14:textId="77777777" w:rsidR="002A30E5" w:rsidRPr="00037A46" w:rsidRDefault="002A30E5" w:rsidP="002A30E5">
            <w:pPr>
              <w:spacing w:before="0" w:after="0"/>
              <w:ind w:hanging="764"/>
              <w:jc w:val="right"/>
              <w:rPr>
                <w:b/>
                <w:bCs/>
                <w:lang w:val="en-US"/>
              </w:rPr>
            </w:pPr>
            <w:r w:rsidRPr="00037A46">
              <w:rPr>
                <w:b/>
                <w:bCs/>
                <w:lang w:val="en-US"/>
              </w:rPr>
              <w:t>19</w:t>
            </w:r>
          </w:p>
        </w:tc>
        <w:tc>
          <w:tcPr>
            <w:tcW w:w="1143" w:type="dxa"/>
            <w:vAlign w:val="bottom"/>
          </w:tcPr>
          <w:p w14:paraId="4DFB9472" w14:textId="45E618C5" w:rsidR="002A30E5" w:rsidRPr="00843561" w:rsidRDefault="002A30E5" w:rsidP="002A30E5">
            <w:pPr>
              <w:spacing w:before="0" w:after="0"/>
              <w:ind w:left="113"/>
              <w:jc w:val="right"/>
              <w:rPr>
                <w:rFonts w:cs="Arial"/>
                <w:color w:val="000000"/>
              </w:rPr>
            </w:pPr>
            <w:r w:rsidRPr="004A6580">
              <w:rPr>
                <w:rFonts w:cs="Arial"/>
                <w:color w:val="000000"/>
              </w:rPr>
              <w:t>21.899,76</w:t>
            </w:r>
          </w:p>
        </w:tc>
        <w:tc>
          <w:tcPr>
            <w:tcW w:w="1228" w:type="dxa"/>
            <w:vAlign w:val="bottom"/>
          </w:tcPr>
          <w:p w14:paraId="4F8EB9E2" w14:textId="6DED6DB8" w:rsidR="002A30E5" w:rsidRPr="00843561" w:rsidRDefault="002A30E5" w:rsidP="002A30E5">
            <w:pPr>
              <w:spacing w:before="0" w:after="0"/>
              <w:ind w:left="113"/>
              <w:jc w:val="right"/>
              <w:rPr>
                <w:rFonts w:cs="Arial"/>
                <w:color w:val="000000"/>
              </w:rPr>
            </w:pPr>
            <w:r w:rsidRPr="004A6580">
              <w:rPr>
                <w:rFonts w:cs="Arial"/>
                <w:color w:val="000000"/>
              </w:rPr>
              <w:t>23.735,51</w:t>
            </w:r>
          </w:p>
        </w:tc>
        <w:tc>
          <w:tcPr>
            <w:tcW w:w="1276" w:type="dxa"/>
            <w:tcBorders>
              <w:top w:val="nil"/>
              <w:left w:val="single" w:sz="4" w:space="0" w:color="auto"/>
              <w:bottom w:val="nil"/>
              <w:right w:val="single" w:sz="4" w:space="0" w:color="auto"/>
            </w:tcBorders>
            <w:vAlign w:val="bottom"/>
          </w:tcPr>
          <w:p w14:paraId="06C23703" w14:textId="5270A286" w:rsidR="002A30E5" w:rsidRPr="004A6580" w:rsidRDefault="002A30E5" w:rsidP="002A30E5">
            <w:pPr>
              <w:spacing w:before="0" w:after="0"/>
              <w:ind w:left="113"/>
              <w:jc w:val="right"/>
              <w:rPr>
                <w:rFonts w:cs="Arial"/>
                <w:color w:val="000000"/>
              </w:rPr>
            </w:pPr>
            <w:r w:rsidRPr="00843561">
              <w:rPr>
                <w:rFonts w:cs="Arial"/>
                <w:color w:val="000000"/>
              </w:rPr>
              <w:t>24</w:t>
            </w:r>
            <w:r>
              <w:rPr>
                <w:rFonts w:cs="Arial"/>
                <w:color w:val="000000"/>
              </w:rPr>
              <w:t>.</w:t>
            </w:r>
            <w:r w:rsidRPr="00843561">
              <w:rPr>
                <w:rFonts w:cs="Arial"/>
                <w:color w:val="000000"/>
              </w:rPr>
              <w:t>497,35</w:t>
            </w:r>
          </w:p>
        </w:tc>
        <w:tc>
          <w:tcPr>
            <w:tcW w:w="1276" w:type="dxa"/>
            <w:tcBorders>
              <w:top w:val="nil"/>
              <w:left w:val="single" w:sz="4" w:space="0" w:color="auto"/>
              <w:bottom w:val="nil"/>
              <w:right w:val="single" w:sz="4" w:space="0" w:color="auto"/>
            </w:tcBorders>
            <w:vAlign w:val="bottom"/>
          </w:tcPr>
          <w:p w14:paraId="63C52FBA" w14:textId="77777777" w:rsidR="002A30E5" w:rsidRPr="004A6580" w:rsidRDefault="002A30E5" w:rsidP="002A30E5">
            <w:pPr>
              <w:spacing w:before="0" w:after="0"/>
              <w:ind w:left="113"/>
              <w:jc w:val="right"/>
              <w:rPr>
                <w:rFonts w:cs="Arial"/>
                <w:color w:val="000000"/>
              </w:rPr>
            </w:pPr>
            <w:r w:rsidRPr="00843561">
              <w:rPr>
                <w:rFonts w:cs="Arial"/>
                <w:color w:val="000000"/>
              </w:rPr>
              <w:t>27</w:t>
            </w:r>
            <w:r>
              <w:rPr>
                <w:rFonts w:cs="Arial"/>
                <w:color w:val="000000"/>
              </w:rPr>
              <w:t>.</w:t>
            </w:r>
            <w:r w:rsidRPr="00843561">
              <w:rPr>
                <w:rFonts w:cs="Arial"/>
                <w:color w:val="000000"/>
              </w:rPr>
              <w:t>154,34</w:t>
            </w:r>
          </w:p>
        </w:tc>
        <w:tc>
          <w:tcPr>
            <w:tcW w:w="1417" w:type="dxa"/>
            <w:tcBorders>
              <w:top w:val="nil"/>
              <w:left w:val="single" w:sz="4" w:space="0" w:color="auto"/>
              <w:bottom w:val="nil"/>
              <w:right w:val="single" w:sz="4" w:space="0" w:color="auto"/>
            </w:tcBorders>
            <w:vAlign w:val="bottom"/>
          </w:tcPr>
          <w:p w14:paraId="1EC4D0E8" w14:textId="77777777" w:rsidR="002A30E5" w:rsidRPr="004A6580" w:rsidRDefault="002A30E5" w:rsidP="002A30E5">
            <w:pPr>
              <w:spacing w:before="0" w:after="0"/>
              <w:ind w:left="113"/>
              <w:jc w:val="right"/>
              <w:rPr>
                <w:rFonts w:cs="Arial"/>
                <w:color w:val="000000"/>
              </w:rPr>
            </w:pPr>
            <w:r w:rsidRPr="00843561">
              <w:rPr>
                <w:rFonts w:cs="Arial"/>
                <w:color w:val="000000"/>
              </w:rPr>
              <w:t>29</w:t>
            </w:r>
            <w:r>
              <w:rPr>
                <w:rFonts w:cs="Arial"/>
                <w:color w:val="000000"/>
              </w:rPr>
              <w:t>.</w:t>
            </w:r>
            <w:r w:rsidRPr="00843561">
              <w:rPr>
                <w:rFonts w:cs="Arial"/>
                <w:color w:val="000000"/>
              </w:rPr>
              <w:t>085,57</w:t>
            </w:r>
          </w:p>
        </w:tc>
        <w:tc>
          <w:tcPr>
            <w:tcW w:w="1276" w:type="dxa"/>
            <w:vAlign w:val="bottom"/>
          </w:tcPr>
          <w:p w14:paraId="02E7790F" w14:textId="2267C65F" w:rsidR="002A30E5" w:rsidRPr="00843561" w:rsidRDefault="002A30E5" w:rsidP="002A30E5">
            <w:pPr>
              <w:spacing w:before="0" w:after="0"/>
              <w:ind w:left="113"/>
              <w:jc w:val="right"/>
              <w:rPr>
                <w:rFonts w:cs="Arial"/>
                <w:color w:val="000000"/>
              </w:rPr>
            </w:pPr>
            <w:r w:rsidRPr="004A6580">
              <w:rPr>
                <w:rFonts w:cs="Arial"/>
                <w:color w:val="000000"/>
              </w:rPr>
              <w:t>32</w:t>
            </w:r>
            <w:r>
              <w:rPr>
                <w:rFonts w:cs="Arial"/>
                <w:color w:val="000000"/>
              </w:rPr>
              <w:t>.</w:t>
            </w:r>
            <w:r w:rsidRPr="004A6580">
              <w:rPr>
                <w:rFonts w:cs="Arial"/>
                <w:color w:val="000000"/>
              </w:rPr>
              <w:t>075,23</w:t>
            </w:r>
          </w:p>
        </w:tc>
        <w:tc>
          <w:tcPr>
            <w:tcW w:w="1417" w:type="dxa"/>
            <w:tcBorders>
              <w:top w:val="nil"/>
              <w:left w:val="single" w:sz="4" w:space="0" w:color="auto"/>
              <w:bottom w:val="nil"/>
              <w:right w:val="single" w:sz="4" w:space="0" w:color="auto"/>
            </w:tcBorders>
            <w:vAlign w:val="bottom"/>
          </w:tcPr>
          <w:p w14:paraId="7F8F220E" w14:textId="7DA1D693" w:rsidR="002A30E5" w:rsidRPr="004A6580" w:rsidRDefault="002A30E5" w:rsidP="002A30E5">
            <w:pPr>
              <w:spacing w:before="0" w:after="0"/>
              <w:ind w:left="113"/>
              <w:jc w:val="right"/>
              <w:rPr>
                <w:rFonts w:cs="Arial"/>
                <w:color w:val="000000"/>
              </w:rPr>
            </w:pPr>
            <w:r w:rsidRPr="00843561">
              <w:rPr>
                <w:rFonts w:cs="Arial"/>
                <w:color w:val="000000"/>
              </w:rPr>
              <w:t>33</w:t>
            </w:r>
            <w:r>
              <w:rPr>
                <w:rFonts w:cs="Arial"/>
                <w:color w:val="000000"/>
              </w:rPr>
              <w:t>.</w:t>
            </w:r>
            <w:r w:rsidRPr="00843561">
              <w:rPr>
                <w:rFonts w:cs="Arial"/>
                <w:color w:val="000000"/>
              </w:rPr>
              <w:t>764,55</w:t>
            </w:r>
          </w:p>
        </w:tc>
        <w:tc>
          <w:tcPr>
            <w:tcW w:w="1276" w:type="dxa"/>
            <w:vAlign w:val="bottom"/>
          </w:tcPr>
          <w:p w14:paraId="6B67AF6C" w14:textId="2B633D96" w:rsidR="002A30E5" w:rsidRPr="00843561" w:rsidRDefault="002A30E5" w:rsidP="002A30E5">
            <w:pPr>
              <w:spacing w:before="0" w:after="0"/>
              <w:ind w:left="113"/>
              <w:jc w:val="right"/>
              <w:rPr>
                <w:rFonts w:cs="Arial"/>
                <w:color w:val="000000"/>
              </w:rPr>
            </w:pPr>
            <w:r w:rsidRPr="004A6580">
              <w:rPr>
                <w:rFonts w:cs="Arial"/>
                <w:color w:val="000000"/>
              </w:rPr>
              <w:t>37</w:t>
            </w:r>
            <w:r>
              <w:rPr>
                <w:rFonts w:cs="Arial"/>
                <w:color w:val="000000"/>
              </w:rPr>
              <w:t>.</w:t>
            </w:r>
            <w:r w:rsidRPr="004A6580">
              <w:rPr>
                <w:rFonts w:cs="Arial"/>
                <w:color w:val="000000"/>
              </w:rPr>
              <w:t>106,41</w:t>
            </w:r>
          </w:p>
        </w:tc>
        <w:tc>
          <w:tcPr>
            <w:tcW w:w="1276" w:type="dxa"/>
            <w:vAlign w:val="bottom"/>
          </w:tcPr>
          <w:p w14:paraId="739C2E9B" w14:textId="70FC8715" w:rsidR="002A30E5" w:rsidRPr="00843561" w:rsidRDefault="002A30E5" w:rsidP="002A30E5">
            <w:pPr>
              <w:spacing w:before="0" w:after="0"/>
              <w:ind w:left="113"/>
              <w:jc w:val="right"/>
              <w:rPr>
                <w:rFonts w:cs="Arial"/>
                <w:color w:val="000000"/>
              </w:rPr>
            </w:pPr>
            <w:r w:rsidRPr="004A6580">
              <w:rPr>
                <w:rFonts w:cs="Arial"/>
                <w:color w:val="000000"/>
              </w:rPr>
              <w:t>40</w:t>
            </w:r>
            <w:r>
              <w:rPr>
                <w:rFonts w:cs="Arial"/>
                <w:color w:val="000000"/>
              </w:rPr>
              <w:t>.</w:t>
            </w:r>
            <w:r w:rsidRPr="004A6580">
              <w:rPr>
                <w:rFonts w:cs="Arial"/>
                <w:color w:val="000000"/>
              </w:rPr>
              <w:t>448,27</w:t>
            </w:r>
          </w:p>
        </w:tc>
        <w:tc>
          <w:tcPr>
            <w:tcW w:w="1276" w:type="dxa"/>
            <w:vAlign w:val="bottom"/>
          </w:tcPr>
          <w:p w14:paraId="2212F818" w14:textId="0A15ACF9" w:rsidR="002A30E5" w:rsidRPr="004A6580" w:rsidRDefault="002A30E5" w:rsidP="002A30E5">
            <w:pPr>
              <w:spacing w:before="0" w:after="0"/>
              <w:ind w:left="113"/>
              <w:jc w:val="right"/>
              <w:rPr>
                <w:rFonts w:cs="Arial"/>
                <w:color w:val="000000"/>
              </w:rPr>
            </w:pPr>
            <w:r w:rsidRPr="002A30E5">
              <w:rPr>
                <w:rFonts w:cs="Arial"/>
                <w:color w:val="000000"/>
              </w:rPr>
              <w:t>43.790,13</w:t>
            </w:r>
          </w:p>
        </w:tc>
      </w:tr>
      <w:tr w:rsidR="002A30E5" w:rsidRPr="00843561" w14:paraId="5A44E78C" w14:textId="6880425C" w:rsidTr="002A30E5">
        <w:trPr>
          <w:trHeight w:val="300"/>
          <w:jc w:val="center"/>
        </w:trPr>
        <w:tc>
          <w:tcPr>
            <w:tcW w:w="1163" w:type="dxa"/>
            <w:shd w:val="clear" w:color="auto" w:fill="C0C0C0"/>
            <w:noWrap/>
            <w:vAlign w:val="bottom"/>
          </w:tcPr>
          <w:p w14:paraId="5C250DE4" w14:textId="77777777" w:rsidR="002A30E5" w:rsidRPr="00037A46" w:rsidRDefault="002A30E5" w:rsidP="002A30E5">
            <w:pPr>
              <w:spacing w:before="0" w:after="0"/>
              <w:ind w:hanging="764"/>
              <w:jc w:val="right"/>
              <w:rPr>
                <w:b/>
                <w:bCs/>
                <w:lang w:val="en-US"/>
              </w:rPr>
            </w:pPr>
            <w:r w:rsidRPr="00037A46">
              <w:rPr>
                <w:b/>
                <w:bCs/>
                <w:lang w:val="en-US"/>
              </w:rPr>
              <w:t>20</w:t>
            </w:r>
          </w:p>
        </w:tc>
        <w:tc>
          <w:tcPr>
            <w:tcW w:w="1143" w:type="dxa"/>
            <w:vAlign w:val="bottom"/>
          </w:tcPr>
          <w:p w14:paraId="49BCF077" w14:textId="27511070" w:rsidR="002A30E5" w:rsidRPr="00843561" w:rsidRDefault="002A30E5" w:rsidP="002A30E5">
            <w:pPr>
              <w:spacing w:before="0" w:after="0"/>
              <w:ind w:left="113"/>
              <w:jc w:val="right"/>
              <w:rPr>
                <w:rFonts w:cs="Arial"/>
                <w:color w:val="000000"/>
              </w:rPr>
            </w:pPr>
            <w:r w:rsidRPr="004A6580">
              <w:rPr>
                <w:rFonts w:cs="Arial"/>
                <w:color w:val="000000"/>
              </w:rPr>
              <w:t>22.078,97</w:t>
            </w:r>
          </w:p>
        </w:tc>
        <w:tc>
          <w:tcPr>
            <w:tcW w:w="1228" w:type="dxa"/>
            <w:vAlign w:val="bottom"/>
          </w:tcPr>
          <w:p w14:paraId="46599256" w14:textId="489717AA" w:rsidR="002A30E5" w:rsidRPr="00843561" w:rsidRDefault="002A30E5" w:rsidP="002A30E5">
            <w:pPr>
              <w:spacing w:before="0" w:after="0"/>
              <w:ind w:left="113"/>
              <w:jc w:val="right"/>
              <w:rPr>
                <w:rFonts w:cs="Arial"/>
                <w:color w:val="000000"/>
              </w:rPr>
            </w:pPr>
            <w:r w:rsidRPr="004A6580">
              <w:rPr>
                <w:rFonts w:cs="Arial"/>
                <w:color w:val="000000"/>
              </w:rPr>
              <w:t>23.940,47</w:t>
            </w:r>
          </w:p>
        </w:tc>
        <w:tc>
          <w:tcPr>
            <w:tcW w:w="1276" w:type="dxa"/>
            <w:tcBorders>
              <w:top w:val="nil"/>
              <w:left w:val="single" w:sz="4" w:space="0" w:color="auto"/>
              <w:bottom w:val="nil"/>
              <w:right w:val="single" w:sz="4" w:space="0" w:color="auto"/>
            </w:tcBorders>
            <w:vAlign w:val="bottom"/>
          </w:tcPr>
          <w:p w14:paraId="44C8433A" w14:textId="77E3A73F" w:rsidR="002A30E5" w:rsidRPr="004A6580" w:rsidRDefault="002A30E5" w:rsidP="002A30E5">
            <w:pPr>
              <w:spacing w:before="0" w:after="0"/>
              <w:ind w:left="113"/>
              <w:jc w:val="right"/>
              <w:rPr>
                <w:rFonts w:cs="Arial"/>
                <w:color w:val="000000"/>
              </w:rPr>
            </w:pPr>
            <w:r w:rsidRPr="00843561">
              <w:rPr>
                <w:rFonts w:cs="Arial"/>
                <w:color w:val="000000"/>
              </w:rPr>
              <w:t>24</w:t>
            </w:r>
            <w:r>
              <w:rPr>
                <w:rFonts w:cs="Arial"/>
                <w:color w:val="000000"/>
              </w:rPr>
              <w:t>.</w:t>
            </w:r>
            <w:r w:rsidRPr="00843561">
              <w:rPr>
                <w:rFonts w:cs="Arial"/>
                <w:color w:val="000000"/>
              </w:rPr>
              <w:t>686,7</w:t>
            </w:r>
          </w:p>
        </w:tc>
        <w:tc>
          <w:tcPr>
            <w:tcW w:w="1276" w:type="dxa"/>
            <w:tcBorders>
              <w:top w:val="nil"/>
              <w:left w:val="single" w:sz="4" w:space="0" w:color="auto"/>
              <w:bottom w:val="nil"/>
              <w:right w:val="single" w:sz="4" w:space="0" w:color="auto"/>
            </w:tcBorders>
            <w:vAlign w:val="bottom"/>
          </w:tcPr>
          <w:p w14:paraId="51C7DFD0" w14:textId="77777777" w:rsidR="002A30E5" w:rsidRPr="004A6580" w:rsidRDefault="002A30E5" w:rsidP="002A30E5">
            <w:pPr>
              <w:spacing w:before="0" w:after="0"/>
              <w:ind w:left="113"/>
              <w:jc w:val="right"/>
              <w:rPr>
                <w:rFonts w:cs="Arial"/>
                <w:color w:val="000000"/>
              </w:rPr>
            </w:pPr>
            <w:r w:rsidRPr="00843561">
              <w:rPr>
                <w:rFonts w:cs="Arial"/>
                <w:color w:val="000000"/>
              </w:rPr>
              <w:t>27</w:t>
            </w:r>
            <w:r>
              <w:rPr>
                <w:rFonts w:cs="Arial"/>
                <w:color w:val="000000"/>
              </w:rPr>
              <w:t>.</w:t>
            </w:r>
            <w:r w:rsidRPr="00843561">
              <w:rPr>
                <w:rFonts w:cs="Arial"/>
                <w:color w:val="000000"/>
              </w:rPr>
              <w:t>401,33</w:t>
            </w:r>
          </w:p>
        </w:tc>
        <w:tc>
          <w:tcPr>
            <w:tcW w:w="1417" w:type="dxa"/>
            <w:tcBorders>
              <w:top w:val="nil"/>
              <w:left w:val="single" w:sz="4" w:space="0" w:color="auto"/>
              <w:bottom w:val="nil"/>
              <w:right w:val="single" w:sz="4" w:space="0" w:color="auto"/>
            </w:tcBorders>
            <w:vAlign w:val="bottom"/>
          </w:tcPr>
          <w:p w14:paraId="7BE1FCEF" w14:textId="77777777" w:rsidR="002A30E5" w:rsidRPr="004A6580" w:rsidRDefault="002A30E5" w:rsidP="002A30E5">
            <w:pPr>
              <w:spacing w:before="0" w:after="0"/>
              <w:ind w:left="113"/>
              <w:jc w:val="right"/>
              <w:rPr>
                <w:rFonts w:cs="Arial"/>
                <w:color w:val="000000"/>
              </w:rPr>
            </w:pPr>
            <w:r w:rsidRPr="00843561">
              <w:rPr>
                <w:rFonts w:cs="Arial"/>
                <w:color w:val="000000"/>
              </w:rPr>
              <w:t>29</w:t>
            </w:r>
            <w:r>
              <w:rPr>
                <w:rFonts w:cs="Arial"/>
                <w:color w:val="000000"/>
              </w:rPr>
              <w:t>.</w:t>
            </w:r>
            <w:r w:rsidRPr="00843561">
              <w:rPr>
                <w:rFonts w:cs="Arial"/>
                <w:color w:val="000000"/>
              </w:rPr>
              <w:t>350,13</w:t>
            </w:r>
          </w:p>
        </w:tc>
        <w:tc>
          <w:tcPr>
            <w:tcW w:w="1276" w:type="dxa"/>
            <w:vAlign w:val="bottom"/>
          </w:tcPr>
          <w:p w14:paraId="183EBC10" w14:textId="0231F18D" w:rsidR="002A30E5" w:rsidRPr="00843561" w:rsidRDefault="002A30E5" w:rsidP="002A30E5">
            <w:pPr>
              <w:spacing w:before="0" w:after="0"/>
              <w:ind w:left="113"/>
              <w:jc w:val="right"/>
              <w:rPr>
                <w:rFonts w:cs="Arial"/>
                <w:color w:val="000000"/>
              </w:rPr>
            </w:pPr>
            <w:r w:rsidRPr="004A6580">
              <w:rPr>
                <w:rFonts w:cs="Arial"/>
                <w:color w:val="000000"/>
              </w:rPr>
              <w:t>32</w:t>
            </w:r>
            <w:r>
              <w:rPr>
                <w:rFonts w:cs="Arial"/>
                <w:color w:val="000000"/>
              </w:rPr>
              <w:t>.</w:t>
            </w:r>
            <w:r w:rsidRPr="004A6580">
              <w:rPr>
                <w:rFonts w:cs="Arial"/>
                <w:color w:val="000000"/>
              </w:rPr>
              <w:t>381,48</w:t>
            </w:r>
          </w:p>
        </w:tc>
        <w:tc>
          <w:tcPr>
            <w:tcW w:w="1417" w:type="dxa"/>
            <w:tcBorders>
              <w:top w:val="nil"/>
              <w:left w:val="single" w:sz="4" w:space="0" w:color="auto"/>
              <w:bottom w:val="nil"/>
              <w:right w:val="single" w:sz="4" w:space="0" w:color="auto"/>
            </w:tcBorders>
            <w:vAlign w:val="bottom"/>
          </w:tcPr>
          <w:p w14:paraId="27B15CE1" w14:textId="7227A65D" w:rsidR="002A30E5" w:rsidRPr="004A6580" w:rsidRDefault="002A30E5" w:rsidP="002A30E5">
            <w:pPr>
              <w:spacing w:before="0" w:after="0"/>
              <w:ind w:left="113"/>
              <w:jc w:val="right"/>
              <w:rPr>
                <w:rFonts w:cs="Arial"/>
                <w:color w:val="000000"/>
              </w:rPr>
            </w:pPr>
            <w:r w:rsidRPr="00843561">
              <w:rPr>
                <w:rFonts w:cs="Arial"/>
                <w:color w:val="000000"/>
              </w:rPr>
              <w:t>34</w:t>
            </w:r>
            <w:r>
              <w:rPr>
                <w:rFonts w:cs="Arial"/>
                <w:color w:val="000000"/>
              </w:rPr>
              <w:t>.</w:t>
            </w:r>
            <w:r w:rsidRPr="00843561">
              <w:rPr>
                <w:rFonts w:cs="Arial"/>
                <w:color w:val="000000"/>
              </w:rPr>
              <w:t>025,45</w:t>
            </w:r>
          </w:p>
        </w:tc>
        <w:tc>
          <w:tcPr>
            <w:tcW w:w="1276" w:type="dxa"/>
            <w:vAlign w:val="bottom"/>
          </w:tcPr>
          <w:p w14:paraId="3802DA67" w14:textId="586B6735" w:rsidR="002A30E5" w:rsidRPr="00843561" w:rsidRDefault="002A30E5" w:rsidP="002A30E5">
            <w:pPr>
              <w:spacing w:before="0" w:after="0"/>
              <w:ind w:left="113"/>
              <w:jc w:val="right"/>
              <w:rPr>
                <w:rFonts w:cs="Arial"/>
                <w:color w:val="000000"/>
              </w:rPr>
            </w:pPr>
            <w:r w:rsidRPr="004A6580">
              <w:rPr>
                <w:rFonts w:cs="Arial"/>
                <w:color w:val="000000"/>
              </w:rPr>
              <w:t>37</w:t>
            </w:r>
            <w:r>
              <w:rPr>
                <w:rFonts w:cs="Arial"/>
                <w:color w:val="000000"/>
              </w:rPr>
              <w:t>.</w:t>
            </w:r>
            <w:r w:rsidRPr="004A6580">
              <w:rPr>
                <w:rFonts w:cs="Arial"/>
                <w:color w:val="000000"/>
              </w:rPr>
              <w:t>393,2</w:t>
            </w:r>
          </w:p>
        </w:tc>
        <w:tc>
          <w:tcPr>
            <w:tcW w:w="1276" w:type="dxa"/>
            <w:vAlign w:val="bottom"/>
          </w:tcPr>
          <w:p w14:paraId="3A7945FF" w14:textId="22D72A2A" w:rsidR="002A30E5" w:rsidRPr="00843561" w:rsidRDefault="002A30E5" w:rsidP="002A30E5">
            <w:pPr>
              <w:spacing w:before="0" w:after="0"/>
              <w:ind w:left="113"/>
              <w:jc w:val="right"/>
              <w:rPr>
                <w:rFonts w:cs="Arial"/>
                <w:color w:val="000000"/>
              </w:rPr>
            </w:pPr>
            <w:r w:rsidRPr="004A6580">
              <w:rPr>
                <w:rFonts w:cs="Arial"/>
                <w:color w:val="000000"/>
              </w:rPr>
              <w:t>40</w:t>
            </w:r>
            <w:r>
              <w:rPr>
                <w:rFonts w:cs="Arial"/>
                <w:color w:val="000000"/>
              </w:rPr>
              <w:t>.</w:t>
            </w:r>
            <w:r w:rsidRPr="004A6580">
              <w:rPr>
                <w:rFonts w:cs="Arial"/>
                <w:color w:val="000000"/>
              </w:rPr>
              <w:t>760,94</w:t>
            </w:r>
          </w:p>
        </w:tc>
        <w:tc>
          <w:tcPr>
            <w:tcW w:w="1276" w:type="dxa"/>
            <w:vAlign w:val="bottom"/>
          </w:tcPr>
          <w:p w14:paraId="287D9EB9" w14:textId="7C99803B" w:rsidR="002A30E5" w:rsidRPr="004A6580" w:rsidRDefault="002A30E5" w:rsidP="002A30E5">
            <w:pPr>
              <w:spacing w:before="0" w:after="0"/>
              <w:ind w:left="113"/>
              <w:jc w:val="right"/>
              <w:rPr>
                <w:rFonts w:cs="Arial"/>
                <w:color w:val="000000"/>
              </w:rPr>
            </w:pPr>
            <w:r w:rsidRPr="002A30E5">
              <w:rPr>
                <w:rFonts w:cs="Arial"/>
                <w:color w:val="000000"/>
              </w:rPr>
              <w:t>44.128,69</w:t>
            </w:r>
          </w:p>
        </w:tc>
      </w:tr>
      <w:tr w:rsidR="002A30E5" w:rsidRPr="00843561" w14:paraId="37971699" w14:textId="68D0468C" w:rsidTr="002A30E5">
        <w:trPr>
          <w:trHeight w:val="312"/>
          <w:jc w:val="center"/>
        </w:trPr>
        <w:tc>
          <w:tcPr>
            <w:tcW w:w="1163" w:type="dxa"/>
            <w:shd w:val="clear" w:color="auto" w:fill="C0C0C0"/>
            <w:noWrap/>
            <w:vAlign w:val="bottom"/>
          </w:tcPr>
          <w:p w14:paraId="2073CE76" w14:textId="77777777" w:rsidR="002A30E5" w:rsidRPr="00037A46" w:rsidRDefault="002A30E5" w:rsidP="002A30E5">
            <w:pPr>
              <w:spacing w:before="0" w:after="0"/>
              <w:ind w:hanging="764"/>
              <w:jc w:val="right"/>
              <w:rPr>
                <w:b/>
                <w:bCs/>
                <w:lang w:val="en-US"/>
              </w:rPr>
            </w:pPr>
            <w:r w:rsidRPr="00037A46">
              <w:rPr>
                <w:b/>
                <w:bCs/>
                <w:lang w:val="en-US"/>
              </w:rPr>
              <w:t>21</w:t>
            </w:r>
          </w:p>
        </w:tc>
        <w:tc>
          <w:tcPr>
            <w:tcW w:w="1143" w:type="dxa"/>
            <w:tcBorders>
              <w:bottom w:val="single" w:sz="4" w:space="0" w:color="auto"/>
            </w:tcBorders>
            <w:vAlign w:val="bottom"/>
          </w:tcPr>
          <w:p w14:paraId="769A9CFE" w14:textId="6BF06E7A" w:rsidR="002A30E5" w:rsidRPr="00843561" w:rsidRDefault="002A30E5" w:rsidP="002A30E5">
            <w:pPr>
              <w:spacing w:before="0" w:after="0"/>
              <w:ind w:left="113"/>
              <w:jc w:val="right"/>
              <w:rPr>
                <w:rFonts w:cs="Arial"/>
                <w:color w:val="000000"/>
              </w:rPr>
            </w:pPr>
            <w:r w:rsidRPr="004A6580">
              <w:rPr>
                <w:rFonts w:cs="Arial"/>
                <w:color w:val="000000"/>
              </w:rPr>
              <w:t>22.246,09</w:t>
            </w:r>
          </w:p>
        </w:tc>
        <w:tc>
          <w:tcPr>
            <w:tcW w:w="1228" w:type="dxa"/>
            <w:tcBorders>
              <w:bottom w:val="single" w:sz="4" w:space="0" w:color="auto"/>
            </w:tcBorders>
            <w:vAlign w:val="bottom"/>
          </w:tcPr>
          <w:p w14:paraId="0FFCE929" w14:textId="6773BD48" w:rsidR="002A30E5" w:rsidRPr="00843561" w:rsidRDefault="002A30E5" w:rsidP="002A30E5">
            <w:pPr>
              <w:spacing w:before="0" w:after="0"/>
              <w:ind w:left="113"/>
              <w:jc w:val="right"/>
              <w:rPr>
                <w:rFonts w:cs="Arial"/>
                <w:color w:val="000000"/>
              </w:rPr>
            </w:pPr>
            <w:r w:rsidRPr="004A6580">
              <w:rPr>
                <w:rFonts w:cs="Arial"/>
                <w:color w:val="000000"/>
              </w:rPr>
              <w:t>24.131,84</w:t>
            </w:r>
          </w:p>
        </w:tc>
        <w:tc>
          <w:tcPr>
            <w:tcW w:w="1276" w:type="dxa"/>
            <w:tcBorders>
              <w:top w:val="nil"/>
              <w:left w:val="single" w:sz="4" w:space="0" w:color="auto"/>
              <w:bottom w:val="single" w:sz="4" w:space="0" w:color="auto"/>
              <w:right w:val="single" w:sz="4" w:space="0" w:color="auto"/>
            </w:tcBorders>
            <w:vAlign w:val="bottom"/>
          </w:tcPr>
          <w:p w14:paraId="368A90BD" w14:textId="197A7DA4" w:rsidR="002A30E5" w:rsidRPr="004A6580" w:rsidRDefault="002A30E5" w:rsidP="002A30E5">
            <w:pPr>
              <w:spacing w:before="0" w:after="0"/>
              <w:ind w:left="113"/>
              <w:jc w:val="right"/>
              <w:rPr>
                <w:rFonts w:cs="Arial"/>
                <w:color w:val="000000"/>
              </w:rPr>
            </w:pPr>
            <w:r w:rsidRPr="00843561">
              <w:rPr>
                <w:rFonts w:cs="Arial"/>
                <w:color w:val="000000"/>
              </w:rPr>
              <w:t>24</w:t>
            </w:r>
            <w:r>
              <w:rPr>
                <w:rFonts w:cs="Arial"/>
                <w:color w:val="000000"/>
              </w:rPr>
              <w:t>.</w:t>
            </w:r>
            <w:r w:rsidRPr="00843561">
              <w:rPr>
                <w:rFonts w:cs="Arial"/>
                <w:color w:val="000000"/>
              </w:rPr>
              <w:t>863,21</w:t>
            </w:r>
          </w:p>
        </w:tc>
        <w:tc>
          <w:tcPr>
            <w:tcW w:w="1276" w:type="dxa"/>
            <w:tcBorders>
              <w:top w:val="nil"/>
              <w:left w:val="single" w:sz="4" w:space="0" w:color="auto"/>
              <w:bottom w:val="single" w:sz="4" w:space="0" w:color="auto"/>
              <w:right w:val="single" w:sz="4" w:space="0" w:color="auto"/>
            </w:tcBorders>
            <w:vAlign w:val="bottom"/>
          </w:tcPr>
          <w:p w14:paraId="7CDF6977" w14:textId="77777777" w:rsidR="002A30E5" w:rsidRPr="004A6580" w:rsidRDefault="002A30E5" w:rsidP="002A30E5">
            <w:pPr>
              <w:spacing w:before="0" w:after="0"/>
              <w:ind w:left="113"/>
              <w:jc w:val="right"/>
              <w:rPr>
                <w:rFonts w:cs="Arial"/>
                <w:color w:val="000000"/>
              </w:rPr>
            </w:pPr>
            <w:r w:rsidRPr="00843561">
              <w:rPr>
                <w:rFonts w:cs="Arial"/>
                <w:color w:val="000000"/>
              </w:rPr>
              <w:t>27</w:t>
            </w:r>
            <w:r>
              <w:rPr>
                <w:rFonts w:cs="Arial"/>
                <w:color w:val="000000"/>
              </w:rPr>
              <w:t>.</w:t>
            </w:r>
            <w:r w:rsidRPr="00843561">
              <w:rPr>
                <w:rFonts w:cs="Arial"/>
                <w:color w:val="000000"/>
              </w:rPr>
              <w:t>631,83</w:t>
            </w:r>
          </w:p>
        </w:tc>
        <w:tc>
          <w:tcPr>
            <w:tcW w:w="1417" w:type="dxa"/>
            <w:tcBorders>
              <w:top w:val="nil"/>
              <w:left w:val="single" w:sz="4" w:space="0" w:color="auto"/>
              <w:bottom w:val="single" w:sz="4" w:space="0" w:color="auto"/>
              <w:right w:val="single" w:sz="4" w:space="0" w:color="auto"/>
            </w:tcBorders>
            <w:vAlign w:val="bottom"/>
          </w:tcPr>
          <w:p w14:paraId="21DDED06" w14:textId="77777777" w:rsidR="002A30E5" w:rsidRPr="004A6580" w:rsidRDefault="002A30E5" w:rsidP="002A30E5">
            <w:pPr>
              <w:spacing w:before="0" w:after="0"/>
              <w:ind w:left="113"/>
              <w:jc w:val="right"/>
              <w:rPr>
                <w:rFonts w:cs="Arial"/>
                <w:color w:val="000000"/>
              </w:rPr>
            </w:pPr>
            <w:r w:rsidRPr="00843561">
              <w:rPr>
                <w:rFonts w:cs="Arial"/>
                <w:color w:val="000000"/>
              </w:rPr>
              <w:t>29</w:t>
            </w:r>
            <w:r>
              <w:rPr>
                <w:rFonts w:cs="Arial"/>
                <w:color w:val="000000"/>
              </w:rPr>
              <w:t>.</w:t>
            </w:r>
            <w:r w:rsidRPr="00843561">
              <w:rPr>
                <w:rFonts w:cs="Arial"/>
                <w:color w:val="000000"/>
              </w:rPr>
              <w:t>597,05</w:t>
            </w:r>
          </w:p>
        </w:tc>
        <w:tc>
          <w:tcPr>
            <w:tcW w:w="1276" w:type="dxa"/>
            <w:tcBorders>
              <w:bottom w:val="single" w:sz="4" w:space="0" w:color="auto"/>
            </w:tcBorders>
            <w:vAlign w:val="bottom"/>
          </w:tcPr>
          <w:p w14:paraId="4CCCECC4" w14:textId="510C59D5" w:rsidR="002A30E5" w:rsidRPr="00843561" w:rsidRDefault="002A30E5" w:rsidP="002A30E5">
            <w:pPr>
              <w:spacing w:before="0" w:after="0"/>
              <w:ind w:left="113"/>
              <w:jc w:val="right"/>
              <w:rPr>
                <w:rFonts w:cs="Arial"/>
                <w:color w:val="000000"/>
              </w:rPr>
            </w:pPr>
            <w:r w:rsidRPr="004A6580">
              <w:rPr>
                <w:rFonts w:cs="Arial"/>
                <w:color w:val="000000"/>
              </w:rPr>
              <w:t>32</w:t>
            </w:r>
            <w:r>
              <w:rPr>
                <w:rFonts w:cs="Arial"/>
                <w:color w:val="000000"/>
              </w:rPr>
              <w:t>.</w:t>
            </w:r>
            <w:r w:rsidRPr="004A6580">
              <w:rPr>
                <w:rFonts w:cs="Arial"/>
                <w:color w:val="000000"/>
              </w:rPr>
              <w:t>667,46</w:t>
            </w:r>
          </w:p>
        </w:tc>
        <w:tc>
          <w:tcPr>
            <w:tcW w:w="1417" w:type="dxa"/>
            <w:tcBorders>
              <w:top w:val="nil"/>
              <w:left w:val="single" w:sz="4" w:space="0" w:color="auto"/>
              <w:bottom w:val="single" w:sz="4" w:space="0" w:color="auto"/>
              <w:right w:val="single" w:sz="4" w:space="0" w:color="auto"/>
            </w:tcBorders>
            <w:vAlign w:val="bottom"/>
          </w:tcPr>
          <w:p w14:paraId="59DABD25" w14:textId="33980B12" w:rsidR="002A30E5" w:rsidRPr="004A6580" w:rsidRDefault="002A30E5" w:rsidP="002A30E5">
            <w:pPr>
              <w:spacing w:before="0" w:after="0"/>
              <w:ind w:left="113"/>
              <w:jc w:val="right"/>
              <w:rPr>
                <w:rFonts w:cs="Arial"/>
                <w:color w:val="000000"/>
              </w:rPr>
            </w:pPr>
            <w:r w:rsidRPr="00843561">
              <w:rPr>
                <w:rFonts w:cs="Arial"/>
                <w:color w:val="000000"/>
              </w:rPr>
              <w:t>34</w:t>
            </w:r>
            <w:r>
              <w:rPr>
                <w:rFonts w:cs="Arial"/>
                <w:color w:val="000000"/>
              </w:rPr>
              <w:t>.</w:t>
            </w:r>
            <w:r w:rsidRPr="00843561">
              <w:rPr>
                <w:rFonts w:cs="Arial"/>
                <w:color w:val="000000"/>
              </w:rPr>
              <w:t>268,79</w:t>
            </w:r>
          </w:p>
        </w:tc>
        <w:tc>
          <w:tcPr>
            <w:tcW w:w="1276" w:type="dxa"/>
            <w:tcBorders>
              <w:bottom w:val="single" w:sz="4" w:space="0" w:color="auto"/>
            </w:tcBorders>
            <w:vAlign w:val="bottom"/>
          </w:tcPr>
          <w:p w14:paraId="61629028" w14:textId="4A632410" w:rsidR="002A30E5" w:rsidRPr="00843561" w:rsidRDefault="002A30E5" w:rsidP="002A30E5">
            <w:pPr>
              <w:spacing w:before="0" w:after="0"/>
              <w:ind w:left="113"/>
              <w:jc w:val="right"/>
              <w:rPr>
                <w:rFonts w:cs="Arial"/>
                <w:color w:val="000000"/>
              </w:rPr>
            </w:pPr>
            <w:r w:rsidRPr="004A6580">
              <w:rPr>
                <w:rFonts w:cs="Arial"/>
                <w:color w:val="000000"/>
              </w:rPr>
              <w:t>37</w:t>
            </w:r>
            <w:r>
              <w:rPr>
                <w:rFonts w:cs="Arial"/>
                <w:color w:val="000000"/>
              </w:rPr>
              <w:t>.</w:t>
            </w:r>
            <w:r w:rsidRPr="004A6580">
              <w:rPr>
                <w:rFonts w:cs="Arial"/>
                <w:color w:val="000000"/>
              </w:rPr>
              <w:t>660,59</w:t>
            </w:r>
          </w:p>
        </w:tc>
        <w:tc>
          <w:tcPr>
            <w:tcW w:w="1276" w:type="dxa"/>
            <w:tcBorders>
              <w:bottom w:val="single" w:sz="4" w:space="0" w:color="auto"/>
            </w:tcBorders>
            <w:vAlign w:val="bottom"/>
          </w:tcPr>
          <w:p w14:paraId="7CF7B9B4" w14:textId="337958B6" w:rsidR="002A30E5" w:rsidRPr="00843561" w:rsidRDefault="002A30E5" w:rsidP="002A30E5">
            <w:pPr>
              <w:spacing w:before="0" w:after="0"/>
              <w:ind w:left="113"/>
              <w:jc w:val="right"/>
              <w:rPr>
                <w:rFonts w:cs="Arial"/>
                <w:color w:val="000000"/>
              </w:rPr>
            </w:pPr>
            <w:r w:rsidRPr="004A6580">
              <w:rPr>
                <w:rFonts w:cs="Arial"/>
                <w:color w:val="000000"/>
              </w:rPr>
              <w:t>41</w:t>
            </w:r>
            <w:r>
              <w:rPr>
                <w:rFonts w:cs="Arial"/>
                <w:color w:val="000000"/>
              </w:rPr>
              <w:t>.</w:t>
            </w:r>
            <w:r w:rsidRPr="004A6580">
              <w:rPr>
                <w:rFonts w:cs="Arial"/>
                <w:color w:val="000000"/>
              </w:rPr>
              <w:t>052,33</w:t>
            </w:r>
          </w:p>
        </w:tc>
        <w:tc>
          <w:tcPr>
            <w:tcW w:w="1276" w:type="dxa"/>
            <w:tcBorders>
              <w:bottom w:val="single" w:sz="4" w:space="0" w:color="auto"/>
            </w:tcBorders>
            <w:vAlign w:val="bottom"/>
          </w:tcPr>
          <w:p w14:paraId="640E2AC5" w14:textId="27D944FB" w:rsidR="002A30E5" w:rsidRPr="004A6580" w:rsidRDefault="002A30E5" w:rsidP="002A30E5">
            <w:pPr>
              <w:spacing w:before="0" w:after="0"/>
              <w:ind w:left="113"/>
              <w:jc w:val="right"/>
              <w:rPr>
                <w:rFonts w:cs="Arial"/>
                <w:color w:val="000000"/>
              </w:rPr>
            </w:pPr>
            <w:r w:rsidRPr="002A30E5">
              <w:rPr>
                <w:rFonts w:cs="Arial"/>
                <w:color w:val="000000"/>
              </w:rPr>
              <w:t>44.444,19</w:t>
            </w:r>
          </w:p>
        </w:tc>
      </w:tr>
      <w:tr w:rsidR="002A30E5" w:rsidRPr="00843561" w14:paraId="7AAA2296" w14:textId="45B6F7D8" w:rsidTr="002A30E5">
        <w:trPr>
          <w:trHeight w:val="300"/>
          <w:jc w:val="center"/>
        </w:trPr>
        <w:tc>
          <w:tcPr>
            <w:tcW w:w="1163" w:type="dxa"/>
            <w:shd w:val="clear" w:color="auto" w:fill="C0C0C0"/>
            <w:noWrap/>
            <w:vAlign w:val="bottom"/>
          </w:tcPr>
          <w:p w14:paraId="3A4AC379" w14:textId="77777777" w:rsidR="002A30E5" w:rsidRPr="00037A46" w:rsidRDefault="002A30E5" w:rsidP="002A30E5">
            <w:pPr>
              <w:spacing w:before="0" w:after="0"/>
              <w:ind w:hanging="764"/>
              <w:jc w:val="right"/>
              <w:rPr>
                <w:b/>
                <w:bCs/>
                <w:lang w:val="en-US"/>
              </w:rPr>
            </w:pPr>
            <w:r w:rsidRPr="00037A46">
              <w:rPr>
                <w:b/>
                <w:bCs/>
                <w:lang w:val="en-US"/>
              </w:rPr>
              <w:lastRenderedPageBreak/>
              <w:t>22</w:t>
            </w:r>
          </w:p>
        </w:tc>
        <w:tc>
          <w:tcPr>
            <w:tcW w:w="1143" w:type="dxa"/>
            <w:tcBorders>
              <w:top w:val="single" w:sz="4" w:space="0" w:color="auto"/>
              <w:bottom w:val="nil"/>
            </w:tcBorders>
            <w:vAlign w:val="bottom"/>
          </w:tcPr>
          <w:p w14:paraId="36C246EB" w14:textId="01CB3DB4" w:rsidR="002A30E5" w:rsidRPr="00843561" w:rsidRDefault="002A30E5" w:rsidP="002A30E5">
            <w:pPr>
              <w:spacing w:before="0" w:after="0"/>
              <w:ind w:left="113"/>
              <w:jc w:val="right"/>
              <w:rPr>
                <w:rFonts w:cs="Arial"/>
                <w:color w:val="000000"/>
              </w:rPr>
            </w:pPr>
            <w:r w:rsidRPr="004A6580">
              <w:rPr>
                <w:rFonts w:cs="Arial"/>
                <w:color w:val="000000"/>
              </w:rPr>
              <w:t>22.401,91</w:t>
            </w:r>
          </w:p>
        </w:tc>
        <w:tc>
          <w:tcPr>
            <w:tcW w:w="1228" w:type="dxa"/>
            <w:tcBorders>
              <w:top w:val="single" w:sz="4" w:space="0" w:color="auto"/>
              <w:bottom w:val="nil"/>
            </w:tcBorders>
            <w:vAlign w:val="bottom"/>
          </w:tcPr>
          <w:p w14:paraId="57C9CC22" w14:textId="5E315BE8" w:rsidR="002A30E5" w:rsidRPr="00843561" w:rsidRDefault="002A30E5" w:rsidP="002A30E5">
            <w:pPr>
              <w:spacing w:before="0" w:after="0"/>
              <w:ind w:left="113"/>
              <w:jc w:val="right"/>
              <w:rPr>
                <w:rFonts w:cs="Arial"/>
                <w:color w:val="000000"/>
              </w:rPr>
            </w:pPr>
            <w:r w:rsidRPr="004A6580">
              <w:rPr>
                <w:rFonts w:cs="Arial"/>
                <w:color w:val="000000"/>
              </w:rPr>
              <w:t>24.310,24</w:t>
            </w:r>
          </w:p>
        </w:tc>
        <w:tc>
          <w:tcPr>
            <w:tcW w:w="1276" w:type="dxa"/>
            <w:tcBorders>
              <w:top w:val="single" w:sz="4" w:space="0" w:color="auto"/>
              <w:left w:val="single" w:sz="4" w:space="0" w:color="auto"/>
              <w:bottom w:val="nil"/>
              <w:right w:val="single" w:sz="4" w:space="0" w:color="auto"/>
            </w:tcBorders>
            <w:vAlign w:val="bottom"/>
          </w:tcPr>
          <w:p w14:paraId="4D99301D" w14:textId="6FC856DA"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027,68</w:t>
            </w:r>
          </w:p>
        </w:tc>
        <w:tc>
          <w:tcPr>
            <w:tcW w:w="1276" w:type="dxa"/>
            <w:tcBorders>
              <w:top w:val="single" w:sz="4" w:space="0" w:color="auto"/>
              <w:left w:val="single" w:sz="4" w:space="0" w:color="auto"/>
              <w:bottom w:val="nil"/>
              <w:right w:val="single" w:sz="4" w:space="0" w:color="auto"/>
            </w:tcBorders>
            <w:vAlign w:val="bottom"/>
          </w:tcPr>
          <w:p w14:paraId="08D79AA9" w14:textId="77777777" w:rsidR="002A30E5" w:rsidRPr="004A6580" w:rsidRDefault="002A30E5" w:rsidP="002A30E5">
            <w:pPr>
              <w:spacing w:before="0" w:after="0"/>
              <w:ind w:left="113"/>
              <w:jc w:val="right"/>
              <w:rPr>
                <w:rFonts w:cs="Arial"/>
                <w:color w:val="000000"/>
              </w:rPr>
            </w:pPr>
            <w:r w:rsidRPr="00843561">
              <w:rPr>
                <w:rFonts w:cs="Arial"/>
                <w:color w:val="000000"/>
              </w:rPr>
              <w:t>27</w:t>
            </w:r>
            <w:r>
              <w:rPr>
                <w:rFonts w:cs="Arial"/>
                <w:color w:val="000000"/>
              </w:rPr>
              <w:t>.</w:t>
            </w:r>
            <w:r w:rsidRPr="00843561">
              <w:rPr>
                <w:rFonts w:cs="Arial"/>
                <w:color w:val="000000"/>
              </w:rPr>
              <w:t>846,85</w:t>
            </w:r>
          </w:p>
        </w:tc>
        <w:tc>
          <w:tcPr>
            <w:tcW w:w="1417" w:type="dxa"/>
            <w:tcBorders>
              <w:top w:val="single" w:sz="4" w:space="0" w:color="auto"/>
              <w:left w:val="single" w:sz="4" w:space="0" w:color="auto"/>
              <w:bottom w:val="nil"/>
              <w:right w:val="single" w:sz="4" w:space="0" w:color="auto"/>
            </w:tcBorders>
            <w:vAlign w:val="bottom"/>
          </w:tcPr>
          <w:p w14:paraId="5254FBDE" w14:textId="77777777" w:rsidR="002A30E5" w:rsidRPr="004A6580" w:rsidRDefault="002A30E5" w:rsidP="002A30E5">
            <w:pPr>
              <w:spacing w:before="0" w:after="0"/>
              <w:ind w:left="113"/>
              <w:jc w:val="right"/>
              <w:rPr>
                <w:rFonts w:cs="Arial"/>
                <w:color w:val="000000"/>
              </w:rPr>
            </w:pPr>
            <w:r w:rsidRPr="00843561">
              <w:rPr>
                <w:rFonts w:cs="Arial"/>
                <w:color w:val="000000"/>
              </w:rPr>
              <w:t>29</w:t>
            </w:r>
            <w:r>
              <w:rPr>
                <w:rFonts w:cs="Arial"/>
                <w:color w:val="000000"/>
              </w:rPr>
              <w:t>.</w:t>
            </w:r>
            <w:r w:rsidRPr="00843561">
              <w:rPr>
                <w:rFonts w:cs="Arial"/>
                <w:color w:val="000000"/>
              </w:rPr>
              <w:t>827,28</w:t>
            </w:r>
          </w:p>
        </w:tc>
        <w:tc>
          <w:tcPr>
            <w:tcW w:w="1276" w:type="dxa"/>
            <w:tcBorders>
              <w:top w:val="single" w:sz="4" w:space="0" w:color="auto"/>
              <w:bottom w:val="nil"/>
            </w:tcBorders>
            <w:vAlign w:val="bottom"/>
          </w:tcPr>
          <w:p w14:paraId="6C35738D" w14:textId="61DF0F47" w:rsidR="002A30E5" w:rsidRPr="00843561" w:rsidRDefault="002A30E5" w:rsidP="002A30E5">
            <w:pPr>
              <w:spacing w:before="0" w:after="0"/>
              <w:ind w:left="113"/>
              <w:jc w:val="right"/>
              <w:rPr>
                <w:rFonts w:cs="Arial"/>
                <w:color w:val="000000"/>
              </w:rPr>
            </w:pPr>
            <w:r w:rsidRPr="004A6580">
              <w:rPr>
                <w:rFonts w:cs="Arial"/>
                <w:color w:val="000000"/>
              </w:rPr>
              <w:t>32</w:t>
            </w:r>
            <w:r>
              <w:rPr>
                <w:rFonts w:cs="Arial"/>
                <w:color w:val="000000"/>
              </w:rPr>
              <w:t>.</w:t>
            </w:r>
            <w:r w:rsidRPr="004A6580">
              <w:rPr>
                <w:rFonts w:cs="Arial"/>
                <w:color w:val="000000"/>
              </w:rPr>
              <w:t>934,38</w:t>
            </w:r>
          </w:p>
        </w:tc>
        <w:tc>
          <w:tcPr>
            <w:tcW w:w="1417" w:type="dxa"/>
            <w:tcBorders>
              <w:top w:val="single" w:sz="4" w:space="0" w:color="auto"/>
              <w:left w:val="single" w:sz="4" w:space="0" w:color="auto"/>
              <w:bottom w:val="nil"/>
              <w:right w:val="single" w:sz="4" w:space="0" w:color="auto"/>
            </w:tcBorders>
            <w:vAlign w:val="bottom"/>
          </w:tcPr>
          <w:p w14:paraId="214F4F83" w14:textId="33D57342" w:rsidR="002A30E5" w:rsidRPr="004A6580" w:rsidRDefault="002A30E5" w:rsidP="002A30E5">
            <w:pPr>
              <w:spacing w:before="0" w:after="0"/>
              <w:ind w:left="113"/>
              <w:jc w:val="right"/>
              <w:rPr>
                <w:rFonts w:cs="Arial"/>
                <w:color w:val="000000"/>
              </w:rPr>
            </w:pPr>
            <w:r w:rsidRPr="00843561">
              <w:rPr>
                <w:rFonts w:cs="Arial"/>
                <w:color w:val="000000"/>
              </w:rPr>
              <w:t>34</w:t>
            </w:r>
            <w:r>
              <w:rPr>
                <w:rFonts w:cs="Arial"/>
                <w:color w:val="000000"/>
              </w:rPr>
              <w:t>.</w:t>
            </w:r>
            <w:r w:rsidRPr="00843561">
              <w:rPr>
                <w:rFonts w:cs="Arial"/>
                <w:color w:val="000000"/>
              </w:rPr>
              <w:t>495,44</w:t>
            </w:r>
          </w:p>
        </w:tc>
        <w:tc>
          <w:tcPr>
            <w:tcW w:w="1276" w:type="dxa"/>
            <w:tcBorders>
              <w:top w:val="single" w:sz="4" w:space="0" w:color="auto"/>
              <w:bottom w:val="nil"/>
            </w:tcBorders>
            <w:vAlign w:val="bottom"/>
          </w:tcPr>
          <w:p w14:paraId="6ADE51D7" w14:textId="555F76F3" w:rsidR="002A30E5" w:rsidRPr="00843561" w:rsidRDefault="002A30E5" w:rsidP="002A30E5">
            <w:pPr>
              <w:spacing w:before="0" w:after="0"/>
              <w:ind w:left="113"/>
              <w:jc w:val="right"/>
              <w:rPr>
                <w:rFonts w:cs="Arial"/>
                <w:color w:val="000000"/>
              </w:rPr>
            </w:pPr>
            <w:r w:rsidRPr="004A6580">
              <w:rPr>
                <w:rFonts w:cs="Arial"/>
                <w:color w:val="000000"/>
              </w:rPr>
              <w:t>37</w:t>
            </w:r>
            <w:r>
              <w:rPr>
                <w:rFonts w:cs="Arial"/>
                <w:color w:val="000000"/>
              </w:rPr>
              <w:t>.</w:t>
            </w:r>
            <w:r w:rsidRPr="004A6580">
              <w:rPr>
                <w:rFonts w:cs="Arial"/>
                <w:color w:val="000000"/>
              </w:rPr>
              <w:t>909,67</w:t>
            </w:r>
          </w:p>
        </w:tc>
        <w:tc>
          <w:tcPr>
            <w:tcW w:w="1276" w:type="dxa"/>
            <w:tcBorders>
              <w:top w:val="single" w:sz="4" w:space="0" w:color="auto"/>
              <w:bottom w:val="nil"/>
            </w:tcBorders>
            <w:vAlign w:val="bottom"/>
          </w:tcPr>
          <w:p w14:paraId="721B9EB9" w14:textId="514D1495" w:rsidR="002A30E5" w:rsidRPr="00843561" w:rsidRDefault="002A30E5" w:rsidP="002A30E5">
            <w:pPr>
              <w:spacing w:before="0" w:after="0"/>
              <w:ind w:left="113"/>
              <w:jc w:val="right"/>
              <w:rPr>
                <w:rFonts w:cs="Arial"/>
                <w:color w:val="000000"/>
              </w:rPr>
            </w:pPr>
            <w:r w:rsidRPr="004A6580">
              <w:rPr>
                <w:rFonts w:cs="Arial"/>
                <w:color w:val="000000"/>
              </w:rPr>
              <w:t>41</w:t>
            </w:r>
            <w:r>
              <w:rPr>
                <w:rFonts w:cs="Arial"/>
                <w:color w:val="000000"/>
              </w:rPr>
              <w:t>.</w:t>
            </w:r>
            <w:r w:rsidRPr="004A6580">
              <w:rPr>
                <w:rFonts w:cs="Arial"/>
                <w:color w:val="000000"/>
              </w:rPr>
              <w:t>323,91</w:t>
            </w:r>
          </w:p>
        </w:tc>
        <w:tc>
          <w:tcPr>
            <w:tcW w:w="1276" w:type="dxa"/>
            <w:tcBorders>
              <w:top w:val="single" w:sz="4" w:space="0" w:color="auto"/>
              <w:bottom w:val="nil"/>
            </w:tcBorders>
            <w:vAlign w:val="bottom"/>
          </w:tcPr>
          <w:p w14:paraId="1F655151" w14:textId="55381A3D" w:rsidR="002A30E5" w:rsidRPr="004A6580" w:rsidRDefault="002A30E5" w:rsidP="002A30E5">
            <w:pPr>
              <w:spacing w:before="0" w:after="0"/>
              <w:ind w:left="113"/>
              <w:jc w:val="right"/>
              <w:rPr>
                <w:rFonts w:cs="Arial"/>
                <w:color w:val="000000"/>
              </w:rPr>
            </w:pPr>
            <w:r w:rsidRPr="002A30E5">
              <w:rPr>
                <w:rFonts w:cs="Arial"/>
                <w:color w:val="000000"/>
              </w:rPr>
              <w:t>44.738,15</w:t>
            </w:r>
          </w:p>
        </w:tc>
      </w:tr>
      <w:tr w:rsidR="002A30E5" w:rsidRPr="00843561" w14:paraId="2DCD44C7" w14:textId="4C8AFBD8" w:rsidTr="002A30E5">
        <w:trPr>
          <w:trHeight w:val="300"/>
          <w:jc w:val="center"/>
        </w:trPr>
        <w:tc>
          <w:tcPr>
            <w:tcW w:w="1163" w:type="dxa"/>
            <w:shd w:val="clear" w:color="auto" w:fill="C0C0C0"/>
            <w:noWrap/>
            <w:vAlign w:val="bottom"/>
          </w:tcPr>
          <w:p w14:paraId="6BFDD810" w14:textId="5285054A" w:rsidR="002A30E5" w:rsidRPr="00037A46" w:rsidRDefault="002A30E5" w:rsidP="002A30E5">
            <w:pPr>
              <w:spacing w:before="0" w:after="0"/>
              <w:ind w:hanging="764"/>
              <w:jc w:val="right"/>
              <w:rPr>
                <w:b/>
                <w:bCs/>
                <w:lang w:val="en-US"/>
              </w:rPr>
            </w:pPr>
            <w:r w:rsidRPr="00037A46">
              <w:rPr>
                <w:b/>
                <w:bCs/>
                <w:lang w:val="en-US"/>
              </w:rPr>
              <w:t>23</w:t>
            </w:r>
          </w:p>
        </w:tc>
        <w:tc>
          <w:tcPr>
            <w:tcW w:w="1143" w:type="dxa"/>
            <w:tcBorders>
              <w:top w:val="nil"/>
            </w:tcBorders>
            <w:vAlign w:val="bottom"/>
          </w:tcPr>
          <w:p w14:paraId="4126105F" w14:textId="5428C910" w:rsidR="002A30E5" w:rsidRPr="00843561" w:rsidRDefault="002A30E5" w:rsidP="002A30E5">
            <w:pPr>
              <w:spacing w:before="0" w:after="0"/>
              <w:ind w:left="113"/>
              <w:jc w:val="right"/>
              <w:rPr>
                <w:rFonts w:cs="Arial"/>
                <w:color w:val="000000"/>
              </w:rPr>
            </w:pPr>
            <w:r w:rsidRPr="004A6580">
              <w:rPr>
                <w:rFonts w:cs="Arial"/>
                <w:color w:val="000000"/>
              </w:rPr>
              <w:t>22.547</w:t>
            </w:r>
          </w:p>
        </w:tc>
        <w:tc>
          <w:tcPr>
            <w:tcW w:w="1228" w:type="dxa"/>
            <w:tcBorders>
              <w:top w:val="nil"/>
            </w:tcBorders>
            <w:vAlign w:val="bottom"/>
          </w:tcPr>
          <w:p w14:paraId="39D1259C" w14:textId="269FAA93" w:rsidR="002A30E5" w:rsidRPr="00843561" w:rsidRDefault="002A30E5" w:rsidP="002A30E5">
            <w:pPr>
              <w:spacing w:before="0" w:after="0"/>
              <w:ind w:left="113"/>
              <w:jc w:val="right"/>
              <w:rPr>
                <w:rFonts w:cs="Arial"/>
                <w:color w:val="000000"/>
              </w:rPr>
            </w:pPr>
            <w:r w:rsidRPr="004A6580">
              <w:rPr>
                <w:rFonts w:cs="Arial"/>
                <w:color w:val="000000"/>
              </w:rPr>
              <w:t>24.476,41</w:t>
            </w:r>
          </w:p>
        </w:tc>
        <w:tc>
          <w:tcPr>
            <w:tcW w:w="1276" w:type="dxa"/>
            <w:tcBorders>
              <w:top w:val="nil"/>
              <w:left w:val="single" w:sz="4" w:space="0" w:color="auto"/>
              <w:bottom w:val="nil"/>
              <w:right w:val="single" w:sz="4" w:space="0" w:color="auto"/>
            </w:tcBorders>
            <w:vAlign w:val="bottom"/>
          </w:tcPr>
          <w:p w14:paraId="09D53526" w14:textId="53A333C7"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180,81</w:t>
            </w:r>
          </w:p>
        </w:tc>
        <w:tc>
          <w:tcPr>
            <w:tcW w:w="1276" w:type="dxa"/>
            <w:tcBorders>
              <w:top w:val="nil"/>
              <w:left w:val="single" w:sz="4" w:space="0" w:color="auto"/>
              <w:bottom w:val="nil"/>
              <w:right w:val="single" w:sz="4" w:space="0" w:color="auto"/>
            </w:tcBorders>
            <w:vAlign w:val="bottom"/>
          </w:tcPr>
          <w:p w14:paraId="5364B5B7" w14:textId="77777777" w:rsidR="002A30E5" w:rsidRPr="004A6580" w:rsidRDefault="002A30E5" w:rsidP="002A30E5">
            <w:pPr>
              <w:spacing w:before="0" w:after="0"/>
              <w:ind w:left="113"/>
              <w:jc w:val="right"/>
              <w:rPr>
                <w:rFonts w:cs="Arial"/>
                <w:color w:val="000000"/>
              </w:rPr>
            </w:pPr>
            <w:r w:rsidRPr="00843561">
              <w:rPr>
                <w:rFonts w:cs="Arial"/>
                <w:color w:val="000000"/>
              </w:rPr>
              <w:t>28</w:t>
            </w:r>
            <w:r>
              <w:rPr>
                <w:rFonts w:cs="Arial"/>
                <w:color w:val="000000"/>
              </w:rPr>
              <w:t>.</w:t>
            </w:r>
            <w:r w:rsidRPr="00843561">
              <w:rPr>
                <w:rFonts w:cs="Arial"/>
                <w:color w:val="000000"/>
              </w:rPr>
              <w:t>047,21</w:t>
            </w:r>
          </w:p>
        </w:tc>
        <w:tc>
          <w:tcPr>
            <w:tcW w:w="1417" w:type="dxa"/>
            <w:tcBorders>
              <w:top w:val="nil"/>
              <w:left w:val="single" w:sz="4" w:space="0" w:color="auto"/>
              <w:bottom w:val="nil"/>
              <w:right w:val="single" w:sz="4" w:space="0" w:color="auto"/>
            </w:tcBorders>
            <w:vAlign w:val="bottom"/>
          </w:tcPr>
          <w:p w14:paraId="599C0F30" w14:textId="77777777" w:rsidR="002A30E5" w:rsidRPr="004A6580" w:rsidRDefault="002A30E5" w:rsidP="002A30E5">
            <w:pPr>
              <w:spacing w:before="0" w:after="0"/>
              <w:ind w:left="113"/>
              <w:jc w:val="right"/>
              <w:rPr>
                <w:rFonts w:cs="Arial"/>
                <w:color w:val="000000"/>
              </w:rPr>
            </w:pPr>
            <w:r w:rsidRPr="00843561">
              <w:rPr>
                <w:rFonts w:cs="Arial"/>
                <w:color w:val="000000"/>
              </w:rPr>
              <w:t>30</w:t>
            </w:r>
            <w:r>
              <w:rPr>
                <w:rFonts w:cs="Arial"/>
                <w:color w:val="000000"/>
              </w:rPr>
              <w:t>.</w:t>
            </w:r>
            <w:r w:rsidRPr="00843561">
              <w:rPr>
                <w:rFonts w:cs="Arial"/>
                <w:color w:val="000000"/>
              </w:rPr>
              <w:t>042,03</w:t>
            </w:r>
          </w:p>
        </w:tc>
        <w:tc>
          <w:tcPr>
            <w:tcW w:w="1276" w:type="dxa"/>
            <w:tcBorders>
              <w:top w:val="nil"/>
            </w:tcBorders>
            <w:vAlign w:val="bottom"/>
          </w:tcPr>
          <w:p w14:paraId="3B7366F5" w14:textId="455A11E6" w:rsidR="002A30E5" w:rsidRPr="00843561" w:rsidRDefault="002A30E5" w:rsidP="002A30E5">
            <w:pPr>
              <w:spacing w:before="0" w:after="0"/>
              <w:ind w:left="113"/>
              <w:jc w:val="right"/>
              <w:rPr>
                <w:rFonts w:cs="Arial"/>
                <w:color w:val="000000"/>
              </w:rPr>
            </w:pPr>
            <w:r w:rsidRPr="004A6580">
              <w:rPr>
                <w:rFonts w:cs="Arial"/>
                <w:color w:val="000000"/>
              </w:rPr>
              <w:t>33</w:t>
            </w:r>
            <w:r>
              <w:rPr>
                <w:rFonts w:cs="Arial"/>
                <w:color w:val="000000"/>
              </w:rPr>
              <w:t>.</w:t>
            </w:r>
            <w:r w:rsidRPr="004A6580">
              <w:rPr>
                <w:rFonts w:cs="Arial"/>
                <w:color w:val="000000"/>
              </w:rPr>
              <w:t>183,33</w:t>
            </w:r>
          </w:p>
        </w:tc>
        <w:tc>
          <w:tcPr>
            <w:tcW w:w="1417" w:type="dxa"/>
            <w:tcBorders>
              <w:top w:val="nil"/>
              <w:left w:val="single" w:sz="4" w:space="0" w:color="auto"/>
              <w:bottom w:val="nil"/>
              <w:right w:val="single" w:sz="4" w:space="0" w:color="auto"/>
            </w:tcBorders>
            <w:vAlign w:val="bottom"/>
          </w:tcPr>
          <w:p w14:paraId="52FF78E1" w14:textId="6840147E" w:rsidR="002A30E5" w:rsidRPr="004A6580" w:rsidRDefault="002A30E5" w:rsidP="002A30E5">
            <w:pPr>
              <w:spacing w:before="0" w:after="0"/>
              <w:ind w:left="113"/>
              <w:jc w:val="right"/>
              <w:rPr>
                <w:rFonts w:cs="Arial"/>
                <w:color w:val="000000"/>
              </w:rPr>
            </w:pPr>
            <w:r w:rsidRPr="00843561">
              <w:rPr>
                <w:rFonts w:cs="Arial"/>
                <w:color w:val="000000"/>
              </w:rPr>
              <w:t>34</w:t>
            </w:r>
            <w:r>
              <w:rPr>
                <w:rFonts w:cs="Arial"/>
                <w:color w:val="000000"/>
              </w:rPr>
              <w:t>.</w:t>
            </w:r>
            <w:r w:rsidRPr="00843561">
              <w:rPr>
                <w:rFonts w:cs="Arial"/>
                <w:color w:val="000000"/>
              </w:rPr>
              <w:t>706,54</w:t>
            </w:r>
          </w:p>
        </w:tc>
        <w:tc>
          <w:tcPr>
            <w:tcW w:w="1276" w:type="dxa"/>
            <w:tcBorders>
              <w:top w:val="nil"/>
            </w:tcBorders>
            <w:vAlign w:val="bottom"/>
          </w:tcPr>
          <w:p w14:paraId="290E4696" w14:textId="576B95D2" w:rsidR="002A30E5" w:rsidRPr="00843561" w:rsidRDefault="002A30E5" w:rsidP="002A30E5">
            <w:pPr>
              <w:spacing w:before="0" w:after="0"/>
              <w:ind w:left="113"/>
              <w:jc w:val="right"/>
              <w:rPr>
                <w:rFonts w:cs="Arial"/>
                <w:color w:val="000000"/>
              </w:rPr>
            </w:pPr>
            <w:r w:rsidRPr="004A6580">
              <w:rPr>
                <w:rFonts w:cs="Arial"/>
                <w:color w:val="000000"/>
              </w:rPr>
              <w:t>38</w:t>
            </w:r>
            <w:r>
              <w:rPr>
                <w:rFonts w:cs="Arial"/>
                <w:color w:val="000000"/>
              </w:rPr>
              <w:t>.</w:t>
            </w:r>
            <w:r w:rsidRPr="004A6580">
              <w:rPr>
                <w:rFonts w:cs="Arial"/>
                <w:color w:val="000000"/>
              </w:rPr>
              <w:t>141,59</w:t>
            </w:r>
          </w:p>
        </w:tc>
        <w:tc>
          <w:tcPr>
            <w:tcW w:w="1276" w:type="dxa"/>
            <w:tcBorders>
              <w:top w:val="nil"/>
            </w:tcBorders>
            <w:vAlign w:val="bottom"/>
          </w:tcPr>
          <w:p w14:paraId="5F2C0E10" w14:textId="151B8980" w:rsidR="002A30E5" w:rsidRPr="00843561" w:rsidRDefault="002A30E5" w:rsidP="002A30E5">
            <w:pPr>
              <w:spacing w:before="0" w:after="0"/>
              <w:ind w:left="113"/>
              <w:jc w:val="right"/>
              <w:rPr>
                <w:rFonts w:cs="Arial"/>
                <w:color w:val="000000"/>
              </w:rPr>
            </w:pPr>
            <w:r w:rsidRPr="004A6580">
              <w:rPr>
                <w:rFonts w:cs="Arial"/>
                <w:color w:val="000000"/>
              </w:rPr>
              <w:t>41</w:t>
            </w:r>
            <w:r>
              <w:rPr>
                <w:rFonts w:cs="Arial"/>
                <w:color w:val="000000"/>
              </w:rPr>
              <w:t>.</w:t>
            </w:r>
            <w:r w:rsidRPr="004A6580">
              <w:rPr>
                <w:rFonts w:cs="Arial"/>
                <w:color w:val="000000"/>
              </w:rPr>
              <w:t>576,71</w:t>
            </w:r>
          </w:p>
        </w:tc>
        <w:tc>
          <w:tcPr>
            <w:tcW w:w="1276" w:type="dxa"/>
            <w:tcBorders>
              <w:top w:val="nil"/>
            </w:tcBorders>
            <w:vAlign w:val="bottom"/>
          </w:tcPr>
          <w:p w14:paraId="05D700A5" w14:textId="645373D2" w:rsidR="002A30E5" w:rsidRPr="004A6580" w:rsidRDefault="002A30E5" w:rsidP="002A30E5">
            <w:pPr>
              <w:spacing w:before="0" w:after="0"/>
              <w:ind w:left="113"/>
              <w:jc w:val="right"/>
              <w:rPr>
                <w:rFonts w:cs="Arial"/>
                <w:color w:val="000000"/>
              </w:rPr>
            </w:pPr>
            <w:r w:rsidRPr="002A30E5">
              <w:rPr>
                <w:rFonts w:cs="Arial"/>
                <w:color w:val="000000"/>
              </w:rPr>
              <w:t>45.011,76</w:t>
            </w:r>
          </w:p>
        </w:tc>
      </w:tr>
      <w:tr w:rsidR="002A30E5" w:rsidRPr="00843561" w14:paraId="203C4F5C" w14:textId="28EE02C3" w:rsidTr="002A30E5">
        <w:trPr>
          <w:trHeight w:val="300"/>
          <w:jc w:val="center"/>
        </w:trPr>
        <w:tc>
          <w:tcPr>
            <w:tcW w:w="1163" w:type="dxa"/>
            <w:shd w:val="clear" w:color="auto" w:fill="C0C0C0"/>
            <w:noWrap/>
            <w:vAlign w:val="bottom"/>
          </w:tcPr>
          <w:p w14:paraId="36D4557E" w14:textId="77777777" w:rsidR="002A30E5" w:rsidRPr="00037A46" w:rsidRDefault="002A30E5" w:rsidP="002A30E5">
            <w:pPr>
              <w:spacing w:before="0" w:after="0"/>
              <w:ind w:hanging="764"/>
              <w:jc w:val="right"/>
              <w:rPr>
                <w:b/>
                <w:bCs/>
                <w:lang w:val="en-US"/>
              </w:rPr>
            </w:pPr>
            <w:r w:rsidRPr="00037A46">
              <w:rPr>
                <w:b/>
                <w:bCs/>
                <w:lang w:val="en-US"/>
              </w:rPr>
              <w:t>24</w:t>
            </w:r>
          </w:p>
        </w:tc>
        <w:tc>
          <w:tcPr>
            <w:tcW w:w="1143" w:type="dxa"/>
            <w:vAlign w:val="bottom"/>
          </w:tcPr>
          <w:p w14:paraId="29AB7F16" w14:textId="6D034015" w:rsidR="002A30E5" w:rsidRPr="00843561" w:rsidRDefault="002A30E5" w:rsidP="002A30E5">
            <w:pPr>
              <w:spacing w:before="0" w:after="0"/>
              <w:ind w:left="113"/>
              <w:jc w:val="right"/>
              <w:rPr>
                <w:rFonts w:cs="Arial"/>
                <w:color w:val="000000"/>
              </w:rPr>
            </w:pPr>
            <w:r w:rsidRPr="004A6580">
              <w:rPr>
                <w:rFonts w:cs="Arial"/>
                <w:color w:val="000000"/>
              </w:rPr>
              <w:t>22.682,15</w:t>
            </w:r>
          </w:p>
        </w:tc>
        <w:tc>
          <w:tcPr>
            <w:tcW w:w="1228" w:type="dxa"/>
            <w:vAlign w:val="bottom"/>
          </w:tcPr>
          <w:p w14:paraId="3D9832DA" w14:textId="565F9454" w:rsidR="002A30E5" w:rsidRPr="00843561" w:rsidRDefault="002A30E5" w:rsidP="002A30E5">
            <w:pPr>
              <w:spacing w:before="0" w:after="0"/>
              <w:ind w:left="113"/>
              <w:jc w:val="right"/>
              <w:rPr>
                <w:rFonts w:cs="Arial"/>
                <w:color w:val="000000"/>
              </w:rPr>
            </w:pPr>
            <w:r w:rsidRPr="004A6580">
              <w:rPr>
                <w:rFonts w:cs="Arial"/>
                <w:color w:val="000000"/>
              </w:rPr>
              <w:t>24.631,22</w:t>
            </w:r>
          </w:p>
        </w:tc>
        <w:tc>
          <w:tcPr>
            <w:tcW w:w="1276" w:type="dxa"/>
            <w:tcBorders>
              <w:top w:val="nil"/>
              <w:left w:val="single" w:sz="4" w:space="0" w:color="auto"/>
              <w:bottom w:val="nil"/>
              <w:right w:val="single" w:sz="4" w:space="0" w:color="auto"/>
            </w:tcBorders>
            <w:vAlign w:val="bottom"/>
          </w:tcPr>
          <w:p w14:paraId="75F009C4" w14:textId="017146BF"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323,32</w:t>
            </w:r>
          </w:p>
        </w:tc>
        <w:tc>
          <w:tcPr>
            <w:tcW w:w="1276" w:type="dxa"/>
            <w:tcBorders>
              <w:top w:val="nil"/>
              <w:left w:val="single" w:sz="4" w:space="0" w:color="auto"/>
              <w:bottom w:val="nil"/>
              <w:right w:val="single" w:sz="4" w:space="0" w:color="auto"/>
            </w:tcBorders>
            <w:vAlign w:val="bottom"/>
          </w:tcPr>
          <w:p w14:paraId="14B39FEA" w14:textId="77777777" w:rsidR="002A30E5" w:rsidRPr="004A6580" w:rsidRDefault="002A30E5" w:rsidP="002A30E5">
            <w:pPr>
              <w:spacing w:before="0" w:after="0"/>
              <w:ind w:left="113"/>
              <w:jc w:val="right"/>
              <w:rPr>
                <w:rFonts w:cs="Arial"/>
                <w:color w:val="000000"/>
              </w:rPr>
            </w:pPr>
            <w:r w:rsidRPr="00843561">
              <w:rPr>
                <w:rFonts w:cs="Arial"/>
                <w:color w:val="000000"/>
              </w:rPr>
              <w:t>28</w:t>
            </w:r>
            <w:r>
              <w:rPr>
                <w:rFonts w:cs="Arial"/>
                <w:color w:val="000000"/>
              </w:rPr>
              <w:t>.</w:t>
            </w:r>
            <w:r w:rsidRPr="00843561">
              <w:rPr>
                <w:rFonts w:cs="Arial"/>
                <w:color w:val="000000"/>
              </w:rPr>
              <w:t>233,99</w:t>
            </w:r>
          </w:p>
        </w:tc>
        <w:tc>
          <w:tcPr>
            <w:tcW w:w="1417" w:type="dxa"/>
            <w:tcBorders>
              <w:top w:val="nil"/>
              <w:left w:val="single" w:sz="4" w:space="0" w:color="auto"/>
              <w:bottom w:val="nil"/>
              <w:right w:val="single" w:sz="4" w:space="0" w:color="auto"/>
            </w:tcBorders>
            <w:vAlign w:val="bottom"/>
          </w:tcPr>
          <w:p w14:paraId="4A0A834A" w14:textId="77777777" w:rsidR="002A30E5" w:rsidRPr="004A6580" w:rsidRDefault="002A30E5" w:rsidP="002A30E5">
            <w:pPr>
              <w:spacing w:before="0" w:after="0"/>
              <w:ind w:left="113"/>
              <w:jc w:val="right"/>
              <w:rPr>
                <w:rFonts w:cs="Arial"/>
                <w:color w:val="000000"/>
              </w:rPr>
            </w:pPr>
            <w:r w:rsidRPr="00843561">
              <w:rPr>
                <w:rFonts w:cs="Arial"/>
                <w:color w:val="000000"/>
              </w:rPr>
              <w:t>30</w:t>
            </w:r>
            <w:r>
              <w:rPr>
                <w:rFonts w:cs="Arial"/>
                <w:color w:val="000000"/>
              </w:rPr>
              <w:t>.</w:t>
            </w:r>
            <w:r w:rsidRPr="00843561">
              <w:rPr>
                <w:rFonts w:cs="Arial"/>
                <w:color w:val="000000"/>
              </w:rPr>
              <w:t>241,99</w:t>
            </w:r>
          </w:p>
        </w:tc>
        <w:tc>
          <w:tcPr>
            <w:tcW w:w="1276" w:type="dxa"/>
            <w:vAlign w:val="bottom"/>
          </w:tcPr>
          <w:p w14:paraId="4DCBA06E" w14:textId="2B6D8F1B" w:rsidR="002A30E5" w:rsidRPr="00843561" w:rsidRDefault="002A30E5" w:rsidP="002A30E5">
            <w:pPr>
              <w:spacing w:before="0" w:after="0"/>
              <w:ind w:left="113"/>
              <w:jc w:val="right"/>
              <w:rPr>
                <w:rFonts w:cs="Arial"/>
                <w:color w:val="000000"/>
              </w:rPr>
            </w:pPr>
            <w:r w:rsidRPr="004A6580">
              <w:rPr>
                <w:rFonts w:cs="Arial"/>
                <w:color w:val="000000"/>
              </w:rPr>
              <w:t>33</w:t>
            </w:r>
            <w:r>
              <w:rPr>
                <w:rFonts w:cs="Arial"/>
                <w:color w:val="000000"/>
              </w:rPr>
              <w:t>.</w:t>
            </w:r>
            <w:r w:rsidRPr="004A6580">
              <w:rPr>
                <w:rFonts w:cs="Arial"/>
                <w:color w:val="000000"/>
              </w:rPr>
              <w:t>415,32</w:t>
            </w:r>
          </w:p>
        </w:tc>
        <w:tc>
          <w:tcPr>
            <w:tcW w:w="1417" w:type="dxa"/>
            <w:tcBorders>
              <w:top w:val="nil"/>
              <w:left w:val="single" w:sz="4" w:space="0" w:color="auto"/>
              <w:bottom w:val="nil"/>
              <w:right w:val="single" w:sz="4" w:space="0" w:color="auto"/>
            </w:tcBorders>
            <w:vAlign w:val="bottom"/>
          </w:tcPr>
          <w:p w14:paraId="105B78F7" w14:textId="42DCA08C" w:rsidR="002A30E5" w:rsidRPr="004A6580" w:rsidRDefault="002A30E5" w:rsidP="002A30E5">
            <w:pPr>
              <w:spacing w:before="0" w:after="0"/>
              <w:ind w:left="113"/>
              <w:jc w:val="right"/>
              <w:rPr>
                <w:rFonts w:cs="Arial"/>
                <w:color w:val="000000"/>
              </w:rPr>
            </w:pPr>
            <w:r w:rsidRPr="00843561">
              <w:rPr>
                <w:rFonts w:cs="Arial"/>
                <w:color w:val="000000"/>
              </w:rPr>
              <w:t>34</w:t>
            </w:r>
            <w:r>
              <w:rPr>
                <w:rFonts w:cs="Arial"/>
                <w:color w:val="000000"/>
              </w:rPr>
              <w:t>.</w:t>
            </w:r>
            <w:r w:rsidRPr="00843561">
              <w:rPr>
                <w:rFonts w:cs="Arial"/>
                <w:color w:val="000000"/>
              </w:rPr>
              <w:t>902,85</w:t>
            </w:r>
          </w:p>
        </w:tc>
        <w:tc>
          <w:tcPr>
            <w:tcW w:w="1276" w:type="dxa"/>
            <w:vAlign w:val="bottom"/>
          </w:tcPr>
          <w:p w14:paraId="30B53D51" w14:textId="21C32B94" w:rsidR="002A30E5" w:rsidRPr="00843561" w:rsidRDefault="002A30E5" w:rsidP="002A30E5">
            <w:pPr>
              <w:spacing w:before="0" w:after="0"/>
              <w:ind w:left="113"/>
              <w:jc w:val="right"/>
              <w:rPr>
                <w:rFonts w:cs="Arial"/>
                <w:color w:val="000000"/>
              </w:rPr>
            </w:pPr>
            <w:r w:rsidRPr="004A6580">
              <w:rPr>
                <w:rFonts w:cs="Arial"/>
                <w:color w:val="000000"/>
              </w:rPr>
              <w:t>38</w:t>
            </w:r>
            <w:r>
              <w:rPr>
                <w:rFonts w:cs="Arial"/>
                <w:color w:val="000000"/>
              </w:rPr>
              <w:t>.</w:t>
            </w:r>
            <w:r w:rsidRPr="004A6580">
              <w:rPr>
                <w:rFonts w:cs="Arial"/>
                <w:color w:val="000000"/>
              </w:rPr>
              <w:t>357,43</w:t>
            </w:r>
          </w:p>
        </w:tc>
        <w:tc>
          <w:tcPr>
            <w:tcW w:w="1276" w:type="dxa"/>
            <w:vAlign w:val="bottom"/>
          </w:tcPr>
          <w:p w14:paraId="67F636CF" w14:textId="5C76A028" w:rsidR="002A30E5" w:rsidRPr="00843561" w:rsidRDefault="002A30E5" w:rsidP="002A30E5">
            <w:pPr>
              <w:spacing w:before="0" w:after="0"/>
              <w:ind w:left="113"/>
              <w:jc w:val="right"/>
              <w:rPr>
                <w:rFonts w:cs="Arial"/>
                <w:color w:val="000000"/>
              </w:rPr>
            </w:pPr>
            <w:r w:rsidRPr="004A6580">
              <w:rPr>
                <w:rFonts w:cs="Arial"/>
                <w:color w:val="000000"/>
              </w:rPr>
              <w:t>41</w:t>
            </w:r>
            <w:r>
              <w:rPr>
                <w:rFonts w:cs="Arial"/>
                <w:color w:val="000000"/>
              </w:rPr>
              <w:t>.</w:t>
            </w:r>
            <w:r w:rsidRPr="004A6580">
              <w:rPr>
                <w:rFonts w:cs="Arial"/>
                <w:color w:val="000000"/>
              </w:rPr>
              <w:t>812,01</w:t>
            </w:r>
          </w:p>
        </w:tc>
        <w:tc>
          <w:tcPr>
            <w:tcW w:w="1276" w:type="dxa"/>
            <w:vAlign w:val="bottom"/>
          </w:tcPr>
          <w:p w14:paraId="56F77070" w14:textId="708F1B13" w:rsidR="002A30E5" w:rsidRPr="004A6580" w:rsidRDefault="002A30E5" w:rsidP="002A30E5">
            <w:pPr>
              <w:spacing w:before="0" w:after="0"/>
              <w:ind w:left="113"/>
              <w:jc w:val="right"/>
              <w:rPr>
                <w:rFonts w:cs="Arial"/>
                <w:color w:val="000000"/>
              </w:rPr>
            </w:pPr>
            <w:r w:rsidRPr="002A30E5">
              <w:rPr>
                <w:rFonts w:cs="Arial"/>
                <w:color w:val="000000"/>
              </w:rPr>
              <w:t>45.266,58</w:t>
            </w:r>
          </w:p>
        </w:tc>
      </w:tr>
      <w:tr w:rsidR="002A30E5" w:rsidRPr="00843561" w14:paraId="09EADFE2" w14:textId="0F24B004" w:rsidTr="002A30E5">
        <w:trPr>
          <w:trHeight w:val="300"/>
          <w:jc w:val="center"/>
        </w:trPr>
        <w:tc>
          <w:tcPr>
            <w:tcW w:w="1163" w:type="dxa"/>
            <w:shd w:val="clear" w:color="auto" w:fill="C0C0C0"/>
            <w:noWrap/>
          </w:tcPr>
          <w:p w14:paraId="44BD35AB" w14:textId="77777777" w:rsidR="002A30E5" w:rsidRPr="00037A46" w:rsidRDefault="002A30E5" w:rsidP="002A30E5">
            <w:pPr>
              <w:spacing w:before="0" w:after="0"/>
              <w:ind w:hanging="764"/>
              <w:jc w:val="right"/>
              <w:rPr>
                <w:b/>
                <w:bCs/>
                <w:lang w:val="en-US"/>
              </w:rPr>
            </w:pPr>
            <w:r>
              <w:rPr>
                <w:b/>
                <w:bCs/>
                <w:lang w:val="en-US"/>
              </w:rPr>
              <w:t>25</w:t>
            </w:r>
          </w:p>
        </w:tc>
        <w:tc>
          <w:tcPr>
            <w:tcW w:w="1143" w:type="dxa"/>
            <w:vAlign w:val="bottom"/>
          </w:tcPr>
          <w:p w14:paraId="669C56F8" w14:textId="30BE57E5" w:rsidR="002A30E5" w:rsidRPr="00843561" w:rsidRDefault="002A30E5" w:rsidP="002A30E5">
            <w:pPr>
              <w:spacing w:before="0" w:after="0"/>
              <w:ind w:left="113"/>
              <w:jc w:val="right"/>
              <w:rPr>
                <w:rFonts w:cs="Arial"/>
                <w:color w:val="000000"/>
              </w:rPr>
            </w:pPr>
            <w:r w:rsidRPr="004A6580">
              <w:rPr>
                <w:rFonts w:cs="Arial"/>
                <w:color w:val="000000"/>
              </w:rPr>
              <w:t>22.807,84</w:t>
            </w:r>
          </w:p>
        </w:tc>
        <w:tc>
          <w:tcPr>
            <w:tcW w:w="1228" w:type="dxa"/>
            <w:vAlign w:val="bottom"/>
          </w:tcPr>
          <w:p w14:paraId="4414FA10" w14:textId="2BCA4CEF" w:rsidR="002A30E5" w:rsidRPr="00843561" w:rsidRDefault="002A30E5" w:rsidP="002A30E5">
            <w:pPr>
              <w:spacing w:before="0" w:after="0"/>
              <w:ind w:left="113"/>
              <w:jc w:val="right"/>
              <w:rPr>
                <w:rFonts w:cs="Arial"/>
                <w:color w:val="000000"/>
              </w:rPr>
            </w:pPr>
            <w:r w:rsidRPr="004A6580">
              <w:rPr>
                <w:rFonts w:cs="Arial"/>
                <w:color w:val="000000"/>
              </w:rPr>
              <w:t>24.775,36</w:t>
            </w:r>
          </w:p>
        </w:tc>
        <w:tc>
          <w:tcPr>
            <w:tcW w:w="1276" w:type="dxa"/>
            <w:tcBorders>
              <w:top w:val="nil"/>
              <w:left w:val="single" w:sz="4" w:space="0" w:color="auto"/>
              <w:bottom w:val="nil"/>
              <w:right w:val="single" w:sz="4" w:space="0" w:color="auto"/>
            </w:tcBorders>
            <w:vAlign w:val="bottom"/>
          </w:tcPr>
          <w:p w14:paraId="0D6DC897" w14:textId="24BD74BF"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455,84</w:t>
            </w:r>
          </w:p>
        </w:tc>
        <w:tc>
          <w:tcPr>
            <w:tcW w:w="1276" w:type="dxa"/>
            <w:tcBorders>
              <w:top w:val="nil"/>
              <w:left w:val="single" w:sz="4" w:space="0" w:color="auto"/>
              <w:bottom w:val="nil"/>
              <w:right w:val="single" w:sz="4" w:space="0" w:color="auto"/>
            </w:tcBorders>
            <w:vAlign w:val="bottom"/>
          </w:tcPr>
          <w:p w14:paraId="47B507A5" w14:textId="77777777" w:rsidR="002A30E5" w:rsidRPr="004A6580" w:rsidRDefault="002A30E5" w:rsidP="002A30E5">
            <w:pPr>
              <w:spacing w:before="0" w:after="0"/>
              <w:ind w:left="113"/>
              <w:jc w:val="right"/>
              <w:rPr>
                <w:rFonts w:cs="Arial"/>
                <w:color w:val="000000"/>
              </w:rPr>
            </w:pPr>
            <w:r w:rsidRPr="00843561">
              <w:rPr>
                <w:rFonts w:cs="Arial"/>
                <w:color w:val="000000"/>
              </w:rPr>
              <w:t>28</w:t>
            </w:r>
            <w:r>
              <w:rPr>
                <w:rFonts w:cs="Arial"/>
                <w:color w:val="000000"/>
              </w:rPr>
              <w:t>.</w:t>
            </w:r>
            <w:r w:rsidRPr="00843561">
              <w:rPr>
                <w:rFonts w:cs="Arial"/>
                <w:color w:val="000000"/>
              </w:rPr>
              <w:t>407,86</w:t>
            </w:r>
          </w:p>
        </w:tc>
        <w:tc>
          <w:tcPr>
            <w:tcW w:w="1417" w:type="dxa"/>
            <w:tcBorders>
              <w:top w:val="nil"/>
              <w:left w:val="single" w:sz="4" w:space="0" w:color="auto"/>
              <w:bottom w:val="nil"/>
              <w:right w:val="single" w:sz="4" w:space="0" w:color="auto"/>
            </w:tcBorders>
            <w:vAlign w:val="bottom"/>
          </w:tcPr>
          <w:p w14:paraId="06F32707" w14:textId="77777777" w:rsidR="002A30E5" w:rsidRPr="004A6580" w:rsidRDefault="002A30E5" w:rsidP="002A30E5">
            <w:pPr>
              <w:spacing w:before="0" w:after="0"/>
              <w:ind w:left="113"/>
              <w:jc w:val="right"/>
              <w:rPr>
                <w:rFonts w:cs="Arial"/>
                <w:color w:val="000000"/>
              </w:rPr>
            </w:pPr>
            <w:r w:rsidRPr="00843561">
              <w:rPr>
                <w:rFonts w:cs="Arial"/>
                <w:color w:val="000000"/>
              </w:rPr>
              <w:t>30</w:t>
            </w:r>
            <w:r>
              <w:rPr>
                <w:rFonts w:cs="Arial"/>
                <w:color w:val="000000"/>
              </w:rPr>
              <w:t>.</w:t>
            </w:r>
            <w:r w:rsidRPr="00843561">
              <w:rPr>
                <w:rFonts w:cs="Arial"/>
                <w:color w:val="000000"/>
              </w:rPr>
              <w:t>428,22</w:t>
            </w:r>
          </w:p>
        </w:tc>
        <w:tc>
          <w:tcPr>
            <w:tcW w:w="1276" w:type="dxa"/>
            <w:vAlign w:val="bottom"/>
          </w:tcPr>
          <w:p w14:paraId="1A1BA384" w14:textId="2517BD87" w:rsidR="002A30E5" w:rsidRPr="00843561" w:rsidRDefault="002A30E5" w:rsidP="002A30E5">
            <w:pPr>
              <w:spacing w:before="0" w:after="0"/>
              <w:ind w:left="113"/>
              <w:jc w:val="right"/>
              <w:rPr>
                <w:rFonts w:cs="Arial"/>
                <w:color w:val="000000"/>
              </w:rPr>
            </w:pPr>
            <w:r w:rsidRPr="004A6580">
              <w:rPr>
                <w:rFonts w:cs="Arial"/>
                <w:color w:val="000000"/>
              </w:rPr>
              <w:t>33</w:t>
            </w:r>
            <w:r>
              <w:rPr>
                <w:rFonts w:cs="Arial"/>
                <w:color w:val="000000"/>
              </w:rPr>
              <w:t>.</w:t>
            </w:r>
            <w:r w:rsidRPr="004A6580">
              <w:rPr>
                <w:rFonts w:cs="Arial"/>
                <w:color w:val="000000"/>
              </w:rPr>
              <w:t>631,35</w:t>
            </w:r>
          </w:p>
        </w:tc>
        <w:tc>
          <w:tcPr>
            <w:tcW w:w="1417" w:type="dxa"/>
            <w:tcBorders>
              <w:top w:val="nil"/>
              <w:left w:val="single" w:sz="4" w:space="0" w:color="auto"/>
              <w:bottom w:val="nil"/>
              <w:right w:val="single" w:sz="4" w:space="0" w:color="auto"/>
            </w:tcBorders>
            <w:vAlign w:val="bottom"/>
          </w:tcPr>
          <w:p w14:paraId="392CE21A" w14:textId="3FBBAC3F" w:rsidR="002A30E5" w:rsidRPr="004A6580" w:rsidRDefault="002A30E5" w:rsidP="002A30E5">
            <w:pPr>
              <w:spacing w:before="0" w:after="0"/>
              <w:ind w:left="113"/>
              <w:jc w:val="right"/>
              <w:rPr>
                <w:rFonts w:cs="Arial"/>
                <w:color w:val="000000"/>
              </w:rPr>
            </w:pPr>
            <w:r w:rsidRPr="00843561">
              <w:rPr>
                <w:rFonts w:cs="Arial"/>
                <w:color w:val="000000"/>
              </w:rPr>
              <w:t>35</w:t>
            </w:r>
            <w:r>
              <w:rPr>
                <w:rFonts w:cs="Arial"/>
                <w:color w:val="000000"/>
              </w:rPr>
              <w:t>.</w:t>
            </w:r>
            <w:r w:rsidRPr="00843561">
              <w:rPr>
                <w:rFonts w:cs="Arial"/>
                <w:color w:val="000000"/>
              </w:rPr>
              <w:t>085,57</w:t>
            </w:r>
          </w:p>
        </w:tc>
        <w:tc>
          <w:tcPr>
            <w:tcW w:w="1276" w:type="dxa"/>
            <w:vAlign w:val="bottom"/>
          </w:tcPr>
          <w:p w14:paraId="37009C88" w14:textId="23522787" w:rsidR="002A30E5" w:rsidRPr="00843561" w:rsidRDefault="002A30E5" w:rsidP="002A30E5">
            <w:pPr>
              <w:spacing w:before="0" w:after="0"/>
              <w:ind w:left="113"/>
              <w:jc w:val="right"/>
              <w:rPr>
                <w:rFonts w:cs="Arial"/>
                <w:color w:val="000000"/>
              </w:rPr>
            </w:pPr>
            <w:r w:rsidRPr="004A6580">
              <w:rPr>
                <w:rFonts w:cs="Arial"/>
                <w:color w:val="000000"/>
              </w:rPr>
              <w:t>38</w:t>
            </w:r>
            <w:r>
              <w:rPr>
                <w:rFonts w:cs="Arial"/>
                <w:color w:val="000000"/>
              </w:rPr>
              <w:t>.</w:t>
            </w:r>
            <w:r w:rsidRPr="004A6580">
              <w:rPr>
                <w:rFonts w:cs="Arial"/>
                <w:color w:val="000000"/>
              </w:rPr>
              <w:t>558,26</w:t>
            </w:r>
          </w:p>
        </w:tc>
        <w:tc>
          <w:tcPr>
            <w:tcW w:w="1276" w:type="dxa"/>
            <w:vAlign w:val="bottom"/>
          </w:tcPr>
          <w:p w14:paraId="2F0A0600" w14:textId="4DEB0243" w:rsidR="002A30E5" w:rsidRPr="00843561" w:rsidRDefault="002A30E5" w:rsidP="002A30E5">
            <w:pPr>
              <w:spacing w:before="0" w:after="0"/>
              <w:ind w:left="113"/>
              <w:jc w:val="right"/>
              <w:rPr>
                <w:rFonts w:cs="Arial"/>
                <w:color w:val="000000"/>
              </w:rPr>
            </w:pPr>
            <w:r w:rsidRPr="004A6580">
              <w:rPr>
                <w:rFonts w:cs="Arial"/>
                <w:color w:val="000000"/>
              </w:rPr>
              <w:t>42</w:t>
            </w:r>
            <w:r>
              <w:rPr>
                <w:rFonts w:cs="Arial"/>
                <w:color w:val="000000"/>
              </w:rPr>
              <w:t>.</w:t>
            </w:r>
            <w:r w:rsidRPr="004A6580">
              <w:rPr>
                <w:rFonts w:cs="Arial"/>
                <w:color w:val="000000"/>
              </w:rPr>
              <w:t>030,81</w:t>
            </w:r>
          </w:p>
        </w:tc>
        <w:tc>
          <w:tcPr>
            <w:tcW w:w="1276" w:type="dxa"/>
            <w:vAlign w:val="bottom"/>
          </w:tcPr>
          <w:p w14:paraId="63437B8E" w14:textId="1F265A28" w:rsidR="002A30E5" w:rsidRPr="004A6580" w:rsidRDefault="002A30E5" w:rsidP="002A30E5">
            <w:pPr>
              <w:spacing w:before="0" w:after="0"/>
              <w:ind w:left="113"/>
              <w:jc w:val="right"/>
              <w:rPr>
                <w:rFonts w:cs="Arial"/>
                <w:color w:val="000000"/>
              </w:rPr>
            </w:pPr>
            <w:r w:rsidRPr="002A30E5">
              <w:rPr>
                <w:rFonts w:cs="Arial"/>
                <w:color w:val="000000"/>
              </w:rPr>
              <w:t>45.503,5</w:t>
            </w:r>
          </w:p>
        </w:tc>
      </w:tr>
      <w:tr w:rsidR="002A30E5" w:rsidRPr="00843561" w14:paraId="52DFEFD9" w14:textId="353E8347" w:rsidTr="002A30E5">
        <w:trPr>
          <w:trHeight w:val="300"/>
          <w:jc w:val="center"/>
        </w:trPr>
        <w:tc>
          <w:tcPr>
            <w:tcW w:w="1163" w:type="dxa"/>
            <w:shd w:val="clear" w:color="auto" w:fill="C0C0C0"/>
            <w:noWrap/>
          </w:tcPr>
          <w:p w14:paraId="129B8BD0" w14:textId="77777777" w:rsidR="002A30E5" w:rsidRPr="00037A46" w:rsidRDefault="002A30E5" w:rsidP="002A30E5">
            <w:pPr>
              <w:spacing w:before="0" w:after="0"/>
              <w:ind w:hanging="764"/>
              <w:jc w:val="right"/>
              <w:rPr>
                <w:b/>
                <w:bCs/>
                <w:lang w:val="en-US"/>
              </w:rPr>
            </w:pPr>
            <w:r>
              <w:rPr>
                <w:b/>
                <w:bCs/>
                <w:lang w:val="en-US"/>
              </w:rPr>
              <w:t>26</w:t>
            </w:r>
          </w:p>
        </w:tc>
        <w:tc>
          <w:tcPr>
            <w:tcW w:w="1143" w:type="dxa"/>
            <w:vAlign w:val="bottom"/>
          </w:tcPr>
          <w:p w14:paraId="11A6217F" w14:textId="113EC62F" w:rsidR="002A30E5" w:rsidRPr="00843561" w:rsidRDefault="002A30E5" w:rsidP="002A30E5">
            <w:pPr>
              <w:spacing w:before="0" w:after="0"/>
              <w:ind w:left="113"/>
              <w:jc w:val="right"/>
              <w:rPr>
                <w:rFonts w:cs="Arial"/>
                <w:color w:val="000000"/>
              </w:rPr>
            </w:pPr>
            <w:r w:rsidRPr="004A6580">
              <w:rPr>
                <w:rFonts w:cs="Arial"/>
                <w:color w:val="000000"/>
              </w:rPr>
              <w:t>22.924,81</w:t>
            </w:r>
          </w:p>
        </w:tc>
        <w:tc>
          <w:tcPr>
            <w:tcW w:w="1228" w:type="dxa"/>
            <w:vAlign w:val="bottom"/>
          </w:tcPr>
          <w:p w14:paraId="28BB14DC" w14:textId="0AF62E51" w:rsidR="002A30E5" w:rsidRPr="00843561" w:rsidRDefault="002A30E5" w:rsidP="002A30E5">
            <w:pPr>
              <w:spacing w:before="0" w:after="0"/>
              <w:ind w:left="113"/>
              <w:jc w:val="right"/>
              <w:rPr>
                <w:rFonts w:cs="Arial"/>
                <w:color w:val="000000"/>
              </w:rPr>
            </w:pPr>
            <w:r w:rsidRPr="004A6580">
              <w:rPr>
                <w:rFonts w:cs="Arial"/>
                <w:color w:val="000000"/>
              </w:rPr>
              <w:t>24.909,36</w:t>
            </w:r>
          </w:p>
        </w:tc>
        <w:tc>
          <w:tcPr>
            <w:tcW w:w="1276" w:type="dxa"/>
            <w:tcBorders>
              <w:top w:val="nil"/>
              <w:left w:val="single" w:sz="4" w:space="0" w:color="auto"/>
              <w:bottom w:val="nil"/>
              <w:right w:val="single" w:sz="4" w:space="0" w:color="auto"/>
            </w:tcBorders>
            <w:vAlign w:val="bottom"/>
          </w:tcPr>
          <w:p w14:paraId="06354D52" w14:textId="798346F4"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579,1</w:t>
            </w:r>
          </w:p>
        </w:tc>
        <w:tc>
          <w:tcPr>
            <w:tcW w:w="1276" w:type="dxa"/>
            <w:tcBorders>
              <w:top w:val="nil"/>
              <w:left w:val="single" w:sz="4" w:space="0" w:color="auto"/>
              <w:bottom w:val="nil"/>
              <w:right w:val="single" w:sz="4" w:space="0" w:color="auto"/>
            </w:tcBorders>
            <w:vAlign w:val="bottom"/>
          </w:tcPr>
          <w:p w14:paraId="45E409D2" w14:textId="77777777" w:rsidR="002A30E5" w:rsidRPr="004A6580" w:rsidRDefault="002A30E5" w:rsidP="002A30E5">
            <w:pPr>
              <w:spacing w:before="0" w:after="0"/>
              <w:ind w:left="113"/>
              <w:jc w:val="right"/>
              <w:rPr>
                <w:rFonts w:cs="Arial"/>
                <w:color w:val="000000"/>
              </w:rPr>
            </w:pPr>
            <w:r w:rsidRPr="00843561">
              <w:rPr>
                <w:rFonts w:cs="Arial"/>
                <w:color w:val="000000"/>
              </w:rPr>
              <w:t>28</w:t>
            </w:r>
            <w:r>
              <w:rPr>
                <w:rFonts w:cs="Arial"/>
                <w:color w:val="000000"/>
              </w:rPr>
              <w:t>.</w:t>
            </w:r>
            <w:r w:rsidRPr="00843561">
              <w:rPr>
                <w:rFonts w:cs="Arial"/>
                <w:color w:val="000000"/>
              </w:rPr>
              <w:t>569,7</w:t>
            </w:r>
          </w:p>
        </w:tc>
        <w:tc>
          <w:tcPr>
            <w:tcW w:w="1417" w:type="dxa"/>
            <w:tcBorders>
              <w:top w:val="nil"/>
              <w:left w:val="single" w:sz="4" w:space="0" w:color="auto"/>
              <w:bottom w:val="nil"/>
              <w:right w:val="single" w:sz="4" w:space="0" w:color="auto"/>
            </w:tcBorders>
            <w:vAlign w:val="bottom"/>
          </w:tcPr>
          <w:p w14:paraId="58599E9F" w14:textId="77777777" w:rsidR="002A30E5" w:rsidRPr="004A6580" w:rsidRDefault="002A30E5" w:rsidP="002A30E5">
            <w:pPr>
              <w:spacing w:before="0" w:after="0"/>
              <w:ind w:left="113"/>
              <w:jc w:val="right"/>
              <w:rPr>
                <w:rFonts w:cs="Arial"/>
                <w:color w:val="000000"/>
              </w:rPr>
            </w:pPr>
            <w:r w:rsidRPr="00843561">
              <w:rPr>
                <w:rFonts w:cs="Arial"/>
                <w:color w:val="000000"/>
              </w:rPr>
              <w:t>30</w:t>
            </w:r>
            <w:r>
              <w:rPr>
                <w:rFonts w:cs="Arial"/>
                <w:color w:val="000000"/>
              </w:rPr>
              <w:t>.</w:t>
            </w:r>
            <w:r w:rsidRPr="00843561">
              <w:rPr>
                <w:rFonts w:cs="Arial"/>
                <w:color w:val="000000"/>
              </w:rPr>
              <w:t>601,55</w:t>
            </w:r>
          </w:p>
        </w:tc>
        <w:tc>
          <w:tcPr>
            <w:tcW w:w="1276" w:type="dxa"/>
            <w:vAlign w:val="bottom"/>
          </w:tcPr>
          <w:p w14:paraId="4FF32C91" w14:textId="1ACE98CC" w:rsidR="002A30E5" w:rsidRPr="00843561" w:rsidRDefault="002A30E5" w:rsidP="002A30E5">
            <w:pPr>
              <w:spacing w:before="0" w:after="0"/>
              <w:ind w:left="113"/>
              <w:jc w:val="right"/>
              <w:rPr>
                <w:rFonts w:cs="Arial"/>
                <w:color w:val="000000"/>
              </w:rPr>
            </w:pPr>
            <w:r w:rsidRPr="004A6580">
              <w:rPr>
                <w:rFonts w:cs="Arial"/>
                <w:color w:val="000000"/>
              </w:rPr>
              <w:t>33</w:t>
            </w:r>
            <w:r>
              <w:rPr>
                <w:rFonts w:cs="Arial"/>
                <w:color w:val="000000"/>
              </w:rPr>
              <w:t>.</w:t>
            </w:r>
            <w:r w:rsidRPr="004A6580">
              <w:rPr>
                <w:rFonts w:cs="Arial"/>
                <w:color w:val="000000"/>
              </w:rPr>
              <w:t>832,53</w:t>
            </w:r>
          </w:p>
        </w:tc>
        <w:tc>
          <w:tcPr>
            <w:tcW w:w="1417" w:type="dxa"/>
            <w:tcBorders>
              <w:top w:val="nil"/>
              <w:left w:val="single" w:sz="4" w:space="0" w:color="auto"/>
              <w:bottom w:val="nil"/>
              <w:right w:val="single" w:sz="4" w:space="0" w:color="auto"/>
            </w:tcBorders>
            <w:vAlign w:val="bottom"/>
          </w:tcPr>
          <w:p w14:paraId="012711BB" w14:textId="2F9EC7B5" w:rsidR="002A30E5" w:rsidRPr="004A6580" w:rsidRDefault="002A30E5" w:rsidP="002A30E5">
            <w:pPr>
              <w:spacing w:before="0" w:after="0"/>
              <w:ind w:left="113"/>
              <w:jc w:val="right"/>
              <w:rPr>
                <w:rFonts w:cs="Arial"/>
                <w:color w:val="000000"/>
              </w:rPr>
            </w:pPr>
            <w:r w:rsidRPr="00843561">
              <w:rPr>
                <w:rFonts w:cs="Arial"/>
                <w:color w:val="000000"/>
              </w:rPr>
              <w:t>35</w:t>
            </w:r>
            <w:r>
              <w:rPr>
                <w:rFonts w:cs="Arial"/>
                <w:color w:val="000000"/>
              </w:rPr>
              <w:t>.</w:t>
            </w:r>
            <w:r w:rsidRPr="00843561">
              <w:rPr>
                <w:rFonts w:cs="Arial"/>
                <w:color w:val="000000"/>
              </w:rPr>
              <w:t>255,46</w:t>
            </w:r>
          </w:p>
        </w:tc>
        <w:tc>
          <w:tcPr>
            <w:tcW w:w="1276" w:type="dxa"/>
            <w:vAlign w:val="bottom"/>
          </w:tcPr>
          <w:p w14:paraId="6C0FA7DE" w14:textId="5589D235" w:rsidR="002A30E5" w:rsidRPr="00843561" w:rsidRDefault="002A30E5" w:rsidP="002A30E5">
            <w:pPr>
              <w:spacing w:before="0" w:after="0"/>
              <w:ind w:left="113"/>
              <w:jc w:val="right"/>
              <w:rPr>
                <w:rFonts w:cs="Arial"/>
                <w:color w:val="000000"/>
              </w:rPr>
            </w:pPr>
            <w:r w:rsidRPr="004A6580">
              <w:rPr>
                <w:rFonts w:cs="Arial"/>
                <w:color w:val="000000"/>
              </w:rPr>
              <w:t>38</w:t>
            </w:r>
            <w:r>
              <w:rPr>
                <w:rFonts w:cs="Arial"/>
                <w:color w:val="000000"/>
              </w:rPr>
              <w:t>.</w:t>
            </w:r>
            <w:r w:rsidRPr="004A6580">
              <w:rPr>
                <w:rFonts w:cs="Arial"/>
                <w:color w:val="000000"/>
              </w:rPr>
              <w:t>744,9</w:t>
            </w:r>
          </w:p>
        </w:tc>
        <w:tc>
          <w:tcPr>
            <w:tcW w:w="1276" w:type="dxa"/>
            <w:vAlign w:val="bottom"/>
          </w:tcPr>
          <w:p w14:paraId="27128C81" w14:textId="4BC2951D" w:rsidR="002A30E5" w:rsidRPr="00843561" w:rsidRDefault="002A30E5" w:rsidP="002A30E5">
            <w:pPr>
              <w:spacing w:before="0" w:after="0"/>
              <w:ind w:left="113"/>
              <w:jc w:val="right"/>
              <w:rPr>
                <w:rFonts w:cs="Arial"/>
                <w:color w:val="000000"/>
              </w:rPr>
            </w:pPr>
            <w:r w:rsidRPr="004A6580">
              <w:rPr>
                <w:rFonts w:cs="Arial"/>
                <w:color w:val="000000"/>
              </w:rPr>
              <w:t>42</w:t>
            </w:r>
            <w:r>
              <w:rPr>
                <w:rFonts w:cs="Arial"/>
                <w:color w:val="000000"/>
              </w:rPr>
              <w:t>.</w:t>
            </w:r>
            <w:r w:rsidRPr="004A6580">
              <w:rPr>
                <w:rFonts w:cs="Arial"/>
                <w:color w:val="000000"/>
              </w:rPr>
              <w:t>234,35</w:t>
            </w:r>
          </w:p>
        </w:tc>
        <w:tc>
          <w:tcPr>
            <w:tcW w:w="1276" w:type="dxa"/>
            <w:vAlign w:val="bottom"/>
          </w:tcPr>
          <w:p w14:paraId="10AC1AD2" w14:textId="1D5D631C" w:rsidR="002A30E5" w:rsidRPr="004A6580" w:rsidRDefault="002A30E5" w:rsidP="002A30E5">
            <w:pPr>
              <w:spacing w:before="0" w:after="0"/>
              <w:ind w:left="113"/>
              <w:jc w:val="right"/>
              <w:rPr>
                <w:rFonts w:cs="Arial"/>
                <w:color w:val="000000"/>
              </w:rPr>
            </w:pPr>
            <w:r w:rsidRPr="002A30E5">
              <w:rPr>
                <w:rFonts w:cs="Arial"/>
                <w:color w:val="000000"/>
              </w:rPr>
              <w:t>45.723,8</w:t>
            </w:r>
          </w:p>
        </w:tc>
      </w:tr>
      <w:tr w:rsidR="002A30E5" w:rsidRPr="00843561" w14:paraId="1C77E500" w14:textId="1D6CA60A" w:rsidTr="002A30E5">
        <w:trPr>
          <w:trHeight w:val="300"/>
          <w:jc w:val="center"/>
        </w:trPr>
        <w:tc>
          <w:tcPr>
            <w:tcW w:w="1163" w:type="dxa"/>
            <w:shd w:val="clear" w:color="auto" w:fill="C0C0C0"/>
            <w:noWrap/>
          </w:tcPr>
          <w:p w14:paraId="74014B85" w14:textId="77777777" w:rsidR="002A30E5" w:rsidRPr="00037A46" w:rsidRDefault="002A30E5" w:rsidP="002A30E5">
            <w:pPr>
              <w:spacing w:before="0" w:after="0"/>
              <w:ind w:hanging="764"/>
              <w:jc w:val="right"/>
              <w:rPr>
                <w:b/>
                <w:bCs/>
                <w:lang w:val="en-US"/>
              </w:rPr>
            </w:pPr>
            <w:r>
              <w:rPr>
                <w:b/>
                <w:bCs/>
                <w:lang w:val="en-US"/>
              </w:rPr>
              <w:t>27</w:t>
            </w:r>
          </w:p>
        </w:tc>
        <w:tc>
          <w:tcPr>
            <w:tcW w:w="1143" w:type="dxa"/>
            <w:vAlign w:val="bottom"/>
          </w:tcPr>
          <w:p w14:paraId="4C9BEC4F" w14:textId="3045B252" w:rsidR="002A30E5" w:rsidRPr="00843561" w:rsidRDefault="002A30E5" w:rsidP="002A30E5">
            <w:pPr>
              <w:spacing w:before="0" w:after="0"/>
              <w:ind w:left="113"/>
              <w:jc w:val="right"/>
              <w:rPr>
                <w:rFonts w:cs="Arial"/>
                <w:color w:val="000000"/>
              </w:rPr>
            </w:pPr>
            <w:r w:rsidRPr="004A6580">
              <w:rPr>
                <w:rFonts w:cs="Arial"/>
                <w:color w:val="000000"/>
              </w:rPr>
              <w:t>23.033,47</w:t>
            </w:r>
          </w:p>
        </w:tc>
        <w:tc>
          <w:tcPr>
            <w:tcW w:w="1228" w:type="dxa"/>
            <w:vAlign w:val="bottom"/>
          </w:tcPr>
          <w:p w14:paraId="4BCF3345" w14:textId="7A6D9B05" w:rsidR="002A30E5" w:rsidRPr="00843561" w:rsidRDefault="002A30E5" w:rsidP="002A30E5">
            <w:pPr>
              <w:spacing w:before="0" w:after="0"/>
              <w:ind w:left="113"/>
              <w:jc w:val="right"/>
              <w:rPr>
                <w:rFonts w:cs="Arial"/>
                <w:color w:val="000000"/>
              </w:rPr>
            </w:pPr>
            <w:r w:rsidRPr="004A6580">
              <w:rPr>
                <w:rFonts w:cs="Arial"/>
                <w:color w:val="000000"/>
              </w:rPr>
              <w:t>25.034,1</w:t>
            </w:r>
          </w:p>
        </w:tc>
        <w:tc>
          <w:tcPr>
            <w:tcW w:w="1276" w:type="dxa"/>
            <w:tcBorders>
              <w:top w:val="nil"/>
              <w:left w:val="single" w:sz="4" w:space="0" w:color="auto"/>
              <w:bottom w:val="nil"/>
              <w:right w:val="single" w:sz="4" w:space="0" w:color="auto"/>
            </w:tcBorders>
            <w:vAlign w:val="bottom"/>
          </w:tcPr>
          <w:p w14:paraId="15693CC6" w14:textId="5C66F306"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693,7</w:t>
            </w:r>
          </w:p>
        </w:tc>
        <w:tc>
          <w:tcPr>
            <w:tcW w:w="1276" w:type="dxa"/>
            <w:tcBorders>
              <w:top w:val="nil"/>
              <w:left w:val="single" w:sz="4" w:space="0" w:color="auto"/>
              <w:bottom w:val="nil"/>
              <w:right w:val="single" w:sz="4" w:space="0" w:color="auto"/>
            </w:tcBorders>
            <w:vAlign w:val="bottom"/>
          </w:tcPr>
          <w:p w14:paraId="014D2D35" w14:textId="77777777" w:rsidR="002A30E5" w:rsidRPr="004A6580" w:rsidRDefault="002A30E5" w:rsidP="002A30E5">
            <w:pPr>
              <w:spacing w:before="0" w:after="0"/>
              <w:ind w:left="113"/>
              <w:jc w:val="right"/>
              <w:rPr>
                <w:rFonts w:cs="Arial"/>
                <w:color w:val="000000"/>
              </w:rPr>
            </w:pPr>
            <w:r w:rsidRPr="00843561">
              <w:rPr>
                <w:rFonts w:cs="Arial"/>
                <w:color w:val="000000"/>
              </w:rPr>
              <w:t>28</w:t>
            </w:r>
            <w:r>
              <w:rPr>
                <w:rFonts w:cs="Arial"/>
                <w:color w:val="000000"/>
              </w:rPr>
              <w:t>.</w:t>
            </w:r>
            <w:r w:rsidRPr="00843561">
              <w:rPr>
                <w:rFonts w:cs="Arial"/>
                <w:color w:val="000000"/>
              </w:rPr>
              <w:t>720,26</w:t>
            </w:r>
          </w:p>
        </w:tc>
        <w:tc>
          <w:tcPr>
            <w:tcW w:w="1417" w:type="dxa"/>
            <w:tcBorders>
              <w:top w:val="nil"/>
              <w:left w:val="single" w:sz="4" w:space="0" w:color="auto"/>
              <w:bottom w:val="nil"/>
              <w:right w:val="single" w:sz="4" w:space="0" w:color="auto"/>
            </w:tcBorders>
            <w:vAlign w:val="bottom"/>
          </w:tcPr>
          <w:p w14:paraId="08CC035A" w14:textId="77777777" w:rsidR="002A30E5" w:rsidRPr="004A6580" w:rsidRDefault="002A30E5" w:rsidP="002A30E5">
            <w:pPr>
              <w:spacing w:before="0" w:after="0"/>
              <w:ind w:left="113"/>
              <w:jc w:val="right"/>
              <w:rPr>
                <w:rFonts w:cs="Arial"/>
                <w:color w:val="000000"/>
              </w:rPr>
            </w:pPr>
            <w:r w:rsidRPr="00843561">
              <w:rPr>
                <w:rFonts w:cs="Arial"/>
                <w:color w:val="000000"/>
              </w:rPr>
              <w:t>30</w:t>
            </w:r>
            <w:r>
              <w:rPr>
                <w:rFonts w:cs="Arial"/>
                <w:color w:val="000000"/>
              </w:rPr>
              <w:t>.</w:t>
            </w:r>
            <w:r w:rsidRPr="00843561">
              <w:rPr>
                <w:rFonts w:cs="Arial"/>
                <w:color w:val="000000"/>
              </w:rPr>
              <w:t>762,86</w:t>
            </w:r>
          </w:p>
        </w:tc>
        <w:tc>
          <w:tcPr>
            <w:tcW w:w="1276" w:type="dxa"/>
            <w:vAlign w:val="bottom"/>
          </w:tcPr>
          <w:p w14:paraId="3B50FB45" w14:textId="02C878CB" w:rsidR="002A30E5" w:rsidRPr="00843561" w:rsidRDefault="002A30E5" w:rsidP="002A30E5">
            <w:pPr>
              <w:spacing w:before="0" w:after="0"/>
              <w:ind w:left="113"/>
              <w:jc w:val="right"/>
              <w:rPr>
                <w:rFonts w:cs="Arial"/>
                <w:color w:val="000000"/>
              </w:rPr>
            </w:pPr>
            <w:r w:rsidRPr="004A6580">
              <w:rPr>
                <w:rFonts w:cs="Arial"/>
                <w:color w:val="000000"/>
              </w:rPr>
              <w:t>34</w:t>
            </w:r>
            <w:r>
              <w:rPr>
                <w:rFonts w:cs="Arial"/>
                <w:color w:val="000000"/>
              </w:rPr>
              <w:t>.</w:t>
            </w:r>
            <w:r w:rsidRPr="004A6580">
              <w:rPr>
                <w:rFonts w:cs="Arial"/>
                <w:color w:val="000000"/>
              </w:rPr>
              <w:t>019,64</w:t>
            </w:r>
          </w:p>
        </w:tc>
        <w:tc>
          <w:tcPr>
            <w:tcW w:w="1417" w:type="dxa"/>
            <w:tcBorders>
              <w:top w:val="nil"/>
              <w:left w:val="single" w:sz="4" w:space="0" w:color="auto"/>
              <w:bottom w:val="nil"/>
              <w:right w:val="single" w:sz="4" w:space="0" w:color="auto"/>
            </w:tcBorders>
            <w:vAlign w:val="bottom"/>
          </w:tcPr>
          <w:p w14:paraId="15A956E9" w14:textId="79F87222" w:rsidR="002A30E5" w:rsidRPr="004A6580" w:rsidRDefault="002A30E5" w:rsidP="002A30E5">
            <w:pPr>
              <w:spacing w:before="0" w:after="0"/>
              <w:ind w:left="113"/>
              <w:jc w:val="right"/>
              <w:rPr>
                <w:rFonts w:cs="Arial"/>
                <w:color w:val="000000"/>
              </w:rPr>
            </w:pPr>
            <w:r w:rsidRPr="00843561">
              <w:rPr>
                <w:rFonts w:cs="Arial"/>
                <w:color w:val="000000"/>
              </w:rPr>
              <w:t>35</w:t>
            </w:r>
            <w:r>
              <w:rPr>
                <w:rFonts w:cs="Arial"/>
                <w:color w:val="000000"/>
              </w:rPr>
              <w:t>.</w:t>
            </w:r>
            <w:r w:rsidRPr="00843561">
              <w:rPr>
                <w:rFonts w:cs="Arial"/>
                <w:color w:val="000000"/>
              </w:rPr>
              <w:t>413,38</w:t>
            </w:r>
          </w:p>
        </w:tc>
        <w:tc>
          <w:tcPr>
            <w:tcW w:w="1276" w:type="dxa"/>
            <w:vAlign w:val="bottom"/>
          </w:tcPr>
          <w:p w14:paraId="546AC0D4" w14:textId="4F8205F0" w:rsidR="002A30E5" w:rsidRPr="00843561" w:rsidRDefault="002A30E5" w:rsidP="002A30E5">
            <w:pPr>
              <w:spacing w:before="0" w:after="0"/>
              <w:ind w:left="113"/>
              <w:jc w:val="right"/>
              <w:rPr>
                <w:rFonts w:cs="Arial"/>
                <w:color w:val="000000"/>
              </w:rPr>
            </w:pPr>
            <w:r w:rsidRPr="004A6580">
              <w:rPr>
                <w:rFonts w:cs="Arial"/>
                <w:color w:val="000000"/>
              </w:rPr>
              <w:t>38</w:t>
            </w:r>
            <w:r>
              <w:rPr>
                <w:rFonts w:cs="Arial"/>
                <w:color w:val="000000"/>
              </w:rPr>
              <w:t>.</w:t>
            </w:r>
            <w:r w:rsidRPr="004A6580">
              <w:rPr>
                <w:rFonts w:cs="Arial"/>
                <w:color w:val="000000"/>
              </w:rPr>
              <w:t>918,44</w:t>
            </w:r>
          </w:p>
        </w:tc>
        <w:tc>
          <w:tcPr>
            <w:tcW w:w="1276" w:type="dxa"/>
            <w:vAlign w:val="bottom"/>
          </w:tcPr>
          <w:p w14:paraId="0A7F67C8" w14:textId="02DF4C09" w:rsidR="002A30E5" w:rsidRPr="00843561" w:rsidRDefault="002A30E5" w:rsidP="002A30E5">
            <w:pPr>
              <w:spacing w:before="0" w:after="0"/>
              <w:ind w:left="113"/>
              <w:jc w:val="right"/>
              <w:rPr>
                <w:rFonts w:cs="Arial"/>
                <w:color w:val="000000"/>
              </w:rPr>
            </w:pPr>
            <w:r w:rsidRPr="004A6580">
              <w:rPr>
                <w:rFonts w:cs="Arial"/>
                <w:color w:val="000000"/>
              </w:rPr>
              <w:t>42</w:t>
            </w:r>
            <w:r>
              <w:rPr>
                <w:rFonts w:cs="Arial"/>
                <w:color w:val="000000"/>
              </w:rPr>
              <w:t>.</w:t>
            </w:r>
            <w:r w:rsidRPr="004A6580">
              <w:rPr>
                <w:rFonts w:cs="Arial"/>
                <w:color w:val="000000"/>
              </w:rPr>
              <w:t>423,49</w:t>
            </w:r>
          </w:p>
        </w:tc>
        <w:tc>
          <w:tcPr>
            <w:tcW w:w="1276" w:type="dxa"/>
            <w:vAlign w:val="bottom"/>
          </w:tcPr>
          <w:p w14:paraId="16F56257" w14:textId="22AFF3F4" w:rsidR="002A30E5" w:rsidRPr="004A6580" w:rsidRDefault="002A30E5" w:rsidP="002A30E5">
            <w:pPr>
              <w:spacing w:before="0" w:after="0"/>
              <w:ind w:left="113"/>
              <w:jc w:val="right"/>
              <w:rPr>
                <w:rFonts w:cs="Arial"/>
                <w:color w:val="000000"/>
              </w:rPr>
            </w:pPr>
            <w:r w:rsidRPr="002A30E5">
              <w:rPr>
                <w:rFonts w:cs="Arial"/>
                <w:color w:val="000000"/>
              </w:rPr>
              <w:t>45.928,62</w:t>
            </w:r>
          </w:p>
        </w:tc>
      </w:tr>
      <w:tr w:rsidR="002A30E5" w:rsidRPr="00843561" w14:paraId="0281EAEB" w14:textId="385CA1AD" w:rsidTr="002A30E5">
        <w:trPr>
          <w:trHeight w:val="300"/>
          <w:jc w:val="center"/>
        </w:trPr>
        <w:tc>
          <w:tcPr>
            <w:tcW w:w="1163" w:type="dxa"/>
            <w:shd w:val="clear" w:color="auto" w:fill="C0C0C0"/>
            <w:noWrap/>
          </w:tcPr>
          <w:p w14:paraId="3E99039C" w14:textId="77777777" w:rsidR="002A30E5" w:rsidRPr="00037A46" w:rsidRDefault="002A30E5" w:rsidP="002A30E5">
            <w:pPr>
              <w:spacing w:before="0" w:after="0"/>
              <w:ind w:hanging="764"/>
              <w:jc w:val="right"/>
              <w:rPr>
                <w:b/>
                <w:bCs/>
                <w:lang w:val="en-US"/>
              </w:rPr>
            </w:pPr>
            <w:r>
              <w:rPr>
                <w:b/>
                <w:bCs/>
                <w:lang w:val="en-US"/>
              </w:rPr>
              <w:t>28</w:t>
            </w:r>
          </w:p>
        </w:tc>
        <w:tc>
          <w:tcPr>
            <w:tcW w:w="1143" w:type="dxa"/>
            <w:tcBorders>
              <w:bottom w:val="nil"/>
            </w:tcBorders>
            <w:vAlign w:val="bottom"/>
          </w:tcPr>
          <w:p w14:paraId="76D0258F" w14:textId="7CD6C4EF" w:rsidR="002A30E5" w:rsidRPr="00843561" w:rsidRDefault="002A30E5" w:rsidP="002A30E5">
            <w:pPr>
              <w:spacing w:before="0" w:after="0"/>
              <w:ind w:left="113"/>
              <w:jc w:val="right"/>
              <w:rPr>
                <w:rFonts w:cs="Arial"/>
                <w:color w:val="000000"/>
              </w:rPr>
            </w:pPr>
            <w:r w:rsidRPr="004A6580">
              <w:rPr>
                <w:rFonts w:cs="Arial"/>
                <w:color w:val="000000"/>
              </w:rPr>
              <w:t>23.134,56</w:t>
            </w:r>
          </w:p>
        </w:tc>
        <w:tc>
          <w:tcPr>
            <w:tcW w:w="1228" w:type="dxa"/>
            <w:tcBorders>
              <w:bottom w:val="nil"/>
            </w:tcBorders>
            <w:vAlign w:val="bottom"/>
          </w:tcPr>
          <w:p w14:paraId="7190343D" w14:textId="59E0FA90" w:rsidR="002A30E5" w:rsidRPr="00843561" w:rsidRDefault="002A30E5" w:rsidP="002A30E5">
            <w:pPr>
              <w:spacing w:before="0" w:after="0"/>
              <w:ind w:left="113"/>
              <w:jc w:val="right"/>
              <w:rPr>
                <w:rFonts w:cs="Arial"/>
                <w:color w:val="000000"/>
              </w:rPr>
            </w:pPr>
            <w:r w:rsidRPr="004A6580">
              <w:rPr>
                <w:rFonts w:cs="Arial"/>
                <w:color w:val="000000"/>
              </w:rPr>
              <w:t>25.150,06</w:t>
            </w:r>
          </w:p>
        </w:tc>
        <w:tc>
          <w:tcPr>
            <w:tcW w:w="1276" w:type="dxa"/>
            <w:tcBorders>
              <w:top w:val="nil"/>
              <w:left w:val="single" w:sz="4" w:space="0" w:color="auto"/>
              <w:bottom w:val="nil"/>
              <w:right w:val="single" w:sz="4" w:space="0" w:color="auto"/>
            </w:tcBorders>
            <w:vAlign w:val="bottom"/>
          </w:tcPr>
          <w:p w14:paraId="6AE2DD51" w14:textId="0B8B7D39"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800,14</w:t>
            </w:r>
          </w:p>
        </w:tc>
        <w:tc>
          <w:tcPr>
            <w:tcW w:w="1276" w:type="dxa"/>
            <w:tcBorders>
              <w:top w:val="nil"/>
              <w:left w:val="single" w:sz="4" w:space="0" w:color="auto"/>
              <w:bottom w:val="nil"/>
              <w:right w:val="single" w:sz="4" w:space="0" w:color="auto"/>
            </w:tcBorders>
            <w:vAlign w:val="bottom"/>
          </w:tcPr>
          <w:p w14:paraId="1C515208" w14:textId="77777777" w:rsidR="002A30E5" w:rsidRPr="004A6580" w:rsidRDefault="002A30E5" w:rsidP="002A30E5">
            <w:pPr>
              <w:spacing w:before="0" w:after="0"/>
              <w:ind w:left="113"/>
              <w:jc w:val="right"/>
              <w:rPr>
                <w:rFonts w:cs="Arial"/>
                <w:color w:val="000000"/>
              </w:rPr>
            </w:pPr>
            <w:r w:rsidRPr="00843561">
              <w:rPr>
                <w:rFonts w:cs="Arial"/>
                <w:color w:val="000000"/>
              </w:rPr>
              <w:t>28</w:t>
            </w:r>
            <w:r>
              <w:rPr>
                <w:rFonts w:cs="Arial"/>
                <w:color w:val="000000"/>
              </w:rPr>
              <w:t>.</w:t>
            </w:r>
            <w:r w:rsidRPr="00843561">
              <w:rPr>
                <w:rFonts w:cs="Arial"/>
                <w:color w:val="000000"/>
              </w:rPr>
              <w:t>860,21</w:t>
            </w:r>
          </w:p>
        </w:tc>
        <w:tc>
          <w:tcPr>
            <w:tcW w:w="1417" w:type="dxa"/>
            <w:tcBorders>
              <w:top w:val="nil"/>
              <w:left w:val="single" w:sz="4" w:space="0" w:color="auto"/>
              <w:bottom w:val="nil"/>
              <w:right w:val="single" w:sz="4" w:space="0" w:color="auto"/>
            </w:tcBorders>
            <w:vAlign w:val="bottom"/>
          </w:tcPr>
          <w:p w14:paraId="76C4BC11" w14:textId="77777777" w:rsidR="002A30E5" w:rsidRPr="004A6580" w:rsidRDefault="002A30E5" w:rsidP="002A30E5">
            <w:pPr>
              <w:spacing w:before="0" w:after="0"/>
              <w:ind w:left="113"/>
              <w:jc w:val="right"/>
              <w:rPr>
                <w:rFonts w:cs="Arial"/>
                <w:color w:val="000000"/>
              </w:rPr>
            </w:pPr>
            <w:r w:rsidRPr="00843561">
              <w:rPr>
                <w:rFonts w:cs="Arial"/>
                <w:color w:val="000000"/>
              </w:rPr>
              <w:t>30</w:t>
            </w:r>
            <w:r>
              <w:rPr>
                <w:rFonts w:cs="Arial"/>
                <w:color w:val="000000"/>
              </w:rPr>
              <w:t>.</w:t>
            </w:r>
            <w:r w:rsidRPr="00843561">
              <w:rPr>
                <w:rFonts w:cs="Arial"/>
                <w:color w:val="000000"/>
              </w:rPr>
              <w:t>912,81</w:t>
            </w:r>
          </w:p>
        </w:tc>
        <w:tc>
          <w:tcPr>
            <w:tcW w:w="1276" w:type="dxa"/>
            <w:tcBorders>
              <w:bottom w:val="nil"/>
            </w:tcBorders>
            <w:vAlign w:val="bottom"/>
          </w:tcPr>
          <w:p w14:paraId="04FEF4B0" w14:textId="5FCEBD70" w:rsidR="002A30E5" w:rsidRPr="00843561" w:rsidRDefault="002A30E5" w:rsidP="002A30E5">
            <w:pPr>
              <w:spacing w:before="0" w:after="0"/>
              <w:ind w:left="113"/>
              <w:jc w:val="right"/>
              <w:rPr>
                <w:rFonts w:cs="Arial"/>
                <w:color w:val="000000"/>
              </w:rPr>
            </w:pPr>
            <w:r w:rsidRPr="004A6580">
              <w:rPr>
                <w:rFonts w:cs="Arial"/>
                <w:color w:val="000000"/>
              </w:rPr>
              <w:t>34</w:t>
            </w:r>
            <w:r>
              <w:rPr>
                <w:rFonts w:cs="Arial"/>
                <w:color w:val="000000"/>
              </w:rPr>
              <w:t>.</w:t>
            </w:r>
            <w:r w:rsidRPr="004A6580">
              <w:rPr>
                <w:rFonts w:cs="Arial"/>
                <w:color w:val="000000"/>
              </w:rPr>
              <w:t>193,78</w:t>
            </w:r>
          </w:p>
        </w:tc>
        <w:tc>
          <w:tcPr>
            <w:tcW w:w="1417" w:type="dxa"/>
            <w:tcBorders>
              <w:top w:val="nil"/>
              <w:left w:val="single" w:sz="4" w:space="0" w:color="auto"/>
              <w:bottom w:val="nil"/>
              <w:right w:val="single" w:sz="4" w:space="0" w:color="auto"/>
            </w:tcBorders>
            <w:vAlign w:val="bottom"/>
          </w:tcPr>
          <w:p w14:paraId="746FDD19" w14:textId="5E18D7FD" w:rsidR="002A30E5" w:rsidRPr="004A6580" w:rsidRDefault="002A30E5" w:rsidP="002A30E5">
            <w:pPr>
              <w:spacing w:before="0" w:after="0"/>
              <w:ind w:left="113"/>
              <w:jc w:val="right"/>
              <w:rPr>
                <w:rFonts w:cs="Arial"/>
                <w:color w:val="000000"/>
              </w:rPr>
            </w:pPr>
            <w:r w:rsidRPr="00843561">
              <w:rPr>
                <w:rFonts w:cs="Arial"/>
                <w:color w:val="000000"/>
              </w:rPr>
              <w:t>35</w:t>
            </w:r>
            <w:r>
              <w:rPr>
                <w:rFonts w:cs="Arial"/>
                <w:color w:val="000000"/>
              </w:rPr>
              <w:t>.</w:t>
            </w:r>
            <w:r w:rsidRPr="00843561">
              <w:rPr>
                <w:rFonts w:cs="Arial"/>
                <w:color w:val="000000"/>
              </w:rPr>
              <w:t>560,09</w:t>
            </w:r>
          </w:p>
        </w:tc>
        <w:tc>
          <w:tcPr>
            <w:tcW w:w="1276" w:type="dxa"/>
            <w:tcBorders>
              <w:bottom w:val="nil"/>
            </w:tcBorders>
            <w:vAlign w:val="bottom"/>
          </w:tcPr>
          <w:p w14:paraId="701D381A" w14:textId="56BA98BA" w:rsidR="002A30E5" w:rsidRPr="00843561" w:rsidRDefault="002A30E5" w:rsidP="002A30E5">
            <w:pPr>
              <w:spacing w:before="0" w:after="0"/>
              <w:ind w:left="113"/>
              <w:jc w:val="right"/>
              <w:rPr>
                <w:rFonts w:cs="Arial"/>
                <w:color w:val="000000"/>
              </w:rPr>
            </w:pPr>
            <w:r w:rsidRPr="004A6580">
              <w:rPr>
                <w:rFonts w:cs="Arial"/>
                <w:color w:val="000000"/>
              </w:rPr>
              <w:t>39</w:t>
            </w:r>
            <w:r>
              <w:rPr>
                <w:rFonts w:cs="Arial"/>
                <w:color w:val="000000"/>
              </w:rPr>
              <w:t>.</w:t>
            </w:r>
            <w:r w:rsidRPr="004A6580">
              <w:rPr>
                <w:rFonts w:cs="Arial"/>
                <w:color w:val="000000"/>
              </w:rPr>
              <w:t>079,67</w:t>
            </w:r>
          </w:p>
        </w:tc>
        <w:tc>
          <w:tcPr>
            <w:tcW w:w="1276" w:type="dxa"/>
            <w:tcBorders>
              <w:bottom w:val="nil"/>
            </w:tcBorders>
            <w:vAlign w:val="bottom"/>
          </w:tcPr>
          <w:p w14:paraId="73C8D50F" w14:textId="4B74A838" w:rsidR="002A30E5" w:rsidRPr="00843561" w:rsidRDefault="002A30E5" w:rsidP="002A30E5">
            <w:pPr>
              <w:spacing w:before="0" w:after="0"/>
              <w:ind w:left="113"/>
              <w:jc w:val="right"/>
              <w:rPr>
                <w:rFonts w:cs="Arial"/>
                <w:color w:val="000000"/>
              </w:rPr>
            </w:pPr>
            <w:r w:rsidRPr="004A6580">
              <w:rPr>
                <w:rFonts w:cs="Arial"/>
                <w:color w:val="000000"/>
              </w:rPr>
              <w:t>42</w:t>
            </w:r>
            <w:r>
              <w:rPr>
                <w:rFonts w:cs="Arial"/>
                <w:color w:val="000000"/>
              </w:rPr>
              <w:t>.</w:t>
            </w:r>
            <w:r w:rsidRPr="004A6580">
              <w:rPr>
                <w:rFonts w:cs="Arial"/>
                <w:color w:val="000000"/>
              </w:rPr>
              <w:t>599,26</w:t>
            </w:r>
          </w:p>
        </w:tc>
        <w:tc>
          <w:tcPr>
            <w:tcW w:w="1276" w:type="dxa"/>
            <w:tcBorders>
              <w:bottom w:val="nil"/>
            </w:tcBorders>
            <w:vAlign w:val="bottom"/>
          </w:tcPr>
          <w:p w14:paraId="15FF7556" w14:textId="532E95C1" w:rsidR="002A30E5" w:rsidRPr="004A6580" w:rsidRDefault="002A30E5" w:rsidP="002A30E5">
            <w:pPr>
              <w:spacing w:before="0" w:after="0"/>
              <w:ind w:left="113"/>
              <w:jc w:val="right"/>
              <w:rPr>
                <w:rFonts w:cs="Arial"/>
                <w:color w:val="000000"/>
              </w:rPr>
            </w:pPr>
            <w:r w:rsidRPr="002A30E5">
              <w:rPr>
                <w:rFonts w:cs="Arial"/>
                <w:color w:val="000000"/>
              </w:rPr>
              <w:t>46.118,84</w:t>
            </w:r>
          </w:p>
        </w:tc>
      </w:tr>
      <w:tr w:rsidR="002A30E5" w:rsidRPr="00843561" w14:paraId="5AA83BA6" w14:textId="7CCE01E2" w:rsidTr="002A30E5">
        <w:trPr>
          <w:trHeight w:val="300"/>
          <w:jc w:val="center"/>
        </w:trPr>
        <w:tc>
          <w:tcPr>
            <w:tcW w:w="1163" w:type="dxa"/>
            <w:shd w:val="clear" w:color="auto" w:fill="C0C0C0"/>
            <w:noWrap/>
          </w:tcPr>
          <w:p w14:paraId="4D1DDCF6" w14:textId="77777777" w:rsidR="002A30E5" w:rsidRPr="00037A46" w:rsidRDefault="002A30E5" w:rsidP="002A30E5">
            <w:pPr>
              <w:spacing w:before="0" w:after="0"/>
              <w:ind w:hanging="764"/>
              <w:jc w:val="right"/>
              <w:rPr>
                <w:b/>
                <w:bCs/>
                <w:lang w:val="en-US"/>
              </w:rPr>
            </w:pPr>
            <w:r>
              <w:rPr>
                <w:b/>
                <w:bCs/>
                <w:lang w:val="en-US"/>
              </w:rPr>
              <w:t>29</w:t>
            </w:r>
          </w:p>
        </w:tc>
        <w:tc>
          <w:tcPr>
            <w:tcW w:w="1143" w:type="dxa"/>
            <w:tcBorders>
              <w:top w:val="nil"/>
              <w:bottom w:val="nil"/>
            </w:tcBorders>
            <w:vAlign w:val="bottom"/>
          </w:tcPr>
          <w:p w14:paraId="1FD80D40" w14:textId="564DFA29" w:rsidR="002A30E5" w:rsidRPr="00843561" w:rsidRDefault="002A30E5" w:rsidP="002A30E5">
            <w:pPr>
              <w:spacing w:before="0" w:after="0"/>
              <w:ind w:left="113"/>
              <w:jc w:val="right"/>
              <w:rPr>
                <w:rFonts w:cs="Arial"/>
                <w:color w:val="000000"/>
              </w:rPr>
            </w:pPr>
            <w:r w:rsidRPr="004A6580">
              <w:rPr>
                <w:rFonts w:cs="Arial"/>
                <w:color w:val="000000"/>
              </w:rPr>
              <w:t>23.228,43</w:t>
            </w:r>
          </w:p>
        </w:tc>
        <w:tc>
          <w:tcPr>
            <w:tcW w:w="1228" w:type="dxa"/>
            <w:tcBorders>
              <w:top w:val="nil"/>
              <w:bottom w:val="nil"/>
            </w:tcBorders>
            <w:vAlign w:val="bottom"/>
          </w:tcPr>
          <w:p w14:paraId="28E9A039" w14:textId="26F947F2" w:rsidR="002A30E5" w:rsidRPr="00843561" w:rsidRDefault="002A30E5" w:rsidP="002A30E5">
            <w:pPr>
              <w:spacing w:before="0" w:after="0"/>
              <w:ind w:left="113"/>
              <w:jc w:val="right"/>
              <w:rPr>
                <w:rFonts w:cs="Arial"/>
                <w:color w:val="000000"/>
              </w:rPr>
            </w:pPr>
            <w:r w:rsidRPr="004A6580">
              <w:rPr>
                <w:rFonts w:cs="Arial"/>
                <w:color w:val="000000"/>
              </w:rPr>
              <w:t>25.257,78</w:t>
            </w:r>
          </w:p>
        </w:tc>
        <w:tc>
          <w:tcPr>
            <w:tcW w:w="1276" w:type="dxa"/>
            <w:tcBorders>
              <w:top w:val="nil"/>
              <w:left w:val="single" w:sz="4" w:space="0" w:color="auto"/>
              <w:bottom w:val="nil"/>
              <w:right w:val="single" w:sz="4" w:space="0" w:color="auto"/>
            </w:tcBorders>
            <w:vAlign w:val="bottom"/>
          </w:tcPr>
          <w:p w14:paraId="0D35F43F" w14:textId="1598BCC5"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899</w:t>
            </w:r>
          </w:p>
        </w:tc>
        <w:tc>
          <w:tcPr>
            <w:tcW w:w="1276" w:type="dxa"/>
            <w:tcBorders>
              <w:top w:val="nil"/>
              <w:left w:val="single" w:sz="4" w:space="0" w:color="auto"/>
              <w:bottom w:val="nil"/>
              <w:right w:val="single" w:sz="4" w:space="0" w:color="auto"/>
            </w:tcBorders>
            <w:vAlign w:val="bottom"/>
          </w:tcPr>
          <w:p w14:paraId="69E7C1C4" w14:textId="77777777" w:rsidR="002A30E5" w:rsidRPr="004A6580" w:rsidRDefault="002A30E5" w:rsidP="002A30E5">
            <w:pPr>
              <w:spacing w:before="0" w:after="0"/>
              <w:ind w:left="113"/>
              <w:jc w:val="right"/>
              <w:rPr>
                <w:rFonts w:cs="Arial"/>
                <w:color w:val="000000"/>
              </w:rPr>
            </w:pPr>
            <w:r w:rsidRPr="00843561">
              <w:rPr>
                <w:rFonts w:cs="Arial"/>
                <w:color w:val="000000"/>
              </w:rPr>
              <w:t>28</w:t>
            </w:r>
            <w:r>
              <w:rPr>
                <w:rFonts w:cs="Arial"/>
                <w:color w:val="000000"/>
              </w:rPr>
              <w:t>.</w:t>
            </w:r>
            <w:r w:rsidRPr="00843561">
              <w:rPr>
                <w:rFonts w:cs="Arial"/>
                <w:color w:val="000000"/>
              </w:rPr>
              <w:t>990,29</w:t>
            </w:r>
          </w:p>
        </w:tc>
        <w:tc>
          <w:tcPr>
            <w:tcW w:w="1417" w:type="dxa"/>
            <w:tcBorders>
              <w:top w:val="nil"/>
              <w:left w:val="single" w:sz="4" w:space="0" w:color="auto"/>
              <w:bottom w:val="nil"/>
              <w:right w:val="single" w:sz="4" w:space="0" w:color="auto"/>
            </w:tcBorders>
            <w:vAlign w:val="bottom"/>
          </w:tcPr>
          <w:p w14:paraId="7B0174D6" w14:textId="77777777" w:rsidR="002A30E5" w:rsidRPr="004A6580" w:rsidRDefault="002A30E5" w:rsidP="002A30E5">
            <w:pPr>
              <w:spacing w:before="0" w:after="0"/>
              <w:ind w:left="113"/>
              <w:jc w:val="right"/>
              <w:rPr>
                <w:rFonts w:cs="Arial"/>
                <w:color w:val="000000"/>
              </w:rPr>
            </w:pPr>
            <w:r w:rsidRPr="00843561">
              <w:rPr>
                <w:rFonts w:cs="Arial"/>
                <w:color w:val="000000"/>
              </w:rPr>
              <w:t>31</w:t>
            </w:r>
            <w:r>
              <w:rPr>
                <w:rFonts w:cs="Arial"/>
                <w:color w:val="000000"/>
              </w:rPr>
              <w:t>.</w:t>
            </w:r>
            <w:r w:rsidRPr="00843561">
              <w:rPr>
                <w:rFonts w:cs="Arial"/>
                <w:color w:val="000000"/>
              </w:rPr>
              <w:t>052,15</w:t>
            </w:r>
          </w:p>
        </w:tc>
        <w:tc>
          <w:tcPr>
            <w:tcW w:w="1276" w:type="dxa"/>
            <w:tcBorders>
              <w:top w:val="nil"/>
              <w:bottom w:val="nil"/>
            </w:tcBorders>
            <w:vAlign w:val="bottom"/>
          </w:tcPr>
          <w:p w14:paraId="79FEB1D2" w14:textId="19466CA6" w:rsidR="002A30E5" w:rsidRPr="00843561" w:rsidRDefault="002A30E5" w:rsidP="002A30E5">
            <w:pPr>
              <w:spacing w:before="0" w:after="0"/>
              <w:ind w:left="113"/>
              <w:jc w:val="right"/>
              <w:rPr>
                <w:rFonts w:cs="Arial"/>
                <w:color w:val="000000"/>
              </w:rPr>
            </w:pPr>
            <w:r w:rsidRPr="004A6580">
              <w:rPr>
                <w:rFonts w:cs="Arial"/>
                <w:color w:val="000000"/>
              </w:rPr>
              <w:t>34</w:t>
            </w:r>
            <w:r>
              <w:rPr>
                <w:rFonts w:cs="Arial"/>
                <w:color w:val="000000"/>
              </w:rPr>
              <w:t>.</w:t>
            </w:r>
            <w:r w:rsidRPr="004A6580">
              <w:rPr>
                <w:rFonts w:cs="Arial"/>
                <w:color w:val="000000"/>
              </w:rPr>
              <w:t>355,63</w:t>
            </w:r>
          </w:p>
        </w:tc>
        <w:tc>
          <w:tcPr>
            <w:tcW w:w="1417" w:type="dxa"/>
            <w:tcBorders>
              <w:top w:val="nil"/>
              <w:left w:val="single" w:sz="4" w:space="0" w:color="auto"/>
              <w:bottom w:val="nil"/>
              <w:right w:val="single" w:sz="4" w:space="0" w:color="auto"/>
            </w:tcBorders>
            <w:vAlign w:val="bottom"/>
          </w:tcPr>
          <w:p w14:paraId="01EC2085" w14:textId="26FEDAF7" w:rsidR="002A30E5" w:rsidRPr="004A6580" w:rsidRDefault="002A30E5" w:rsidP="002A30E5">
            <w:pPr>
              <w:spacing w:before="0" w:after="0"/>
              <w:ind w:left="113"/>
              <w:jc w:val="right"/>
              <w:rPr>
                <w:rFonts w:cs="Arial"/>
                <w:color w:val="000000"/>
              </w:rPr>
            </w:pPr>
            <w:r w:rsidRPr="00843561">
              <w:rPr>
                <w:rFonts w:cs="Arial"/>
                <w:color w:val="000000"/>
              </w:rPr>
              <w:t>35</w:t>
            </w:r>
            <w:r>
              <w:rPr>
                <w:rFonts w:cs="Arial"/>
                <w:color w:val="000000"/>
              </w:rPr>
              <w:t>.</w:t>
            </w:r>
            <w:r w:rsidRPr="00843561">
              <w:rPr>
                <w:rFonts w:cs="Arial"/>
                <w:color w:val="000000"/>
              </w:rPr>
              <w:t>696,32</w:t>
            </w:r>
          </w:p>
        </w:tc>
        <w:tc>
          <w:tcPr>
            <w:tcW w:w="1276" w:type="dxa"/>
            <w:tcBorders>
              <w:top w:val="nil"/>
              <w:bottom w:val="nil"/>
            </w:tcBorders>
            <w:vAlign w:val="bottom"/>
          </w:tcPr>
          <w:p w14:paraId="4FC726B5" w14:textId="15541BC9" w:rsidR="002A30E5" w:rsidRPr="00843561" w:rsidRDefault="002A30E5" w:rsidP="002A30E5">
            <w:pPr>
              <w:spacing w:before="0" w:after="0"/>
              <w:ind w:left="113"/>
              <w:jc w:val="right"/>
              <w:rPr>
                <w:rFonts w:cs="Arial"/>
                <w:color w:val="000000"/>
              </w:rPr>
            </w:pPr>
            <w:r w:rsidRPr="004A6580">
              <w:rPr>
                <w:rFonts w:cs="Arial"/>
                <w:color w:val="000000"/>
              </w:rPr>
              <w:t>39</w:t>
            </w:r>
            <w:r>
              <w:rPr>
                <w:rFonts w:cs="Arial"/>
                <w:color w:val="000000"/>
              </w:rPr>
              <w:t>.</w:t>
            </w:r>
            <w:r w:rsidRPr="004A6580">
              <w:rPr>
                <w:rFonts w:cs="Arial"/>
                <w:color w:val="000000"/>
              </w:rPr>
              <w:t>229,49</w:t>
            </w:r>
          </w:p>
        </w:tc>
        <w:tc>
          <w:tcPr>
            <w:tcW w:w="1276" w:type="dxa"/>
            <w:tcBorders>
              <w:top w:val="nil"/>
              <w:bottom w:val="nil"/>
            </w:tcBorders>
            <w:vAlign w:val="bottom"/>
          </w:tcPr>
          <w:p w14:paraId="48006632" w14:textId="556659F7" w:rsidR="002A30E5" w:rsidRPr="00843561" w:rsidRDefault="002A30E5" w:rsidP="002A30E5">
            <w:pPr>
              <w:spacing w:before="0" w:after="0"/>
              <w:ind w:left="113"/>
              <w:jc w:val="right"/>
              <w:rPr>
                <w:rFonts w:cs="Arial"/>
                <w:color w:val="000000"/>
              </w:rPr>
            </w:pPr>
            <w:r w:rsidRPr="004A6580">
              <w:rPr>
                <w:rFonts w:cs="Arial"/>
                <w:color w:val="000000"/>
              </w:rPr>
              <w:t>42</w:t>
            </w:r>
            <w:r>
              <w:rPr>
                <w:rFonts w:cs="Arial"/>
                <w:color w:val="000000"/>
              </w:rPr>
              <w:t>.</w:t>
            </w:r>
            <w:r w:rsidRPr="004A6580">
              <w:rPr>
                <w:rFonts w:cs="Arial"/>
                <w:color w:val="000000"/>
              </w:rPr>
              <w:t>762,52</w:t>
            </w:r>
          </w:p>
        </w:tc>
        <w:tc>
          <w:tcPr>
            <w:tcW w:w="1276" w:type="dxa"/>
            <w:tcBorders>
              <w:top w:val="nil"/>
              <w:bottom w:val="nil"/>
            </w:tcBorders>
            <w:vAlign w:val="bottom"/>
          </w:tcPr>
          <w:p w14:paraId="693E846E" w14:textId="3D33FD35" w:rsidR="002A30E5" w:rsidRPr="004A6580" w:rsidRDefault="002A30E5" w:rsidP="002A30E5">
            <w:pPr>
              <w:spacing w:before="0" w:after="0"/>
              <w:ind w:left="113"/>
              <w:jc w:val="right"/>
              <w:rPr>
                <w:rFonts w:cs="Arial"/>
                <w:color w:val="000000"/>
              </w:rPr>
            </w:pPr>
            <w:r w:rsidRPr="002A30E5">
              <w:rPr>
                <w:rFonts w:cs="Arial"/>
                <w:color w:val="000000"/>
              </w:rPr>
              <w:t>46.295,62</w:t>
            </w:r>
          </w:p>
        </w:tc>
      </w:tr>
      <w:tr w:rsidR="002A30E5" w:rsidRPr="00843561" w14:paraId="27C15C05" w14:textId="401F58A8" w:rsidTr="002A30E5">
        <w:trPr>
          <w:trHeight w:val="300"/>
          <w:jc w:val="center"/>
        </w:trPr>
        <w:tc>
          <w:tcPr>
            <w:tcW w:w="1163" w:type="dxa"/>
            <w:shd w:val="clear" w:color="auto" w:fill="C0C0C0"/>
            <w:noWrap/>
          </w:tcPr>
          <w:p w14:paraId="03052507" w14:textId="77777777" w:rsidR="002A30E5" w:rsidRPr="00037A46" w:rsidRDefault="002A30E5" w:rsidP="002A30E5">
            <w:pPr>
              <w:spacing w:before="0" w:after="0"/>
              <w:ind w:hanging="764"/>
              <w:jc w:val="right"/>
              <w:rPr>
                <w:b/>
                <w:bCs/>
                <w:lang w:val="en-US"/>
              </w:rPr>
            </w:pPr>
            <w:r>
              <w:rPr>
                <w:b/>
                <w:bCs/>
                <w:lang w:val="en-US"/>
              </w:rPr>
              <w:t>30</w:t>
            </w:r>
          </w:p>
        </w:tc>
        <w:tc>
          <w:tcPr>
            <w:tcW w:w="1143" w:type="dxa"/>
            <w:tcBorders>
              <w:top w:val="nil"/>
              <w:bottom w:val="nil"/>
            </w:tcBorders>
            <w:vAlign w:val="bottom"/>
          </w:tcPr>
          <w:p w14:paraId="769E268F" w14:textId="0882E21F" w:rsidR="002A30E5" w:rsidRPr="00843561" w:rsidRDefault="002A30E5" w:rsidP="002A30E5">
            <w:pPr>
              <w:spacing w:before="0" w:after="0"/>
              <w:ind w:left="113"/>
              <w:jc w:val="right"/>
              <w:rPr>
                <w:rFonts w:cs="Arial"/>
                <w:color w:val="000000"/>
              </w:rPr>
            </w:pPr>
            <w:r w:rsidRPr="004A6580">
              <w:rPr>
                <w:rFonts w:cs="Arial"/>
                <w:color w:val="000000"/>
              </w:rPr>
              <w:t>23.315,6</w:t>
            </w:r>
          </w:p>
        </w:tc>
        <w:tc>
          <w:tcPr>
            <w:tcW w:w="1228" w:type="dxa"/>
            <w:tcBorders>
              <w:top w:val="nil"/>
              <w:bottom w:val="nil"/>
            </w:tcBorders>
            <w:vAlign w:val="bottom"/>
          </w:tcPr>
          <w:p w14:paraId="160F05E9" w14:textId="4449DC64" w:rsidR="002A30E5" w:rsidRPr="00843561" w:rsidRDefault="002A30E5" w:rsidP="002A30E5">
            <w:pPr>
              <w:spacing w:before="0" w:after="0"/>
              <w:ind w:left="113"/>
              <w:jc w:val="right"/>
              <w:rPr>
                <w:rFonts w:cs="Arial"/>
                <w:color w:val="000000"/>
              </w:rPr>
            </w:pPr>
            <w:r w:rsidRPr="004A6580">
              <w:rPr>
                <w:rFonts w:cs="Arial"/>
                <w:color w:val="000000"/>
              </w:rPr>
              <w:t>25.357,79</w:t>
            </w:r>
          </w:p>
        </w:tc>
        <w:tc>
          <w:tcPr>
            <w:tcW w:w="1276" w:type="dxa"/>
            <w:tcBorders>
              <w:top w:val="nil"/>
              <w:left w:val="single" w:sz="4" w:space="0" w:color="auto"/>
              <w:bottom w:val="nil"/>
              <w:right w:val="single" w:sz="4" w:space="0" w:color="auto"/>
            </w:tcBorders>
            <w:vAlign w:val="bottom"/>
          </w:tcPr>
          <w:p w14:paraId="327978F3" w14:textId="3370A2A8"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990,76</w:t>
            </w:r>
          </w:p>
        </w:tc>
        <w:tc>
          <w:tcPr>
            <w:tcW w:w="1276" w:type="dxa"/>
            <w:tcBorders>
              <w:top w:val="nil"/>
              <w:left w:val="single" w:sz="4" w:space="0" w:color="auto"/>
              <w:bottom w:val="nil"/>
              <w:right w:val="single" w:sz="4" w:space="0" w:color="auto"/>
            </w:tcBorders>
            <w:vAlign w:val="bottom"/>
          </w:tcPr>
          <w:p w14:paraId="7921C004" w14:textId="77777777" w:rsidR="002A30E5" w:rsidRPr="004A6580" w:rsidRDefault="002A30E5" w:rsidP="002A30E5">
            <w:pPr>
              <w:spacing w:before="0" w:after="0"/>
              <w:ind w:left="113"/>
              <w:jc w:val="right"/>
              <w:rPr>
                <w:rFonts w:cs="Arial"/>
                <w:color w:val="000000"/>
              </w:rPr>
            </w:pPr>
            <w:r w:rsidRPr="00843561">
              <w:rPr>
                <w:rFonts w:cs="Arial"/>
                <w:color w:val="000000"/>
              </w:rPr>
              <w:t>29</w:t>
            </w:r>
            <w:r>
              <w:rPr>
                <w:rFonts w:cs="Arial"/>
                <w:color w:val="000000"/>
              </w:rPr>
              <w:t>.</w:t>
            </w:r>
            <w:r w:rsidRPr="00843561">
              <w:rPr>
                <w:rFonts w:cs="Arial"/>
                <w:color w:val="000000"/>
              </w:rPr>
              <w:t>111,18</w:t>
            </w:r>
          </w:p>
        </w:tc>
        <w:tc>
          <w:tcPr>
            <w:tcW w:w="1417" w:type="dxa"/>
            <w:tcBorders>
              <w:top w:val="nil"/>
              <w:left w:val="single" w:sz="4" w:space="0" w:color="auto"/>
              <w:bottom w:val="nil"/>
              <w:right w:val="single" w:sz="4" w:space="0" w:color="auto"/>
            </w:tcBorders>
            <w:vAlign w:val="bottom"/>
          </w:tcPr>
          <w:p w14:paraId="1ED04D12" w14:textId="77777777" w:rsidR="002A30E5" w:rsidRPr="004A6580" w:rsidRDefault="002A30E5" w:rsidP="002A30E5">
            <w:pPr>
              <w:spacing w:before="0" w:after="0"/>
              <w:ind w:left="113"/>
              <w:jc w:val="right"/>
              <w:rPr>
                <w:rFonts w:cs="Arial"/>
                <w:color w:val="000000"/>
              </w:rPr>
            </w:pPr>
            <w:r w:rsidRPr="00843561">
              <w:rPr>
                <w:rFonts w:cs="Arial"/>
                <w:color w:val="000000"/>
              </w:rPr>
              <w:t>31</w:t>
            </w:r>
            <w:r>
              <w:rPr>
                <w:rFonts w:cs="Arial"/>
                <w:color w:val="000000"/>
              </w:rPr>
              <w:t>.</w:t>
            </w:r>
            <w:r w:rsidRPr="00843561">
              <w:rPr>
                <w:rFonts w:cs="Arial"/>
                <w:color w:val="000000"/>
              </w:rPr>
              <w:t>181,62</w:t>
            </w:r>
          </w:p>
        </w:tc>
        <w:tc>
          <w:tcPr>
            <w:tcW w:w="1276" w:type="dxa"/>
            <w:tcBorders>
              <w:top w:val="nil"/>
              <w:bottom w:val="nil"/>
            </w:tcBorders>
            <w:vAlign w:val="bottom"/>
          </w:tcPr>
          <w:p w14:paraId="7275BEB2" w14:textId="3DC2E98E" w:rsidR="002A30E5" w:rsidRPr="00843561" w:rsidRDefault="002A30E5" w:rsidP="002A30E5">
            <w:pPr>
              <w:spacing w:before="0" w:after="0"/>
              <w:ind w:left="113"/>
              <w:jc w:val="right"/>
              <w:rPr>
                <w:rFonts w:cs="Arial"/>
                <w:color w:val="000000"/>
              </w:rPr>
            </w:pPr>
            <w:r w:rsidRPr="004A6580">
              <w:rPr>
                <w:rFonts w:cs="Arial"/>
                <w:color w:val="000000"/>
              </w:rPr>
              <w:t>34</w:t>
            </w:r>
            <w:r>
              <w:rPr>
                <w:rFonts w:cs="Arial"/>
                <w:color w:val="000000"/>
              </w:rPr>
              <w:t>.</w:t>
            </w:r>
            <w:r w:rsidRPr="004A6580">
              <w:rPr>
                <w:rFonts w:cs="Arial"/>
                <w:color w:val="000000"/>
              </w:rPr>
              <w:t>506,05</w:t>
            </w:r>
          </w:p>
        </w:tc>
        <w:tc>
          <w:tcPr>
            <w:tcW w:w="1417" w:type="dxa"/>
            <w:tcBorders>
              <w:top w:val="nil"/>
              <w:left w:val="single" w:sz="4" w:space="0" w:color="auto"/>
              <w:bottom w:val="nil"/>
              <w:right w:val="single" w:sz="4" w:space="0" w:color="auto"/>
            </w:tcBorders>
            <w:vAlign w:val="bottom"/>
          </w:tcPr>
          <w:p w14:paraId="38296981" w14:textId="4DCE6913" w:rsidR="002A30E5" w:rsidRPr="004A6580" w:rsidRDefault="002A30E5" w:rsidP="002A30E5">
            <w:pPr>
              <w:spacing w:before="0" w:after="0"/>
              <w:ind w:left="113"/>
              <w:jc w:val="right"/>
              <w:rPr>
                <w:rFonts w:cs="Arial"/>
                <w:color w:val="000000"/>
              </w:rPr>
            </w:pPr>
            <w:r w:rsidRPr="00843561">
              <w:rPr>
                <w:rFonts w:cs="Arial"/>
                <w:color w:val="000000"/>
              </w:rPr>
              <w:t>35</w:t>
            </w:r>
            <w:r>
              <w:rPr>
                <w:rFonts w:cs="Arial"/>
                <w:color w:val="000000"/>
              </w:rPr>
              <w:t>.</w:t>
            </w:r>
            <w:r w:rsidRPr="00843561">
              <w:rPr>
                <w:rFonts w:cs="Arial"/>
                <w:color w:val="000000"/>
              </w:rPr>
              <w:t>822,89</w:t>
            </w:r>
          </w:p>
        </w:tc>
        <w:tc>
          <w:tcPr>
            <w:tcW w:w="1276" w:type="dxa"/>
            <w:tcBorders>
              <w:top w:val="nil"/>
              <w:bottom w:val="nil"/>
            </w:tcBorders>
            <w:vAlign w:val="bottom"/>
          </w:tcPr>
          <w:p w14:paraId="6F375F4A" w14:textId="08A0A12E" w:rsidR="002A30E5" w:rsidRPr="00843561" w:rsidRDefault="002A30E5" w:rsidP="002A30E5">
            <w:pPr>
              <w:spacing w:before="0" w:after="0"/>
              <w:ind w:left="113"/>
              <w:jc w:val="right"/>
              <w:rPr>
                <w:rFonts w:cs="Arial"/>
                <w:color w:val="000000"/>
              </w:rPr>
            </w:pPr>
            <w:r w:rsidRPr="004A6580">
              <w:rPr>
                <w:rFonts w:cs="Arial"/>
                <w:color w:val="000000"/>
              </w:rPr>
              <w:t>39</w:t>
            </w:r>
            <w:r>
              <w:rPr>
                <w:rFonts w:cs="Arial"/>
                <w:color w:val="000000"/>
              </w:rPr>
              <w:t>.</w:t>
            </w:r>
            <w:r w:rsidRPr="004A6580">
              <w:rPr>
                <w:rFonts w:cs="Arial"/>
                <w:color w:val="000000"/>
              </w:rPr>
              <w:t>368,49</w:t>
            </w:r>
          </w:p>
        </w:tc>
        <w:tc>
          <w:tcPr>
            <w:tcW w:w="1276" w:type="dxa"/>
            <w:tcBorders>
              <w:top w:val="nil"/>
              <w:bottom w:val="nil"/>
            </w:tcBorders>
            <w:vAlign w:val="bottom"/>
          </w:tcPr>
          <w:p w14:paraId="654438D8" w14:textId="52963F9B" w:rsidR="002A30E5" w:rsidRPr="00843561" w:rsidRDefault="002A30E5" w:rsidP="002A30E5">
            <w:pPr>
              <w:spacing w:before="0" w:after="0"/>
              <w:ind w:left="113"/>
              <w:jc w:val="right"/>
              <w:rPr>
                <w:rFonts w:cs="Arial"/>
                <w:color w:val="000000"/>
              </w:rPr>
            </w:pPr>
            <w:r w:rsidRPr="004A6580">
              <w:rPr>
                <w:rFonts w:cs="Arial"/>
                <w:color w:val="000000"/>
              </w:rPr>
              <w:t>42</w:t>
            </w:r>
            <w:r>
              <w:rPr>
                <w:rFonts w:cs="Arial"/>
                <w:color w:val="000000"/>
              </w:rPr>
              <w:t>.</w:t>
            </w:r>
            <w:r w:rsidRPr="004A6580">
              <w:rPr>
                <w:rFonts w:cs="Arial"/>
                <w:color w:val="000000"/>
              </w:rPr>
              <w:t>914,09</w:t>
            </w:r>
          </w:p>
        </w:tc>
        <w:tc>
          <w:tcPr>
            <w:tcW w:w="1276" w:type="dxa"/>
            <w:tcBorders>
              <w:top w:val="nil"/>
            </w:tcBorders>
            <w:vAlign w:val="bottom"/>
          </w:tcPr>
          <w:p w14:paraId="15628A7E" w14:textId="0E85A9E8" w:rsidR="002A30E5" w:rsidRPr="004A6580" w:rsidRDefault="002A30E5" w:rsidP="002A30E5">
            <w:pPr>
              <w:spacing w:before="0" w:after="0"/>
              <w:ind w:left="113"/>
              <w:jc w:val="right"/>
              <w:rPr>
                <w:rFonts w:cs="Arial"/>
                <w:color w:val="000000"/>
              </w:rPr>
            </w:pPr>
            <w:r w:rsidRPr="002A30E5">
              <w:rPr>
                <w:rFonts w:cs="Arial"/>
                <w:color w:val="000000"/>
              </w:rPr>
              <w:t>46.459,69</w:t>
            </w:r>
          </w:p>
        </w:tc>
      </w:tr>
      <w:tr w:rsidR="002A30E5" w:rsidRPr="00843561" w14:paraId="480FC7FE" w14:textId="41B2DFF8" w:rsidTr="002A30E5">
        <w:trPr>
          <w:trHeight w:val="300"/>
          <w:jc w:val="center"/>
        </w:trPr>
        <w:tc>
          <w:tcPr>
            <w:tcW w:w="1163" w:type="dxa"/>
            <w:shd w:val="clear" w:color="auto" w:fill="C0C0C0"/>
            <w:noWrap/>
          </w:tcPr>
          <w:p w14:paraId="3FF403B5" w14:textId="77777777" w:rsidR="002A30E5" w:rsidRPr="00037A46" w:rsidRDefault="002A30E5" w:rsidP="002A30E5">
            <w:pPr>
              <w:spacing w:before="0" w:after="0"/>
              <w:ind w:hanging="764"/>
              <w:jc w:val="right"/>
              <w:rPr>
                <w:b/>
                <w:bCs/>
                <w:lang w:val="en-US"/>
              </w:rPr>
            </w:pPr>
            <w:r>
              <w:rPr>
                <w:b/>
                <w:bCs/>
                <w:lang w:val="en-US"/>
              </w:rPr>
              <w:t>31</w:t>
            </w:r>
          </w:p>
        </w:tc>
        <w:tc>
          <w:tcPr>
            <w:tcW w:w="1143" w:type="dxa"/>
            <w:tcBorders>
              <w:top w:val="nil"/>
            </w:tcBorders>
            <w:vAlign w:val="bottom"/>
          </w:tcPr>
          <w:p w14:paraId="4EC9B105" w14:textId="20296FF8" w:rsidR="002A30E5" w:rsidRPr="00843561" w:rsidRDefault="002A30E5" w:rsidP="002A30E5">
            <w:pPr>
              <w:spacing w:before="0" w:after="0"/>
              <w:ind w:left="113"/>
              <w:jc w:val="right"/>
              <w:rPr>
                <w:rFonts w:cs="Arial"/>
                <w:color w:val="000000"/>
              </w:rPr>
            </w:pPr>
            <w:r w:rsidRPr="004A6580">
              <w:rPr>
                <w:rFonts w:cs="Arial"/>
                <w:color w:val="000000"/>
              </w:rPr>
              <w:t>23.396,55</w:t>
            </w:r>
          </w:p>
        </w:tc>
        <w:tc>
          <w:tcPr>
            <w:tcW w:w="1228" w:type="dxa"/>
            <w:tcBorders>
              <w:top w:val="nil"/>
            </w:tcBorders>
            <w:vAlign w:val="bottom"/>
          </w:tcPr>
          <w:p w14:paraId="307EA7BC" w14:textId="2C58DDEA" w:rsidR="002A30E5" w:rsidRPr="00843561" w:rsidRDefault="002A30E5" w:rsidP="002A30E5">
            <w:pPr>
              <w:spacing w:before="0" w:after="0"/>
              <w:ind w:left="113"/>
              <w:jc w:val="right"/>
              <w:rPr>
                <w:rFonts w:cs="Arial"/>
                <w:color w:val="000000"/>
              </w:rPr>
            </w:pPr>
            <w:r w:rsidRPr="004A6580">
              <w:rPr>
                <w:rFonts w:cs="Arial"/>
                <w:color w:val="000000"/>
              </w:rPr>
              <w:t>25.450,7</w:t>
            </w:r>
          </w:p>
        </w:tc>
        <w:tc>
          <w:tcPr>
            <w:tcW w:w="1276" w:type="dxa"/>
            <w:tcBorders>
              <w:top w:val="nil"/>
              <w:left w:val="single" w:sz="4" w:space="0" w:color="auto"/>
              <w:bottom w:val="nil"/>
              <w:right w:val="single" w:sz="4" w:space="0" w:color="auto"/>
            </w:tcBorders>
            <w:vAlign w:val="bottom"/>
          </w:tcPr>
          <w:p w14:paraId="5AF54469" w14:textId="5ED65F9C" w:rsidR="002A30E5" w:rsidRPr="004A6580" w:rsidRDefault="002A30E5" w:rsidP="002A30E5">
            <w:pPr>
              <w:spacing w:before="0" w:after="0"/>
              <w:ind w:left="113"/>
              <w:jc w:val="right"/>
              <w:rPr>
                <w:rFonts w:cs="Arial"/>
                <w:color w:val="000000"/>
              </w:rPr>
            </w:pPr>
            <w:r w:rsidRPr="00843561">
              <w:rPr>
                <w:rFonts w:cs="Arial"/>
                <w:color w:val="000000"/>
              </w:rPr>
              <w:t>26</w:t>
            </w:r>
            <w:r>
              <w:rPr>
                <w:rFonts w:cs="Arial"/>
                <w:color w:val="000000"/>
              </w:rPr>
              <w:t>.</w:t>
            </w:r>
            <w:r w:rsidRPr="00843561">
              <w:rPr>
                <w:rFonts w:cs="Arial"/>
                <w:color w:val="000000"/>
              </w:rPr>
              <w:t>075,98</w:t>
            </w:r>
          </w:p>
        </w:tc>
        <w:tc>
          <w:tcPr>
            <w:tcW w:w="1276" w:type="dxa"/>
            <w:tcBorders>
              <w:top w:val="nil"/>
              <w:left w:val="single" w:sz="4" w:space="0" w:color="auto"/>
              <w:bottom w:val="nil"/>
              <w:right w:val="single" w:sz="4" w:space="0" w:color="auto"/>
            </w:tcBorders>
            <w:vAlign w:val="bottom"/>
          </w:tcPr>
          <w:p w14:paraId="0E4E5F91" w14:textId="77777777" w:rsidR="002A30E5" w:rsidRPr="004A6580" w:rsidRDefault="002A30E5" w:rsidP="002A30E5">
            <w:pPr>
              <w:spacing w:before="0" w:after="0"/>
              <w:ind w:left="113"/>
              <w:jc w:val="right"/>
              <w:rPr>
                <w:rFonts w:cs="Arial"/>
                <w:color w:val="000000"/>
              </w:rPr>
            </w:pPr>
            <w:r w:rsidRPr="00843561">
              <w:rPr>
                <w:rFonts w:cs="Arial"/>
                <w:color w:val="000000"/>
              </w:rPr>
              <w:t>29</w:t>
            </w:r>
            <w:r>
              <w:rPr>
                <w:rFonts w:cs="Arial"/>
                <w:color w:val="000000"/>
              </w:rPr>
              <w:t>.</w:t>
            </w:r>
            <w:r w:rsidRPr="00843561">
              <w:rPr>
                <w:rFonts w:cs="Arial"/>
                <w:color w:val="000000"/>
              </w:rPr>
              <w:t>223,49</w:t>
            </w:r>
          </w:p>
        </w:tc>
        <w:tc>
          <w:tcPr>
            <w:tcW w:w="1417" w:type="dxa"/>
            <w:tcBorders>
              <w:top w:val="nil"/>
              <w:left w:val="single" w:sz="4" w:space="0" w:color="auto"/>
              <w:bottom w:val="nil"/>
              <w:right w:val="single" w:sz="4" w:space="0" w:color="auto"/>
            </w:tcBorders>
            <w:vAlign w:val="bottom"/>
          </w:tcPr>
          <w:p w14:paraId="6FB4F4F8" w14:textId="77777777" w:rsidR="002A30E5" w:rsidRPr="004A6580" w:rsidRDefault="002A30E5" w:rsidP="002A30E5">
            <w:pPr>
              <w:spacing w:before="0" w:after="0"/>
              <w:ind w:left="113"/>
              <w:jc w:val="right"/>
              <w:rPr>
                <w:rFonts w:cs="Arial"/>
                <w:color w:val="000000"/>
              </w:rPr>
            </w:pPr>
            <w:r w:rsidRPr="00843561">
              <w:rPr>
                <w:rFonts w:cs="Arial"/>
                <w:color w:val="000000"/>
              </w:rPr>
              <w:t>31</w:t>
            </w:r>
            <w:r>
              <w:rPr>
                <w:rFonts w:cs="Arial"/>
                <w:color w:val="000000"/>
              </w:rPr>
              <w:t>.</w:t>
            </w:r>
            <w:r w:rsidRPr="00843561">
              <w:rPr>
                <w:rFonts w:cs="Arial"/>
                <w:color w:val="000000"/>
              </w:rPr>
              <w:t>301,9</w:t>
            </w:r>
          </w:p>
        </w:tc>
        <w:tc>
          <w:tcPr>
            <w:tcW w:w="1276" w:type="dxa"/>
            <w:tcBorders>
              <w:top w:val="nil"/>
            </w:tcBorders>
            <w:vAlign w:val="bottom"/>
          </w:tcPr>
          <w:p w14:paraId="68A9EE0C" w14:textId="7986D0D6" w:rsidR="002A30E5" w:rsidRPr="00843561" w:rsidRDefault="002A30E5" w:rsidP="002A30E5">
            <w:pPr>
              <w:spacing w:before="0" w:after="0"/>
              <w:ind w:left="113"/>
              <w:jc w:val="right"/>
              <w:rPr>
                <w:rFonts w:cs="Arial"/>
                <w:color w:val="000000"/>
              </w:rPr>
            </w:pPr>
            <w:r w:rsidRPr="004A6580">
              <w:rPr>
                <w:rFonts w:cs="Arial"/>
                <w:color w:val="000000"/>
              </w:rPr>
              <w:t>34</w:t>
            </w:r>
            <w:r>
              <w:rPr>
                <w:rFonts w:cs="Arial"/>
                <w:color w:val="000000"/>
              </w:rPr>
              <w:t>.</w:t>
            </w:r>
            <w:r w:rsidRPr="004A6580">
              <w:rPr>
                <w:rFonts w:cs="Arial"/>
                <w:color w:val="000000"/>
              </w:rPr>
              <w:t>645,86</w:t>
            </w:r>
          </w:p>
        </w:tc>
        <w:tc>
          <w:tcPr>
            <w:tcW w:w="1417" w:type="dxa"/>
            <w:tcBorders>
              <w:top w:val="nil"/>
              <w:left w:val="single" w:sz="4" w:space="0" w:color="auto"/>
              <w:bottom w:val="nil"/>
              <w:right w:val="single" w:sz="4" w:space="0" w:color="auto"/>
            </w:tcBorders>
            <w:vAlign w:val="bottom"/>
          </w:tcPr>
          <w:p w14:paraId="0C26D03F" w14:textId="149C742F" w:rsidR="002A30E5" w:rsidRPr="004A6580" w:rsidRDefault="002A30E5" w:rsidP="002A30E5">
            <w:pPr>
              <w:spacing w:before="0" w:after="0"/>
              <w:ind w:left="113"/>
              <w:jc w:val="right"/>
              <w:rPr>
                <w:rFonts w:cs="Arial"/>
                <w:color w:val="000000"/>
              </w:rPr>
            </w:pPr>
            <w:r w:rsidRPr="00843561">
              <w:rPr>
                <w:rFonts w:cs="Arial"/>
                <w:color w:val="000000"/>
              </w:rPr>
              <w:t>35</w:t>
            </w:r>
            <w:r>
              <w:rPr>
                <w:rFonts w:cs="Arial"/>
                <w:color w:val="000000"/>
              </w:rPr>
              <w:t>.</w:t>
            </w:r>
            <w:r w:rsidRPr="00843561">
              <w:rPr>
                <w:rFonts w:cs="Arial"/>
                <w:color w:val="000000"/>
              </w:rPr>
              <w:t>940,4</w:t>
            </w:r>
          </w:p>
        </w:tc>
        <w:tc>
          <w:tcPr>
            <w:tcW w:w="1276" w:type="dxa"/>
            <w:tcBorders>
              <w:top w:val="nil"/>
            </w:tcBorders>
            <w:vAlign w:val="bottom"/>
          </w:tcPr>
          <w:p w14:paraId="18788AF4" w14:textId="72357A45" w:rsidR="002A30E5" w:rsidRPr="00843561" w:rsidRDefault="002A30E5" w:rsidP="002A30E5">
            <w:pPr>
              <w:spacing w:before="0" w:after="0"/>
              <w:ind w:left="113"/>
              <w:jc w:val="right"/>
              <w:rPr>
                <w:rFonts w:cs="Arial"/>
                <w:color w:val="000000"/>
              </w:rPr>
            </w:pPr>
            <w:r w:rsidRPr="004A6580">
              <w:rPr>
                <w:rFonts w:cs="Arial"/>
                <w:color w:val="000000"/>
              </w:rPr>
              <w:t>39</w:t>
            </w:r>
            <w:r>
              <w:rPr>
                <w:rFonts w:cs="Arial"/>
                <w:color w:val="000000"/>
              </w:rPr>
              <w:t>.</w:t>
            </w:r>
            <w:r w:rsidRPr="004A6580">
              <w:rPr>
                <w:rFonts w:cs="Arial"/>
                <w:color w:val="000000"/>
              </w:rPr>
              <w:t>497,56</w:t>
            </w:r>
          </w:p>
        </w:tc>
        <w:tc>
          <w:tcPr>
            <w:tcW w:w="1276" w:type="dxa"/>
            <w:tcBorders>
              <w:top w:val="nil"/>
            </w:tcBorders>
            <w:vAlign w:val="bottom"/>
          </w:tcPr>
          <w:p w14:paraId="58EBF64D" w14:textId="69130635" w:rsidR="002A30E5" w:rsidRPr="00843561" w:rsidRDefault="002A30E5" w:rsidP="002A30E5">
            <w:pPr>
              <w:spacing w:before="0" w:after="0"/>
              <w:ind w:left="113"/>
              <w:jc w:val="right"/>
              <w:rPr>
                <w:rFonts w:cs="Arial"/>
                <w:color w:val="000000"/>
              </w:rPr>
            </w:pPr>
            <w:r w:rsidRPr="004A6580">
              <w:rPr>
                <w:rFonts w:cs="Arial"/>
                <w:color w:val="000000"/>
              </w:rPr>
              <w:t>43</w:t>
            </w:r>
            <w:r>
              <w:rPr>
                <w:rFonts w:cs="Arial"/>
                <w:color w:val="000000"/>
              </w:rPr>
              <w:t>.</w:t>
            </w:r>
            <w:r w:rsidRPr="004A6580">
              <w:rPr>
                <w:rFonts w:cs="Arial"/>
                <w:color w:val="000000"/>
              </w:rPr>
              <w:t>054,78</w:t>
            </w:r>
          </w:p>
        </w:tc>
        <w:tc>
          <w:tcPr>
            <w:tcW w:w="1276" w:type="dxa"/>
            <w:vAlign w:val="bottom"/>
          </w:tcPr>
          <w:p w14:paraId="26A01BE8" w14:textId="38D3DFFB" w:rsidR="002A30E5" w:rsidRPr="004A6580" w:rsidRDefault="002A30E5" w:rsidP="002A30E5">
            <w:pPr>
              <w:spacing w:before="0" w:after="0"/>
              <w:ind w:left="113"/>
              <w:jc w:val="right"/>
              <w:rPr>
                <w:rFonts w:cs="Arial"/>
                <w:color w:val="000000"/>
              </w:rPr>
            </w:pPr>
            <w:r w:rsidRPr="002A30E5">
              <w:rPr>
                <w:rFonts w:cs="Arial"/>
                <w:color w:val="000000"/>
              </w:rPr>
              <w:t>46.612,07</w:t>
            </w:r>
          </w:p>
        </w:tc>
      </w:tr>
      <w:tr w:rsidR="002A30E5" w:rsidRPr="00843561" w14:paraId="1A774D7D" w14:textId="6C580236" w:rsidTr="002A30E5">
        <w:trPr>
          <w:trHeight w:val="300"/>
          <w:jc w:val="center"/>
        </w:trPr>
        <w:tc>
          <w:tcPr>
            <w:tcW w:w="1163" w:type="dxa"/>
            <w:shd w:val="clear" w:color="auto" w:fill="C0C0C0"/>
            <w:noWrap/>
          </w:tcPr>
          <w:p w14:paraId="20784393" w14:textId="77777777" w:rsidR="002A30E5" w:rsidRPr="00037A46" w:rsidRDefault="002A30E5" w:rsidP="002A30E5">
            <w:pPr>
              <w:spacing w:before="0" w:after="0"/>
              <w:ind w:hanging="764"/>
              <w:jc w:val="right"/>
              <w:rPr>
                <w:b/>
                <w:bCs/>
                <w:lang w:val="en-US"/>
              </w:rPr>
            </w:pPr>
            <w:r>
              <w:rPr>
                <w:b/>
                <w:bCs/>
                <w:lang w:val="en-US"/>
              </w:rPr>
              <w:t>32</w:t>
            </w:r>
          </w:p>
        </w:tc>
        <w:tc>
          <w:tcPr>
            <w:tcW w:w="1143" w:type="dxa"/>
            <w:vAlign w:val="bottom"/>
          </w:tcPr>
          <w:p w14:paraId="45B339C4" w14:textId="70B9331D" w:rsidR="002A30E5" w:rsidRPr="00843561" w:rsidRDefault="002A30E5" w:rsidP="002A30E5">
            <w:pPr>
              <w:spacing w:before="0" w:after="0"/>
              <w:ind w:left="113"/>
              <w:jc w:val="right"/>
              <w:rPr>
                <w:rFonts w:cs="Arial"/>
                <w:color w:val="000000"/>
              </w:rPr>
            </w:pPr>
            <w:r w:rsidRPr="004A6580">
              <w:rPr>
                <w:rFonts w:cs="Arial"/>
                <w:color w:val="000000"/>
              </w:rPr>
              <w:t>23.471,63</w:t>
            </w:r>
          </w:p>
        </w:tc>
        <w:tc>
          <w:tcPr>
            <w:tcW w:w="1228" w:type="dxa"/>
            <w:vAlign w:val="bottom"/>
          </w:tcPr>
          <w:p w14:paraId="3E87F2A7" w14:textId="68462B61" w:rsidR="002A30E5" w:rsidRPr="00843561" w:rsidRDefault="002A30E5" w:rsidP="002A30E5">
            <w:pPr>
              <w:spacing w:before="0" w:after="0"/>
              <w:ind w:left="113"/>
              <w:jc w:val="right"/>
              <w:rPr>
                <w:rFonts w:cs="Arial"/>
                <w:color w:val="000000"/>
              </w:rPr>
            </w:pPr>
            <w:r w:rsidRPr="004A6580">
              <w:rPr>
                <w:rFonts w:cs="Arial"/>
                <w:color w:val="000000"/>
              </w:rPr>
              <w:t>25.537</w:t>
            </w:r>
          </w:p>
        </w:tc>
        <w:tc>
          <w:tcPr>
            <w:tcW w:w="1276" w:type="dxa"/>
            <w:tcBorders>
              <w:top w:val="nil"/>
              <w:left w:val="single" w:sz="4" w:space="0" w:color="auto"/>
              <w:bottom w:val="nil"/>
              <w:right w:val="single" w:sz="4" w:space="0" w:color="auto"/>
            </w:tcBorders>
            <w:vAlign w:val="bottom"/>
          </w:tcPr>
          <w:p w14:paraId="7CA99E13" w14:textId="09B179CF" w:rsidR="002A30E5" w:rsidRPr="004A6580" w:rsidRDefault="002A30E5" w:rsidP="002A30E5">
            <w:pPr>
              <w:spacing w:before="0" w:after="0"/>
              <w:ind w:left="113"/>
              <w:jc w:val="right"/>
              <w:rPr>
                <w:rFonts w:cs="Arial"/>
                <w:color w:val="000000"/>
              </w:rPr>
            </w:pPr>
            <w:r w:rsidRPr="00843561">
              <w:rPr>
                <w:rFonts w:cs="Arial"/>
                <w:color w:val="000000"/>
              </w:rPr>
              <w:t>26</w:t>
            </w:r>
            <w:r>
              <w:rPr>
                <w:rFonts w:cs="Arial"/>
                <w:color w:val="000000"/>
              </w:rPr>
              <w:t>.</w:t>
            </w:r>
            <w:r w:rsidRPr="00843561">
              <w:rPr>
                <w:rFonts w:cs="Arial"/>
                <w:color w:val="000000"/>
              </w:rPr>
              <w:t>155,04</w:t>
            </w:r>
          </w:p>
        </w:tc>
        <w:tc>
          <w:tcPr>
            <w:tcW w:w="1276" w:type="dxa"/>
            <w:tcBorders>
              <w:top w:val="nil"/>
              <w:left w:val="single" w:sz="4" w:space="0" w:color="auto"/>
              <w:bottom w:val="nil"/>
              <w:right w:val="single" w:sz="4" w:space="0" w:color="auto"/>
            </w:tcBorders>
            <w:vAlign w:val="bottom"/>
          </w:tcPr>
          <w:p w14:paraId="12223897" w14:textId="77777777" w:rsidR="002A30E5" w:rsidRPr="004A6580" w:rsidRDefault="002A30E5" w:rsidP="002A30E5">
            <w:pPr>
              <w:spacing w:before="0" w:after="0"/>
              <w:ind w:left="113"/>
              <w:jc w:val="right"/>
              <w:rPr>
                <w:rFonts w:cs="Arial"/>
                <w:color w:val="000000"/>
              </w:rPr>
            </w:pPr>
            <w:r w:rsidRPr="00843561">
              <w:rPr>
                <w:rFonts w:cs="Arial"/>
                <w:color w:val="000000"/>
              </w:rPr>
              <w:t>29</w:t>
            </w:r>
            <w:r>
              <w:rPr>
                <w:rFonts w:cs="Arial"/>
                <w:color w:val="000000"/>
              </w:rPr>
              <w:t>.</w:t>
            </w:r>
            <w:r w:rsidRPr="00843561">
              <w:rPr>
                <w:rFonts w:cs="Arial"/>
                <w:color w:val="000000"/>
              </w:rPr>
              <w:t>327,76</w:t>
            </w:r>
          </w:p>
        </w:tc>
        <w:tc>
          <w:tcPr>
            <w:tcW w:w="1417" w:type="dxa"/>
            <w:tcBorders>
              <w:top w:val="nil"/>
              <w:left w:val="single" w:sz="4" w:space="0" w:color="auto"/>
              <w:bottom w:val="nil"/>
              <w:right w:val="single" w:sz="4" w:space="0" w:color="auto"/>
            </w:tcBorders>
            <w:vAlign w:val="bottom"/>
          </w:tcPr>
          <w:p w14:paraId="45E1ABBB" w14:textId="77777777" w:rsidR="002A30E5" w:rsidRPr="004A6580" w:rsidRDefault="002A30E5" w:rsidP="002A30E5">
            <w:pPr>
              <w:spacing w:before="0" w:after="0"/>
              <w:ind w:left="113"/>
              <w:jc w:val="right"/>
              <w:rPr>
                <w:rFonts w:cs="Arial"/>
                <w:color w:val="000000"/>
              </w:rPr>
            </w:pPr>
            <w:r w:rsidRPr="00843561">
              <w:rPr>
                <w:rFonts w:cs="Arial"/>
                <w:color w:val="000000"/>
              </w:rPr>
              <w:t>31</w:t>
            </w:r>
            <w:r>
              <w:rPr>
                <w:rFonts w:cs="Arial"/>
                <w:color w:val="000000"/>
              </w:rPr>
              <w:t>.</w:t>
            </w:r>
            <w:r w:rsidRPr="00843561">
              <w:rPr>
                <w:rFonts w:cs="Arial"/>
                <w:color w:val="000000"/>
              </w:rPr>
              <w:t>413,61</w:t>
            </w:r>
          </w:p>
        </w:tc>
        <w:tc>
          <w:tcPr>
            <w:tcW w:w="1276" w:type="dxa"/>
            <w:vAlign w:val="bottom"/>
          </w:tcPr>
          <w:p w14:paraId="53CD186D" w14:textId="4406A34B" w:rsidR="002A30E5" w:rsidRPr="00843561" w:rsidRDefault="002A30E5" w:rsidP="002A30E5">
            <w:pPr>
              <w:spacing w:before="0" w:after="0"/>
              <w:ind w:left="113"/>
              <w:jc w:val="right"/>
              <w:rPr>
                <w:rFonts w:cs="Arial"/>
                <w:color w:val="000000"/>
              </w:rPr>
            </w:pPr>
            <w:r w:rsidRPr="004A6580">
              <w:rPr>
                <w:rFonts w:cs="Arial"/>
                <w:color w:val="000000"/>
              </w:rPr>
              <w:t>34</w:t>
            </w:r>
            <w:r>
              <w:rPr>
                <w:rFonts w:cs="Arial"/>
                <w:color w:val="000000"/>
              </w:rPr>
              <w:t>.</w:t>
            </w:r>
            <w:r w:rsidRPr="004A6580">
              <w:rPr>
                <w:rFonts w:cs="Arial"/>
                <w:color w:val="000000"/>
              </w:rPr>
              <w:t>775,67</w:t>
            </w:r>
          </w:p>
        </w:tc>
        <w:tc>
          <w:tcPr>
            <w:tcW w:w="1417" w:type="dxa"/>
            <w:tcBorders>
              <w:top w:val="nil"/>
              <w:left w:val="single" w:sz="4" w:space="0" w:color="auto"/>
              <w:bottom w:val="nil"/>
              <w:right w:val="single" w:sz="4" w:space="0" w:color="auto"/>
            </w:tcBorders>
            <w:vAlign w:val="bottom"/>
          </w:tcPr>
          <w:p w14:paraId="7D860B95" w14:textId="1C19E29B" w:rsidR="002A30E5" w:rsidRPr="004A6580" w:rsidRDefault="002A30E5" w:rsidP="002A30E5">
            <w:pPr>
              <w:spacing w:before="0" w:after="0"/>
              <w:ind w:left="113"/>
              <w:jc w:val="right"/>
              <w:rPr>
                <w:rFonts w:cs="Arial"/>
                <w:color w:val="000000"/>
              </w:rPr>
            </w:pPr>
            <w:r w:rsidRPr="00843561">
              <w:rPr>
                <w:rFonts w:cs="Arial"/>
                <w:color w:val="000000"/>
              </w:rPr>
              <w:t>36</w:t>
            </w:r>
            <w:r>
              <w:rPr>
                <w:rFonts w:cs="Arial"/>
                <w:color w:val="000000"/>
              </w:rPr>
              <w:t>.</w:t>
            </w:r>
            <w:r w:rsidRPr="00843561">
              <w:rPr>
                <w:rFonts w:cs="Arial"/>
                <w:color w:val="000000"/>
              </w:rPr>
              <w:t>049,4</w:t>
            </w:r>
          </w:p>
        </w:tc>
        <w:tc>
          <w:tcPr>
            <w:tcW w:w="1276" w:type="dxa"/>
            <w:vAlign w:val="bottom"/>
          </w:tcPr>
          <w:p w14:paraId="7A58533E" w14:textId="7AF05D3A" w:rsidR="002A30E5" w:rsidRPr="00843561" w:rsidRDefault="002A30E5" w:rsidP="002A30E5">
            <w:pPr>
              <w:spacing w:before="0" w:after="0"/>
              <w:ind w:left="113"/>
              <w:jc w:val="right"/>
              <w:rPr>
                <w:rFonts w:cs="Arial"/>
                <w:color w:val="000000"/>
              </w:rPr>
            </w:pPr>
            <w:r w:rsidRPr="004A6580">
              <w:rPr>
                <w:rFonts w:cs="Arial"/>
                <w:color w:val="000000"/>
              </w:rPr>
              <w:t>39</w:t>
            </w:r>
            <w:r>
              <w:rPr>
                <w:rFonts w:cs="Arial"/>
                <w:color w:val="000000"/>
              </w:rPr>
              <w:t>.</w:t>
            </w:r>
            <w:r w:rsidRPr="004A6580">
              <w:rPr>
                <w:rFonts w:cs="Arial"/>
                <w:color w:val="000000"/>
              </w:rPr>
              <w:t>617,43</w:t>
            </w:r>
          </w:p>
        </w:tc>
        <w:tc>
          <w:tcPr>
            <w:tcW w:w="1276" w:type="dxa"/>
            <w:vAlign w:val="bottom"/>
          </w:tcPr>
          <w:p w14:paraId="2328C864" w14:textId="47DEB819" w:rsidR="002A30E5" w:rsidRPr="00843561" w:rsidRDefault="002A30E5" w:rsidP="002A30E5">
            <w:pPr>
              <w:spacing w:before="0" w:after="0"/>
              <w:ind w:left="113"/>
              <w:jc w:val="right"/>
              <w:rPr>
                <w:rFonts w:cs="Arial"/>
                <w:color w:val="000000"/>
              </w:rPr>
            </w:pPr>
            <w:r w:rsidRPr="004A6580">
              <w:rPr>
                <w:rFonts w:cs="Arial"/>
                <w:color w:val="000000"/>
              </w:rPr>
              <w:t>43</w:t>
            </w:r>
            <w:r>
              <w:rPr>
                <w:rFonts w:cs="Arial"/>
                <w:color w:val="000000"/>
              </w:rPr>
              <w:t>.</w:t>
            </w:r>
            <w:r w:rsidRPr="004A6580">
              <w:rPr>
                <w:rFonts w:cs="Arial"/>
                <w:color w:val="000000"/>
              </w:rPr>
              <w:t>185,4</w:t>
            </w:r>
          </w:p>
        </w:tc>
        <w:tc>
          <w:tcPr>
            <w:tcW w:w="1276" w:type="dxa"/>
            <w:vAlign w:val="bottom"/>
          </w:tcPr>
          <w:p w14:paraId="35994ACF" w14:textId="33446A97" w:rsidR="002A30E5" w:rsidRPr="004A6580" w:rsidRDefault="002A30E5" w:rsidP="002A30E5">
            <w:pPr>
              <w:spacing w:before="0" w:after="0"/>
              <w:ind w:left="113"/>
              <w:jc w:val="right"/>
              <w:rPr>
                <w:rFonts w:cs="Arial"/>
                <w:color w:val="000000"/>
              </w:rPr>
            </w:pPr>
            <w:r w:rsidRPr="002A30E5">
              <w:rPr>
                <w:rFonts w:cs="Arial"/>
                <w:color w:val="000000"/>
              </w:rPr>
              <w:t>46.753,44</w:t>
            </w:r>
          </w:p>
        </w:tc>
      </w:tr>
      <w:tr w:rsidR="002A30E5" w:rsidRPr="00843561" w14:paraId="606DF8D6" w14:textId="1A212A7E" w:rsidTr="002A30E5">
        <w:trPr>
          <w:trHeight w:val="300"/>
          <w:jc w:val="center"/>
        </w:trPr>
        <w:tc>
          <w:tcPr>
            <w:tcW w:w="1163" w:type="dxa"/>
            <w:shd w:val="clear" w:color="auto" w:fill="C0C0C0"/>
            <w:noWrap/>
          </w:tcPr>
          <w:p w14:paraId="6DE47FB6" w14:textId="77777777" w:rsidR="002A30E5" w:rsidRPr="00037A46" w:rsidRDefault="002A30E5" w:rsidP="002A30E5">
            <w:pPr>
              <w:spacing w:before="0" w:after="0"/>
              <w:ind w:hanging="764"/>
              <w:jc w:val="right"/>
              <w:rPr>
                <w:b/>
                <w:bCs/>
                <w:lang w:val="en-US"/>
              </w:rPr>
            </w:pPr>
            <w:r>
              <w:rPr>
                <w:b/>
                <w:bCs/>
                <w:lang w:val="en-US"/>
              </w:rPr>
              <w:t>33</w:t>
            </w:r>
          </w:p>
        </w:tc>
        <w:tc>
          <w:tcPr>
            <w:tcW w:w="1143" w:type="dxa"/>
            <w:vAlign w:val="bottom"/>
          </w:tcPr>
          <w:p w14:paraId="4EB95867" w14:textId="0BEADE51" w:rsidR="002A30E5" w:rsidRPr="00843561" w:rsidRDefault="002A30E5" w:rsidP="002A30E5">
            <w:pPr>
              <w:spacing w:before="0" w:after="0"/>
              <w:ind w:left="113"/>
              <w:jc w:val="right"/>
              <w:rPr>
                <w:rFonts w:cs="Arial"/>
                <w:color w:val="000000"/>
              </w:rPr>
            </w:pPr>
            <w:r w:rsidRPr="004A6580">
              <w:rPr>
                <w:rFonts w:cs="Arial"/>
                <w:color w:val="000000"/>
              </w:rPr>
              <w:t>23.541,43</w:t>
            </w:r>
          </w:p>
        </w:tc>
        <w:tc>
          <w:tcPr>
            <w:tcW w:w="1228" w:type="dxa"/>
            <w:vAlign w:val="bottom"/>
          </w:tcPr>
          <w:p w14:paraId="1BF40A1E" w14:textId="66FB0C1E" w:rsidR="002A30E5" w:rsidRPr="00843561" w:rsidRDefault="002A30E5" w:rsidP="002A30E5">
            <w:pPr>
              <w:spacing w:before="0" w:after="0"/>
              <w:ind w:left="113"/>
              <w:jc w:val="right"/>
              <w:rPr>
                <w:rFonts w:cs="Arial"/>
                <w:color w:val="000000"/>
              </w:rPr>
            </w:pPr>
            <w:r w:rsidRPr="004A6580">
              <w:rPr>
                <w:rFonts w:cs="Arial"/>
                <w:color w:val="000000"/>
              </w:rPr>
              <w:t>25.617,07</w:t>
            </w:r>
          </w:p>
        </w:tc>
        <w:tc>
          <w:tcPr>
            <w:tcW w:w="1276" w:type="dxa"/>
            <w:tcBorders>
              <w:top w:val="nil"/>
              <w:left w:val="single" w:sz="4" w:space="0" w:color="auto"/>
              <w:bottom w:val="nil"/>
              <w:right w:val="single" w:sz="4" w:space="0" w:color="auto"/>
            </w:tcBorders>
            <w:vAlign w:val="bottom"/>
          </w:tcPr>
          <w:p w14:paraId="667195D9" w14:textId="5B88433E" w:rsidR="002A30E5" w:rsidRPr="004A6580" w:rsidRDefault="002A30E5" w:rsidP="002A30E5">
            <w:pPr>
              <w:spacing w:before="0" w:after="0"/>
              <w:ind w:left="113"/>
              <w:jc w:val="right"/>
              <w:rPr>
                <w:rFonts w:cs="Arial"/>
                <w:color w:val="000000"/>
              </w:rPr>
            </w:pPr>
            <w:r w:rsidRPr="00843561">
              <w:rPr>
                <w:rFonts w:cs="Arial"/>
                <w:color w:val="000000"/>
              </w:rPr>
              <w:t>26</w:t>
            </w:r>
            <w:r>
              <w:rPr>
                <w:rFonts w:cs="Arial"/>
                <w:color w:val="000000"/>
              </w:rPr>
              <w:t>.</w:t>
            </w:r>
            <w:r w:rsidRPr="00843561">
              <w:rPr>
                <w:rFonts w:cs="Arial"/>
                <w:color w:val="000000"/>
              </w:rPr>
              <w:t>228,49</w:t>
            </w:r>
          </w:p>
        </w:tc>
        <w:tc>
          <w:tcPr>
            <w:tcW w:w="1276" w:type="dxa"/>
            <w:tcBorders>
              <w:top w:val="nil"/>
              <w:left w:val="single" w:sz="4" w:space="0" w:color="auto"/>
              <w:bottom w:val="nil"/>
              <w:right w:val="single" w:sz="4" w:space="0" w:color="auto"/>
            </w:tcBorders>
            <w:vAlign w:val="bottom"/>
          </w:tcPr>
          <w:p w14:paraId="2E8E9CD2" w14:textId="77777777" w:rsidR="002A30E5" w:rsidRPr="004A6580" w:rsidRDefault="002A30E5" w:rsidP="002A30E5">
            <w:pPr>
              <w:spacing w:before="0" w:after="0"/>
              <w:ind w:left="113"/>
              <w:jc w:val="right"/>
              <w:rPr>
                <w:rFonts w:cs="Arial"/>
                <w:color w:val="000000"/>
              </w:rPr>
            </w:pPr>
            <w:r w:rsidRPr="00843561">
              <w:rPr>
                <w:rFonts w:cs="Arial"/>
                <w:color w:val="000000"/>
              </w:rPr>
              <w:t>29</w:t>
            </w:r>
            <w:r>
              <w:rPr>
                <w:rFonts w:cs="Arial"/>
                <w:color w:val="000000"/>
              </w:rPr>
              <w:t>.</w:t>
            </w:r>
            <w:r w:rsidRPr="00843561">
              <w:rPr>
                <w:rFonts w:cs="Arial"/>
                <w:color w:val="000000"/>
              </w:rPr>
              <w:t>424,6</w:t>
            </w:r>
          </w:p>
        </w:tc>
        <w:tc>
          <w:tcPr>
            <w:tcW w:w="1417" w:type="dxa"/>
            <w:tcBorders>
              <w:top w:val="nil"/>
              <w:left w:val="single" w:sz="4" w:space="0" w:color="auto"/>
              <w:bottom w:val="nil"/>
              <w:right w:val="single" w:sz="4" w:space="0" w:color="auto"/>
            </w:tcBorders>
            <w:vAlign w:val="bottom"/>
          </w:tcPr>
          <w:p w14:paraId="3022E8DA" w14:textId="77777777" w:rsidR="002A30E5" w:rsidRPr="004A6580" w:rsidRDefault="002A30E5" w:rsidP="002A30E5">
            <w:pPr>
              <w:spacing w:before="0" w:after="0"/>
              <w:ind w:left="113"/>
              <w:jc w:val="right"/>
              <w:rPr>
                <w:rFonts w:cs="Arial"/>
                <w:color w:val="000000"/>
              </w:rPr>
            </w:pPr>
            <w:r w:rsidRPr="00843561">
              <w:rPr>
                <w:rFonts w:cs="Arial"/>
                <w:color w:val="000000"/>
              </w:rPr>
              <w:t>31</w:t>
            </w:r>
            <w:r>
              <w:rPr>
                <w:rFonts w:cs="Arial"/>
                <w:color w:val="000000"/>
              </w:rPr>
              <w:t>.</w:t>
            </w:r>
            <w:r w:rsidRPr="00843561">
              <w:rPr>
                <w:rFonts w:cs="Arial"/>
                <w:color w:val="000000"/>
              </w:rPr>
              <w:t>517,33</w:t>
            </w:r>
          </w:p>
        </w:tc>
        <w:tc>
          <w:tcPr>
            <w:tcW w:w="1276" w:type="dxa"/>
            <w:vAlign w:val="bottom"/>
          </w:tcPr>
          <w:p w14:paraId="6A1DD216" w14:textId="4DB35055" w:rsidR="002A30E5" w:rsidRPr="00843561" w:rsidRDefault="002A30E5" w:rsidP="002A30E5">
            <w:pPr>
              <w:spacing w:before="0" w:after="0"/>
              <w:ind w:left="113"/>
              <w:jc w:val="right"/>
              <w:rPr>
                <w:rFonts w:cs="Arial"/>
                <w:color w:val="000000"/>
              </w:rPr>
            </w:pPr>
            <w:r w:rsidRPr="004A6580">
              <w:rPr>
                <w:rFonts w:cs="Arial"/>
                <w:color w:val="000000"/>
              </w:rPr>
              <w:t>34</w:t>
            </w:r>
            <w:r>
              <w:rPr>
                <w:rFonts w:cs="Arial"/>
                <w:color w:val="000000"/>
              </w:rPr>
              <w:t>.</w:t>
            </w:r>
            <w:r w:rsidRPr="004A6580">
              <w:rPr>
                <w:rFonts w:cs="Arial"/>
                <w:color w:val="000000"/>
              </w:rPr>
              <w:t>896,16</w:t>
            </w:r>
          </w:p>
        </w:tc>
        <w:tc>
          <w:tcPr>
            <w:tcW w:w="1417" w:type="dxa"/>
            <w:tcBorders>
              <w:top w:val="nil"/>
              <w:left w:val="single" w:sz="4" w:space="0" w:color="auto"/>
              <w:bottom w:val="nil"/>
              <w:right w:val="single" w:sz="4" w:space="0" w:color="auto"/>
            </w:tcBorders>
            <w:vAlign w:val="bottom"/>
          </w:tcPr>
          <w:p w14:paraId="464BAE63" w14:textId="1A77EED1" w:rsidR="002A30E5" w:rsidRPr="004A6580" w:rsidRDefault="002A30E5" w:rsidP="002A30E5">
            <w:pPr>
              <w:spacing w:before="0" w:after="0"/>
              <w:ind w:left="113"/>
              <w:jc w:val="right"/>
              <w:rPr>
                <w:rFonts w:cs="Arial"/>
                <w:color w:val="000000"/>
              </w:rPr>
            </w:pPr>
            <w:r w:rsidRPr="00843561">
              <w:rPr>
                <w:rFonts w:cs="Arial"/>
                <w:color w:val="000000"/>
              </w:rPr>
              <w:t>36</w:t>
            </w:r>
            <w:r>
              <w:rPr>
                <w:rFonts w:cs="Arial"/>
                <w:color w:val="000000"/>
              </w:rPr>
              <w:t>.</w:t>
            </w:r>
            <w:r w:rsidRPr="00843561">
              <w:rPr>
                <w:rFonts w:cs="Arial"/>
                <w:color w:val="000000"/>
              </w:rPr>
              <w:t>150,49</w:t>
            </w:r>
          </w:p>
        </w:tc>
        <w:tc>
          <w:tcPr>
            <w:tcW w:w="1276" w:type="dxa"/>
            <w:vAlign w:val="bottom"/>
          </w:tcPr>
          <w:p w14:paraId="72E09E1C" w14:textId="0CE9A876" w:rsidR="002A30E5" w:rsidRPr="00843561" w:rsidRDefault="002A30E5" w:rsidP="002A30E5">
            <w:pPr>
              <w:spacing w:before="0" w:after="0"/>
              <w:ind w:left="113"/>
              <w:jc w:val="right"/>
              <w:rPr>
                <w:rFonts w:cs="Arial"/>
                <w:color w:val="000000"/>
              </w:rPr>
            </w:pPr>
            <w:r w:rsidRPr="004A6580">
              <w:rPr>
                <w:rFonts w:cs="Arial"/>
                <w:color w:val="000000"/>
              </w:rPr>
              <w:t>39</w:t>
            </w:r>
            <w:r>
              <w:rPr>
                <w:rFonts w:cs="Arial"/>
                <w:color w:val="000000"/>
              </w:rPr>
              <w:t>.</w:t>
            </w:r>
            <w:r w:rsidRPr="004A6580">
              <w:rPr>
                <w:rFonts w:cs="Arial"/>
                <w:color w:val="000000"/>
              </w:rPr>
              <w:t>728,53</w:t>
            </w:r>
          </w:p>
        </w:tc>
        <w:tc>
          <w:tcPr>
            <w:tcW w:w="1276" w:type="dxa"/>
            <w:vAlign w:val="bottom"/>
          </w:tcPr>
          <w:p w14:paraId="7FD2C0A4" w14:textId="464977E4" w:rsidR="002A30E5" w:rsidRPr="00843561" w:rsidRDefault="002A30E5" w:rsidP="002A30E5">
            <w:pPr>
              <w:spacing w:before="0" w:after="0"/>
              <w:ind w:left="113"/>
              <w:jc w:val="right"/>
              <w:rPr>
                <w:rFonts w:cs="Arial"/>
                <w:color w:val="000000"/>
              </w:rPr>
            </w:pPr>
            <w:r w:rsidRPr="004A6580">
              <w:rPr>
                <w:rFonts w:cs="Arial"/>
                <w:color w:val="000000"/>
              </w:rPr>
              <w:t>43</w:t>
            </w:r>
            <w:r>
              <w:rPr>
                <w:rFonts w:cs="Arial"/>
                <w:color w:val="000000"/>
              </w:rPr>
              <w:t>.</w:t>
            </w:r>
            <w:r w:rsidRPr="004A6580">
              <w:rPr>
                <w:rFonts w:cs="Arial"/>
                <w:color w:val="000000"/>
              </w:rPr>
              <w:t>306,57</w:t>
            </w:r>
          </w:p>
        </w:tc>
        <w:tc>
          <w:tcPr>
            <w:tcW w:w="1276" w:type="dxa"/>
            <w:vAlign w:val="bottom"/>
          </w:tcPr>
          <w:p w14:paraId="73073A75" w14:textId="0961C3F3" w:rsidR="002A30E5" w:rsidRPr="004A6580" w:rsidRDefault="002A30E5" w:rsidP="002A30E5">
            <w:pPr>
              <w:spacing w:before="0" w:after="0"/>
              <w:ind w:left="113"/>
              <w:jc w:val="right"/>
              <w:rPr>
                <w:rFonts w:cs="Arial"/>
                <w:color w:val="000000"/>
              </w:rPr>
            </w:pPr>
            <w:r w:rsidRPr="002A30E5">
              <w:rPr>
                <w:rFonts w:cs="Arial"/>
                <w:color w:val="000000"/>
              </w:rPr>
              <w:t>46.884,6</w:t>
            </w:r>
          </w:p>
        </w:tc>
      </w:tr>
      <w:tr w:rsidR="002A30E5" w:rsidRPr="00843561" w14:paraId="6121ADF5" w14:textId="7CED1615" w:rsidTr="002A30E5">
        <w:trPr>
          <w:trHeight w:val="300"/>
          <w:jc w:val="center"/>
        </w:trPr>
        <w:tc>
          <w:tcPr>
            <w:tcW w:w="1163" w:type="dxa"/>
            <w:shd w:val="clear" w:color="auto" w:fill="C0C0C0"/>
            <w:noWrap/>
          </w:tcPr>
          <w:p w14:paraId="75F000A8" w14:textId="77777777" w:rsidR="002A30E5" w:rsidRPr="00037A46" w:rsidRDefault="002A30E5" w:rsidP="002A30E5">
            <w:pPr>
              <w:spacing w:before="0" w:after="0"/>
              <w:ind w:hanging="764"/>
              <w:jc w:val="right"/>
              <w:rPr>
                <w:b/>
                <w:bCs/>
                <w:lang w:val="en-US"/>
              </w:rPr>
            </w:pPr>
            <w:r>
              <w:rPr>
                <w:b/>
                <w:bCs/>
                <w:lang w:val="en-US"/>
              </w:rPr>
              <w:t>34</w:t>
            </w:r>
          </w:p>
        </w:tc>
        <w:tc>
          <w:tcPr>
            <w:tcW w:w="1143" w:type="dxa"/>
            <w:vAlign w:val="bottom"/>
          </w:tcPr>
          <w:p w14:paraId="742478FC" w14:textId="4C5F89CA" w:rsidR="002A30E5" w:rsidRPr="00843561" w:rsidRDefault="002A30E5" w:rsidP="002A30E5">
            <w:pPr>
              <w:spacing w:before="0" w:after="0"/>
              <w:ind w:left="113"/>
              <w:jc w:val="right"/>
              <w:rPr>
                <w:rFonts w:cs="Arial"/>
                <w:color w:val="000000"/>
              </w:rPr>
            </w:pPr>
            <w:r w:rsidRPr="004A6580">
              <w:rPr>
                <w:rFonts w:cs="Arial"/>
                <w:color w:val="000000"/>
              </w:rPr>
              <w:t>23.606,1</w:t>
            </w:r>
          </w:p>
        </w:tc>
        <w:tc>
          <w:tcPr>
            <w:tcW w:w="1228" w:type="dxa"/>
            <w:vAlign w:val="bottom"/>
          </w:tcPr>
          <w:p w14:paraId="11D86325" w14:textId="480CB99C" w:rsidR="002A30E5" w:rsidRPr="00843561" w:rsidRDefault="002A30E5" w:rsidP="002A30E5">
            <w:pPr>
              <w:spacing w:before="0" w:after="0"/>
              <w:ind w:left="113"/>
              <w:jc w:val="right"/>
              <w:rPr>
                <w:rFonts w:cs="Arial"/>
                <w:color w:val="000000"/>
              </w:rPr>
            </w:pPr>
            <w:r w:rsidRPr="004A6580">
              <w:rPr>
                <w:rFonts w:cs="Arial"/>
                <w:color w:val="000000"/>
              </w:rPr>
              <w:t>25.691,41</w:t>
            </w:r>
          </w:p>
        </w:tc>
        <w:tc>
          <w:tcPr>
            <w:tcW w:w="1276" w:type="dxa"/>
            <w:tcBorders>
              <w:top w:val="nil"/>
              <w:left w:val="single" w:sz="4" w:space="0" w:color="auto"/>
              <w:bottom w:val="nil"/>
              <w:right w:val="single" w:sz="4" w:space="0" w:color="auto"/>
            </w:tcBorders>
            <w:vAlign w:val="bottom"/>
          </w:tcPr>
          <w:p w14:paraId="1F2B12D0" w14:textId="6BCA4F82" w:rsidR="002A30E5" w:rsidRPr="004A6580" w:rsidRDefault="002A30E5" w:rsidP="002A30E5">
            <w:pPr>
              <w:spacing w:before="0" w:after="0"/>
              <w:ind w:left="113"/>
              <w:jc w:val="right"/>
              <w:rPr>
                <w:rFonts w:cs="Arial"/>
                <w:color w:val="000000"/>
              </w:rPr>
            </w:pPr>
            <w:r w:rsidRPr="00843561">
              <w:rPr>
                <w:rFonts w:cs="Arial"/>
                <w:color w:val="000000"/>
              </w:rPr>
              <w:t>26</w:t>
            </w:r>
            <w:r>
              <w:rPr>
                <w:rFonts w:cs="Arial"/>
                <w:color w:val="000000"/>
              </w:rPr>
              <w:t>.</w:t>
            </w:r>
            <w:r w:rsidRPr="00843561">
              <w:rPr>
                <w:rFonts w:cs="Arial"/>
                <w:color w:val="000000"/>
              </w:rPr>
              <w:t>296,54</w:t>
            </w:r>
          </w:p>
        </w:tc>
        <w:tc>
          <w:tcPr>
            <w:tcW w:w="1276" w:type="dxa"/>
            <w:tcBorders>
              <w:top w:val="nil"/>
              <w:left w:val="single" w:sz="4" w:space="0" w:color="auto"/>
              <w:bottom w:val="nil"/>
              <w:right w:val="single" w:sz="4" w:space="0" w:color="auto"/>
            </w:tcBorders>
            <w:vAlign w:val="bottom"/>
          </w:tcPr>
          <w:p w14:paraId="527D8882" w14:textId="77777777" w:rsidR="002A30E5" w:rsidRPr="004A6580" w:rsidRDefault="002A30E5" w:rsidP="002A30E5">
            <w:pPr>
              <w:spacing w:before="0" w:after="0"/>
              <w:ind w:left="113"/>
              <w:jc w:val="right"/>
              <w:rPr>
                <w:rFonts w:cs="Arial"/>
                <w:color w:val="000000"/>
              </w:rPr>
            </w:pPr>
            <w:r w:rsidRPr="00843561">
              <w:rPr>
                <w:rFonts w:cs="Arial"/>
                <w:color w:val="000000"/>
              </w:rPr>
              <w:t>29</w:t>
            </w:r>
            <w:r>
              <w:rPr>
                <w:rFonts w:cs="Arial"/>
                <w:color w:val="000000"/>
              </w:rPr>
              <w:t>.</w:t>
            </w:r>
            <w:r w:rsidRPr="00843561">
              <w:rPr>
                <w:rFonts w:cs="Arial"/>
                <w:color w:val="000000"/>
              </w:rPr>
              <w:t>514,4</w:t>
            </w:r>
          </w:p>
        </w:tc>
        <w:tc>
          <w:tcPr>
            <w:tcW w:w="1417" w:type="dxa"/>
            <w:tcBorders>
              <w:top w:val="nil"/>
              <w:left w:val="single" w:sz="4" w:space="0" w:color="auto"/>
              <w:bottom w:val="nil"/>
              <w:right w:val="single" w:sz="4" w:space="0" w:color="auto"/>
            </w:tcBorders>
            <w:vAlign w:val="bottom"/>
          </w:tcPr>
          <w:p w14:paraId="34EABFFD" w14:textId="77777777" w:rsidR="002A30E5" w:rsidRPr="004A6580" w:rsidRDefault="002A30E5" w:rsidP="002A30E5">
            <w:pPr>
              <w:spacing w:before="0" w:after="0"/>
              <w:ind w:left="113"/>
              <w:jc w:val="right"/>
              <w:rPr>
                <w:rFonts w:cs="Arial"/>
                <w:color w:val="000000"/>
              </w:rPr>
            </w:pPr>
            <w:r w:rsidRPr="00843561">
              <w:rPr>
                <w:rFonts w:cs="Arial"/>
                <w:color w:val="000000"/>
              </w:rPr>
              <w:t>31</w:t>
            </w:r>
            <w:r>
              <w:rPr>
                <w:rFonts w:cs="Arial"/>
                <w:color w:val="000000"/>
              </w:rPr>
              <w:t>.</w:t>
            </w:r>
            <w:r w:rsidRPr="00843561">
              <w:rPr>
                <w:rFonts w:cs="Arial"/>
                <w:color w:val="000000"/>
              </w:rPr>
              <w:t>613,56</w:t>
            </w:r>
          </w:p>
        </w:tc>
        <w:tc>
          <w:tcPr>
            <w:tcW w:w="1276" w:type="dxa"/>
            <w:vAlign w:val="bottom"/>
          </w:tcPr>
          <w:p w14:paraId="5EA4CEDE" w14:textId="731DAFC8" w:rsidR="002A30E5" w:rsidRPr="00843561" w:rsidRDefault="002A30E5" w:rsidP="002A30E5">
            <w:pPr>
              <w:spacing w:before="0" w:after="0"/>
              <w:ind w:left="113"/>
              <w:jc w:val="right"/>
              <w:rPr>
                <w:rFonts w:cs="Arial"/>
                <w:color w:val="000000"/>
              </w:rPr>
            </w:pPr>
            <w:r w:rsidRPr="004A6580">
              <w:rPr>
                <w:rFonts w:cs="Arial"/>
                <w:color w:val="000000"/>
              </w:rPr>
              <w:t>35</w:t>
            </w:r>
            <w:r>
              <w:rPr>
                <w:rFonts w:cs="Arial"/>
                <w:color w:val="000000"/>
              </w:rPr>
              <w:t>.</w:t>
            </w:r>
            <w:r w:rsidRPr="004A6580">
              <w:rPr>
                <w:rFonts w:cs="Arial"/>
                <w:color w:val="000000"/>
              </w:rPr>
              <w:t>008,06</w:t>
            </w:r>
          </w:p>
        </w:tc>
        <w:tc>
          <w:tcPr>
            <w:tcW w:w="1417" w:type="dxa"/>
            <w:tcBorders>
              <w:top w:val="nil"/>
              <w:left w:val="single" w:sz="4" w:space="0" w:color="auto"/>
              <w:bottom w:val="nil"/>
              <w:right w:val="single" w:sz="4" w:space="0" w:color="auto"/>
            </w:tcBorders>
            <w:vAlign w:val="bottom"/>
          </w:tcPr>
          <w:p w14:paraId="2CD421CE" w14:textId="6BD120E2" w:rsidR="002A30E5" w:rsidRPr="004A6580" w:rsidRDefault="002A30E5" w:rsidP="002A30E5">
            <w:pPr>
              <w:spacing w:before="0" w:after="0"/>
              <w:ind w:left="113"/>
              <w:jc w:val="right"/>
              <w:rPr>
                <w:rFonts w:cs="Arial"/>
                <w:color w:val="000000"/>
              </w:rPr>
            </w:pPr>
            <w:r w:rsidRPr="00843561">
              <w:rPr>
                <w:rFonts w:cs="Arial"/>
                <w:color w:val="000000"/>
              </w:rPr>
              <w:t>36</w:t>
            </w:r>
            <w:r>
              <w:rPr>
                <w:rFonts w:cs="Arial"/>
                <w:color w:val="000000"/>
              </w:rPr>
              <w:t>.</w:t>
            </w:r>
            <w:r w:rsidRPr="00843561">
              <w:rPr>
                <w:rFonts w:cs="Arial"/>
                <w:color w:val="000000"/>
              </w:rPr>
              <w:t>244,28</w:t>
            </w:r>
          </w:p>
        </w:tc>
        <w:tc>
          <w:tcPr>
            <w:tcW w:w="1276" w:type="dxa"/>
            <w:vAlign w:val="bottom"/>
          </w:tcPr>
          <w:p w14:paraId="66191495" w14:textId="58BE0599" w:rsidR="002A30E5" w:rsidRPr="00843561" w:rsidRDefault="002A30E5" w:rsidP="002A30E5">
            <w:pPr>
              <w:spacing w:before="0" w:after="0"/>
              <w:ind w:left="113"/>
              <w:jc w:val="right"/>
              <w:rPr>
                <w:rFonts w:cs="Arial"/>
                <w:color w:val="000000"/>
              </w:rPr>
            </w:pPr>
            <w:r w:rsidRPr="004A6580">
              <w:rPr>
                <w:rFonts w:cs="Arial"/>
                <w:color w:val="000000"/>
              </w:rPr>
              <w:t>39</w:t>
            </w:r>
            <w:r>
              <w:rPr>
                <w:rFonts w:cs="Arial"/>
                <w:color w:val="000000"/>
              </w:rPr>
              <w:t>.</w:t>
            </w:r>
            <w:r w:rsidRPr="004A6580">
              <w:rPr>
                <w:rFonts w:cs="Arial"/>
                <w:color w:val="000000"/>
              </w:rPr>
              <w:t>831,58</w:t>
            </w:r>
          </w:p>
        </w:tc>
        <w:tc>
          <w:tcPr>
            <w:tcW w:w="1276" w:type="dxa"/>
            <w:vAlign w:val="bottom"/>
          </w:tcPr>
          <w:p w14:paraId="3FADF379" w14:textId="0B893362" w:rsidR="002A30E5" w:rsidRPr="00843561" w:rsidRDefault="002A30E5" w:rsidP="002A30E5">
            <w:pPr>
              <w:spacing w:before="0" w:after="0"/>
              <w:ind w:left="113"/>
              <w:jc w:val="right"/>
              <w:rPr>
                <w:rFonts w:cs="Arial"/>
                <w:color w:val="000000"/>
              </w:rPr>
            </w:pPr>
            <w:r w:rsidRPr="004A6580">
              <w:rPr>
                <w:rFonts w:cs="Arial"/>
                <w:color w:val="000000"/>
              </w:rPr>
              <w:t>43</w:t>
            </w:r>
            <w:r>
              <w:rPr>
                <w:rFonts w:cs="Arial"/>
                <w:color w:val="000000"/>
              </w:rPr>
              <w:t>.</w:t>
            </w:r>
            <w:r w:rsidRPr="004A6580">
              <w:rPr>
                <w:rFonts w:cs="Arial"/>
                <w:color w:val="000000"/>
              </w:rPr>
              <w:t>418,94</w:t>
            </w:r>
          </w:p>
        </w:tc>
        <w:tc>
          <w:tcPr>
            <w:tcW w:w="1276" w:type="dxa"/>
            <w:vAlign w:val="bottom"/>
          </w:tcPr>
          <w:p w14:paraId="6A6C5DCF" w14:textId="06A70996" w:rsidR="002A30E5" w:rsidRPr="004A6580" w:rsidRDefault="002A30E5" w:rsidP="002A30E5">
            <w:pPr>
              <w:spacing w:before="0" w:after="0"/>
              <w:ind w:left="113"/>
              <w:jc w:val="right"/>
              <w:rPr>
                <w:rFonts w:cs="Arial"/>
                <w:color w:val="000000"/>
              </w:rPr>
            </w:pPr>
            <w:r w:rsidRPr="002A30E5">
              <w:rPr>
                <w:rFonts w:cs="Arial"/>
                <w:color w:val="000000"/>
              </w:rPr>
              <w:t>47.006,24</w:t>
            </w:r>
          </w:p>
        </w:tc>
      </w:tr>
      <w:tr w:rsidR="002A30E5" w:rsidRPr="00843561" w14:paraId="6B91CAA7" w14:textId="5C03F58B" w:rsidTr="002A30E5">
        <w:trPr>
          <w:trHeight w:val="300"/>
          <w:jc w:val="center"/>
        </w:trPr>
        <w:tc>
          <w:tcPr>
            <w:tcW w:w="1163" w:type="dxa"/>
            <w:shd w:val="clear" w:color="auto" w:fill="C0C0C0"/>
            <w:noWrap/>
          </w:tcPr>
          <w:p w14:paraId="641B6CD7" w14:textId="77777777" w:rsidR="002A30E5" w:rsidRDefault="002A30E5" w:rsidP="002A30E5">
            <w:pPr>
              <w:spacing w:before="0" w:after="0"/>
              <w:ind w:hanging="764"/>
              <w:jc w:val="right"/>
              <w:rPr>
                <w:b/>
                <w:bCs/>
                <w:lang w:val="en-US"/>
              </w:rPr>
            </w:pPr>
            <w:r>
              <w:rPr>
                <w:b/>
                <w:bCs/>
                <w:lang w:val="en-US"/>
              </w:rPr>
              <w:t>35</w:t>
            </w:r>
          </w:p>
        </w:tc>
        <w:tc>
          <w:tcPr>
            <w:tcW w:w="1143" w:type="dxa"/>
            <w:vAlign w:val="bottom"/>
          </w:tcPr>
          <w:p w14:paraId="2679B7F5" w14:textId="0835E559" w:rsidR="002A30E5" w:rsidRPr="00843561" w:rsidRDefault="002A30E5" w:rsidP="002A30E5">
            <w:pPr>
              <w:spacing w:before="0" w:after="0"/>
              <w:ind w:left="113"/>
              <w:jc w:val="right"/>
              <w:rPr>
                <w:rFonts w:cs="Arial"/>
                <w:color w:val="000000"/>
              </w:rPr>
            </w:pPr>
            <w:r w:rsidRPr="004A6580">
              <w:rPr>
                <w:rFonts w:cs="Arial"/>
                <w:color w:val="000000"/>
              </w:rPr>
              <w:t>23.666,04</w:t>
            </w:r>
          </w:p>
        </w:tc>
        <w:tc>
          <w:tcPr>
            <w:tcW w:w="1228" w:type="dxa"/>
            <w:vAlign w:val="bottom"/>
          </w:tcPr>
          <w:p w14:paraId="4A9360EB" w14:textId="2B395FED" w:rsidR="002A30E5" w:rsidRPr="00843561" w:rsidRDefault="002A30E5" w:rsidP="002A30E5">
            <w:pPr>
              <w:spacing w:before="0" w:after="0"/>
              <w:ind w:left="113"/>
              <w:jc w:val="right"/>
              <w:rPr>
                <w:rFonts w:cs="Arial"/>
                <w:color w:val="000000"/>
              </w:rPr>
            </w:pPr>
            <w:r w:rsidRPr="004A6580">
              <w:rPr>
                <w:rFonts w:cs="Arial"/>
                <w:color w:val="000000"/>
              </w:rPr>
              <w:t>25.760,33</w:t>
            </w:r>
          </w:p>
        </w:tc>
        <w:tc>
          <w:tcPr>
            <w:tcW w:w="1276" w:type="dxa"/>
            <w:tcBorders>
              <w:top w:val="nil"/>
              <w:left w:val="single" w:sz="4" w:space="0" w:color="auto"/>
              <w:bottom w:val="single" w:sz="4" w:space="0" w:color="auto"/>
              <w:right w:val="single" w:sz="4" w:space="0" w:color="auto"/>
            </w:tcBorders>
            <w:vAlign w:val="bottom"/>
          </w:tcPr>
          <w:p w14:paraId="76F93628" w14:textId="0E9B9E1D" w:rsidR="002A30E5" w:rsidRPr="004A6580" w:rsidRDefault="002A30E5" w:rsidP="002A30E5">
            <w:pPr>
              <w:spacing w:before="0" w:after="0"/>
              <w:ind w:left="113"/>
              <w:jc w:val="right"/>
              <w:rPr>
                <w:rFonts w:cs="Arial"/>
                <w:color w:val="000000"/>
              </w:rPr>
            </w:pPr>
            <w:r w:rsidRPr="00843561">
              <w:rPr>
                <w:rFonts w:cs="Arial"/>
                <w:color w:val="000000"/>
              </w:rPr>
              <w:t>26</w:t>
            </w:r>
            <w:r>
              <w:rPr>
                <w:rFonts w:cs="Arial"/>
                <w:color w:val="000000"/>
              </w:rPr>
              <w:t>.</w:t>
            </w:r>
            <w:r w:rsidRPr="00843561">
              <w:rPr>
                <w:rFonts w:cs="Arial"/>
                <w:color w:val="000000"/>
              </w:rPr>
              <w:t>359,66</w:t>
            </w:r>
          </w:p>
        </w:tc>
        <w:tc>
          <w:tcPr>
            <w:tcW w:w="1276" w:type="dxa"/>
            <w:tcBorders>
              <w:top w:val="nil"/>
              <w:left w:val="single" w:sz="4" w:space="0" w:color="auto"/>
              <w:bottom w:val="single" w:sz="4" w:space="0" w:color="auto"/>
              <w:right w:val="single" w:sz="4" w:space="0" w:color="auto"/>
            </w:tcBorders>
            <w:vAlign w:val="bottom"/>
          </w:tcPr>
          <w:p w14:paraId="519FA4AD" w14:textId="77777777" w:rsidR="002A30E5" w:rsidRPr="004A6580" w:rsidRDefault="002A30E5" w:rsidP="002A30E5">
            <w:pPr>
              <w:spacing w:before="0" w:after="0"/>
              <w:ind w:left="113"/>
              <w:jc w:val="right"/>
              <w:rPr>
                <w:rFonts w:cs="Arial"/>
                <w:color w:val="000000"/>
              </w:rPr>
            </w:pPr>
            <w:r w:rsidRPr="00843561">
              <w:rPr>
                <w:rFonts w:cs="Arial"/>
                <w:color w:val="000000"/>
              </w:rPr>
              <w:t>29</w:t>
            </w:r>
            <w:r>
              <w:rPr>
                <w:rFonts w:cs="Arial"/>
                <w:color w:val="000000"/>
              </w:rPr>
              <w:t>.</w:t>
            </w:r>
            <w:r w:rsidRPr="00843561">
              <w:rPr>
                <w:rFonts w:cs="Arial"/>
                <w:color w:val="000000"/>
              </w:rPr>
              <w:t>597,79</w:t>
            </w:r>
          </w:p>
        </w:tc>
        <w:tc>
          <w:tcPr>
            <w:tcW w:w="1417" w:type="dxa"/>
            <w:tcBorders>
              <w:top w:val="nil"/>
              <w:left w:val="single" w:sz="4" w:space="0" w:color="auto"/>
              <w:bottom w:val="single" w:sz="4" w:space="0" w:color="auto"/>
              <w:right w:val="single" w:sz="4" w:space="0" w:color="auto"/>
            </w:tcBorders>
            <w:vAlign w:val="bottom"/>
          </w:tcPr>
          <w:p w14:paraId="747D5C55" w14:textId="77777777" w:rsidR="002A30E5" w:rsidRPr="004A6580" w:rsidRDefault="002A30E5" w:rsidP="002A30E5">
            <w:pPr>
              <w:spacing w:before="0" w:after="0"/>
              <w:ind w:left="113"/>
              <w:jc w:val="right"/>
              <w:rPr>
                <w:rFonts w:cs="Arial"/>
                <w:color w:val="000000"/>
              </w:rPr>
            </w:pPr>
            <w:r w:rsidRPr="00843561">
              <w:rPr>
                <w:rFonts w:cs="Arial"/>
                <w:color w:val="000000"/>
              </w:rPr>
              <w:t>31</w:t>
            </w:r>
            <w:r>
              <w:rPr>
                <w:rFonts w:cs="Arial"/>
                <w:color w:val="000000"/>
              </w:rPr>
              <w:t>.</w:t>
            </w:r>
            <w:r w:rsidRPr="00843561">
              <w:rPr>
                <w:rFonts w:cs="Arial"/>
                <w:color w:val="000000"/>
              </w:rPr>
              <w:t>702,83</w:t>
            </w:r>
          </w:p>
        </w:tc>
        <w:tc>
          <w:tcPr>
            <w:tcW w:w="1276" w:type="dxa"/>
            <w:vAlign w:val="bottom"/>
          </w:tcPr>
          <w:p w14:paraId="05AFB8F5" w14:textId="54ED82DE" w:rsidR="002A30E5" w:rsidRPr="00843561" w:rsidRDefault="002A30E5" w:rsidP="002A30E5">
            <w:pPr>
              <w:spacing w:before="0" w:after="0"/>
              <w:ind w:left="113"/>
              <w:jc w:val="right"/>
              <w:rPr>
                <w:rFonts w:cs="Arial"/>
                <w:color w:val="000000"/>
              </w:rPr>
            </w:pPr>
            <w:r w:rsidRPr="004A6580">
              <w:rPr>
                <w:rFonts w:cs="Arial"/>
                <w:color w:val="000000"/>
              </w:rPr>
              <w:t>35</w:t>
            </w:r>
            <w:r>
              <w:rPr>
                <w:rFonts w:cs="Arial"/>
                <w:color w:val="000000"/>
              </w:rPr>
              <w:t>.</w:t>
            </w:r>
            <w:r w:rsidRPr="004A6580">
              <w:rPr>
                <w:rFonts w:cs="Arial"/>
                <w:color w:val="000000"/>
              </w:rPr>
              <w:t>111,86</w:t>
            </w:r>
          </w:p>
        </w:tc>
        <w:tc>
          <w:tcPr>
            <w:tcW w:w="1417" w:type="dxa"/>
            <w:tcBorders>
              <w:top w:val="nil"/>
              <w:left w:val="single" w:sz="4" w:space="0" w:color="auto"/>
              <w:bottom w:val="single" w:sz="4" w:space="0" w:color="auto"/>
              <w:right w:val="single" w:sz="4" w:space="0" w:color="auto"/>
            </w:tcBorders>
            <w:vAlign w:val="bottom"/>
          </w:tcPr>
          <w:p w14:paraId="084C20C5" w14:textId="5AA076C5" w:rsidR="002A30E5" w:rsidRPr="004A6580" w:rsidRDefault="002A30E5" w:rsidP="002A30E5">
            <w:pPr>
              <w:spacing w:before="0" w:after="0"/>
              <w:ind w:left="113"/>
              <w:jc w:val="right"/>
              <w:rPr>
                <w:rFonts w:cs="Arial"/>
                <w:color w:val="000000"/>
              </w:rPr>
            </w:pPr>
            <w:r w:rsidRPr="00843561">
              <w:rPr>
                <w:rFonts w:cs="Arial"/>
                <w:color w:val="000000"/>
              </w:rPr>
              <w:t>36</w:t>
            </w:r>
            <w:r>
              <w:rPr>
                <w:rFonts w:cs="Arial"/>
                <w:color w:val="000000"/>
              </w:rPr>
              <w:t>.</w:t>
            </w:r>
            <w:r w:rsidRPr="00843561">
              <w:rPr>
                <w:rFonts w:cs="Arial"/>
                <w:color w:val="000000"/>
              </w:rPr>
              <w:t>331,32</w:t>
            </w:r>
          </w:p>
        </w:tc>
        <w:tc>
          <w:tcPr>
            <w:tcW w:w="1276" w:type="dxa"/>
            <w:vAlign w:val="bottom"/>
          </w:tcPr>
          <w:p w14:paraId="4E4EECE3" w14:textId="36C25830" w:rsidR="002A30E5" w:rsidRPr="00843561" w:rsidRDefault="002A30E5" w:rsidP="002A30E5">
            <w:pPr>
              <w:spacing w:before="0" w:after="0"/>
              <w:ind w:left="113"/>
              <w:jc w:val="right"/>
              <w:rPr>
                <w:rFonts w:cs="Arial"/>
                <w:color w:val="000000"/>
              </w:rPr>
            </w:pPr>
            <w:r w:rsidRPr="004A6580">
              <w:rPr>
                <w:rFonts w:cs="Arial"/>
                <w:color w:val="000000"/>
              </w:rPr>
              <w:t>39</w:t>
            </w:r>
            <w:r>
              <w:rPr>
                <w:rFonts w:cs="Arial"/>
                <w:color w:val="000000"/>
              </w:rPr>
              <w:t>.</w:t>
            </w:r>
            <w:r w:rsidRPr="004A6580">
              <w:rPr>
                <w:rFonts w:cs="Arial"/>
                <w:color w:val="000000"/>
              </w:rPr>
              <w:t>927,27</w:t>
            </w:r>
          </w:p>
        </w:tc>
        <w:tc>
          <w:tcPr>
            <w:tcW w:w="1276" w:type="dxa"/>
            <w:vAlign w:val="bottom"/>
          </w:tcPr>
          <w:p w14:paraId="47058527" w14:textId="2984EA01" w:rsidR="002A30E5" w:rsidRPr="00843561" w:rsidRDefault="002A30E5" w:rsidP="002A30E5">
            <w:pPr>
              <w:spacing w:before="0" w:after="0"/>
              <w:ind w:left="113"/>
              <w:jc w:val="right"/>
              <w:rPr>
                <w:rFonts w:cs="Arial"/>
                <w:color w:val="000000"/>
              </w:rPr>
            </w:pPr>
            <w:r w:rsidRPr="004A6580">
              <w:rPr>
                <w:rFonts w:cs="Arial"/>
                <w:color w:val="000000"/>
              </w:rPr>
              <w:t>43</w:t>
            </w:r>
            <w:r>
              <w:rPr>
                <w:rFonts w:cs="Arial"/>
                <w:color w:val="000000"/>
              </w:rPr>
              <w:t>.</w:t>
            </w:r>
            <w:r w:rsidRPr="004A6580">
              <w:rPr>
                <w:rFonts w:cs="Arial"/>
                <w:color w:val="000000"/>
              </w:rPr>
              <w:t>523,21</w:t>
            </w:r>
          </w:p>
        </w:tc>
        <w:tc>
          <w:tcPr>
            <w:tcW w:w="1276" w:type="dxa"/>
            <w:vAlign w:val="bottom"/>
          </w:tcPr>
          <w:p w14:paraId="7265BBD1" w14:textId="51277DD5" w:rsidR="002A30E5" w:rsidRPr="004A6580" w:rsidRDefault="002A30E5" w:rsidP="002A30E5">
            <w:pPr>
              <w:spacing w:before="0" w:after="0"/>
              <w:ind w:left="113"/>
              <w:jc w:val="right"/>
              <w:rPr>
                <w:rFonts w:cs="Arial"/>
                <w:color w:val="000000"/>
              </w:rPr>
            </w:pPr>
            <w:r w:rsidRPr="002A30E5">
              <w:rPr>
                <w:rFonts w:cs="Arial"/>
                <w:color w:val="000000"/>
              </w:rPr>
              <w:t>47.119,16</w:t>
            </w:r>
          </w:p>
        </w:tc>
      </w:tr>
    </w:tbl>
    <w:p w14:paraId="4338B12D" w14:textId="2AA6B0B0" w:rsidR="00B65D25" w:rsidRPr="00520105" w:rsidRDefault="00B65D25" w:rsidP="004A6580">
      <w:pPr>
        <w:tabs>
          <w:tab w:val="left" w:pos="2160"/>
        </w:tabs>
        <w:ind w:left="0"/>
        <w:rPr>
          <w:lang w:val="nl-BE"/>
        </w:rPr>
        <w:sectPr w:rsidR="00B65D25" w:rsidRPr="00520105" w:rsidSect="008935E3">
          <w:pgSz w:w="16840" w:h="11907" w:orient="landscape" w:code="9"/>
          <w:pgMar w:top="1440" w:right="1701" w:bottom="1440" w:left="1701" w:header="794" w:footer="794" w:gutter="0"/>
          <w:cols w:space="708"/>
          <w:noEndnote/>
          <w:docGrid w:linePitch="272"/>
        </w:sectPr>
      </w:pPr>
    </w:p>
    <w:p w14:paraId="30B53052" w14:textId="66DD61BE" w:rsidR="002F7A48" w:rsidRDefault="003A11FB" w:rsidP="005E53C4">
      <w:pPr>
        <w:pStyle w:val="Kop1"/>
        <w:spacing w:after="0"/>
        <w:ind w:right="0"/>
        <w:jc w:val="left"/>
        <w:rPr>
          <w:bCs/>
          <w:lang w:val="nl-BE"/>
        </w:rPr>
      </w:pPr>
      <w:bookmarkStart w:id="302" w:name="_Toc110948264"/>
      <w:bookmarkStart w:id="303" w:name="_Toc215739062"/>
      <w:commentRangeStart w:id="304"/>
      <w:r w:rsidRPr="00037A46">
        <w:rPr>
          <w:bCs/>
          <w:lang w:val="nl-BE"/>
        </w:rPr>
        <w:lastRenderedPageBreak/>
        <w:t xml:space="preserve">Bijlage </w:t>
      </w:r>
      <w:r w:rsidR="00C300BD" w:rsidRPr="00037A46">
        <w:rPr>
          <w:bCs/>
          <w:lang w:val="nl-BE"/>
        </w:rPr>
        <w:t>ii</w:t>
      </w:r>
      <w:commentRangeEnd w:id="304"/>
      <w:r w:rsidR="004422D4">
        <w:rPr>
          <w:rStyle w:val="Verwijzingopmerking"/>
          <w:b w:val="0"/>
          <w:caps w:val="0"/>
        </w:rPr>
        <w:commentReference w:id="304"/>
      </w:r>
      <w:r w:rsidRPr="00037A46">
        <w:rPr>
          <w:bCs/>
          <w:lang w:val="nl-BE"/>
        </w:rPr>
        <w:t>. overzicht verloven en afwezigheden, de administratieve toestand en de geldelijke en administratieve gevolgen</w:t>
      </w:r>
      <w:bookmarkEnd w:id="299"/>
      <w:bookmarkEnd w:id="302"/>
      <w:bookmarkEnd w:id="303"/>
    </w:p>
    <w:p w14:paraId="556E93FA" w14:textId="77777777" w:rsidR="00A36C91" w:rsidRPr="00A36C91" w:rsidRDefault="00A36C91" w:rsidP="00A36C91">
      <w:pPr>
        <w:rPr>
          <w:lang w:val="nl-BE"/>
        </w:rPr>
      </w:pPr>
    </w:p>
    <w:tbl>
      <w:tblPr>
        <w:tblW w:w="134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263"/>
        <w:gridCol w:w="1418"/>
        <w:gridCol w:w="1276"/>
        <w:gridCol w:w="1701"/>
        <w:gridCol w:w="1842"/>
        <w:gridCol w:w="1560"/>
        <w:gridCol w:w="1275"/>
        <w:gridCol w:w="993"/>
        <w:gridCol w:w="1134"/>
      </w:tblGrid>
      <w:tr w:rsidR="007859E5" w:rsidRPr="00037A46" w14:paraId="51BFD733" w14:textId="57C53C7E" w:rsidTr="00DD039E">
        <w:trPr>
          <w:trHeight w:val="682"/>
        </w:trPr>
        <w:tc>
          <w:tcPr>
            <w:tcW w:w="2263" w:type="dxa"/>
            <w:tcBorders>
              <w:bottom w:val="single" w:sz="4" w:space="0" w:color="000000" w:themeColor="text1"/>
            </w:tcBorders>
            <w:shd w:val="clear" w:color="auto" w:fill="D9D9D9" w:themeFill="background1" w:themeFillShade="D9"/>
          </w:tcPr>
          <w:bookmarkEnd w:id="300"/>
          <w:bookmarkEnd w:id="301"/>
          <w:p w14:paraId="08ECCB64" w14:textId="48687574" w:rsidR="007859E5" w:rsidRPr="00831F5A" w:rsidRDefault="007859E5" w:rsidP="00306DE2">
            <w:pPr>
              <w:pStyle w:val="Plattetekst21"/>
              <w:ind w:left="0"/>
              <w:jc w:val="left"/>
              <w:rPr>
                <w:rFonts w:cs="Arial"/>
                <w:b/>
                <w:sz w:val="16"/>
                <w:szCs w:val="16"/>
                <w:lang w:val="nl-BE"/>
              </w:rPr>
            </w:pPr>
            <w:r w:rsidRPr="00831F5A">
              <w:rPr>
                <w:rFonts w:cs="Arial"/>
                <w:b/>
                <w:sz w:val="16"/>
                <w:szCs w:val="16"/>
                <w:lang w:val="nl-BE"/>
              </w:rPr>
              <w:t>Benaming van het verlof of de afwezigheid</w:t>
            </w:r>
            <w:r w:rsidRPr="00831F5A">
              <w:rPr>
                <w:rStyle w:val="Voetnootmarkering"/>
                <w:rFonts w:cs="Arial"/>
                <w:b/>
                <w:sz w:val="16"/>
                <w:szCs w:val="16"/>
                <w:lang w:val="nl-BE"/>
              </w:rPr>
              <w:footnoteReference w:id="3"/>
            </w:r>
          </w:p>
        </w:tc>
        <w:tc>
          <w:tcPr>
            <w:tcW w:w="1418" w:type="dxa"/>
            <w:shd w:val="clear" w:color="auto" w:fill="D9D9D9" w:themeFill="background1" w:themeFillShade="D9"/>
          </w:tcPr>
          <w:p w14:paraId="7F437B63" w14:textId="77777777" w:rsidR="007859E5" w:rsidRPr="00831F5A" w:rsidRDefault="007859E5" w:rsidP="00306DE2">
            <w:pPr>
              <w:pStyle w:val="Plattetekst21"/>
              <w:ind w:left="0"/>
              <w:jc w:val="left"/>
              <w:rPr>
                <w:rFonts w:cs="Arial"/>
                <w:b/>
                <w:sz w:val="16"/>
                <w:szCs w:val="16"/>
                <w:lang w:val="nl-BE"/>
              </w:rPr>
            </w:pPr>
            <w:r w:rsidRPr="00831F5A">
              <w:rPr>
                <w:rFonts w:cs="Arial"/>
                <w:b/>
                <w:sz w:val="16"/>
                <w:szCs w:val="16"/>
                <w:lang w:val="nl-BE"/>
              </w:rPr>
              <w:t>Administratieve toestand</w:t>
            </w:r>
          </w:p>
        </w:tc>
        <w:tc>
          <w:tcPr>
            <w:tcW w:w="1276" w:type="dxa"/>
            <w:shd w:val="clear" w:color="auto" w:fill="D9D9D9" w:themeFill="background1" w:themeFillShade="D9"/>
          </w:tcPr>
          <w:p w14:paraId="5AE190C8" w14:textId="77777777" w:rsidR="007859E5" w:rsidRPr="00831F5A" w:rsidRDefault="007859E5" w:rsidP="00306DE2">
            <w:pPr>
              <w:pStyle w:val="Plattetekst21"/>
              <w:ind w:left="0"/>
              <w:jc w:val="left"/>
              <w:rPr>
                <w:rFonts w:cs="Arial"/>
                <w:b/>
                <w:sz w:val="16"/>
                <w:szCs w:val="16"/>
                <w:lang w:val="nl-BE"/>
              </w:rPr>
            </w:pPr>
            <w:r w:rsidRPr="00831F5A">
              <w:rPr>
                <w:rFonts w:cs="Arial"/>
                <w:b/>
                <w:sz w:val="16"/>
                <w:szCs w:val="16"/>
                <w:lang w:val="nl-BE"/>
              </w:rPr>
              <w:t>Recht op salaris</w:t>
            </w:r>
          </w:p>
        </w:tc>
        <w:tc>
          <w:tcPr>
            <w:tcW w:w="1701" w:type="dxa"/>
            <w:shd w:val="clear" w:color="auto" w:fill="D9D9D9" w:themeFill="background1" w:themeFillShade="D9"/>
          </w:tcPr>
          <w:p w14:paraId="1A7C2066" w14:textId="49257D98" w:rsidR="007859E5" w:rsidRPr="00831F5A" w:rsidRDefault="007859E5" w:rsidP="00306DE2">
            <w:pPr>
              <w:pStyle w:val="Plattetekst21"/>
              <w:ind w:left="0"/>
              <w:jc w:val="left"/>
              <w:rPr>
                <w:rFonts w:cs="Arial"/>
                <w:b/>
                <w:sz w:val="16"/>
                <w:szCs w:val="16"/>
                <w:lang w:val="nl-BE"/>
              </w:rPr>
            </w:pPr>
            <w:r w:rsidRPr="00831F5A">
              <w:rPr>
                <w:rFonts w:cs="Arial"/>
                <w:b/>
                <w:sz w:val="16"/>
                <w:szCs w:val="16"/>
                <w:lang w:val="nl-BE"/>
              </w:rPr>
              <w:t>Recht op periodieke salarisverhoging</w:t>
            </w:r>
          </w:p>
        </w:tc>
        <w:tc>
          <w:tcPr>
            <w:tcW w:w="1842" w:type="dxa"/>
            <w:shd w:val="clear" w:color="auto" w:fill="D9D9D9" w:themeFill="background1" w:themeFillShade="D9"/>
          </w:tcPr>
          <w:p w14:paraId="26F3B76E" w14:textId="3E50112D" w:rsidR="007859E5" w:rsidRPr="00831F5A" w:rsidRDefault="007859E5" w:rsidP="00306DE2">
            <w:pPr>
              <w:pStyle w:val="Plattetekst21"/>
              <w:ind w:left="0"/>
              <w:jc w:val="left"/>
              <w:rPr>
                <w:rFonts w:cs="Arial"/>
                <w:b/>
                <w:sz w:val="16"/>
                <w:szCs w:val="16"/>
                <w:lang w:val="nl-BE"/>
              </w:rPr>
            </w:pPr>
            <w:r w:rsidRPr="00831F5A">
              <w:rPr>
                <w:rFonts w:cs="Arial"/>
                <w:b/>
                <w:sz w:val="16"/>
                <w:szCs w:val="16"/>
                <w:lang w:val="nl-BE"/>
              </w:rPr>
              <w:t>Recht op schaalanciënniteit</w:t>
            </w:r>
          </w:p>
        </w:tc>
        <w:tc>
          <w:tcPr>
            <w:tcW w:w="1560" w:type="dxa"/>
            <w:shd w:val="clear" w:color="auto" w:fill="D9D9D9" w:themeFill="background1" w:themeFillShade="D9"/>
          </w:tcPr>
          <w:p w14:paraId="5BE15A67" w14:textId="20AFC6D6" w:rsidR="007859E5" w:rsidRPr="00831F5A" w:rsidRDefault="007859E5" w:rsidP="00306DE2">
            <w:pPr>
              <w:pStyle w:val="Plattetekst21"/>
              <w:ind w:left="0"/>
              <w:jc w:val="left"/>
              <w:rPr>
                <w:rFonts w:cs="Arial"/>
                <w:b/>
                <w:sz w:val="16"/>
                <w:szCs w:val="16"/>
                <w:lang w:val="nl-BE"/>
              </w:rPr>
            </w:pPr>
            <w:r w:rsidRPr="00831F5A">
              <w:rPr>
                <w:rFonts w:cs="Arial"/>
                <w:b/>
                <w:sz w:val="16"/>
                <w:szCs w:val="16"/>
                <w:lang w:val="nl-BE"/>
              </w:rPr>
              <w:t>Opbouw vakantiedagen</w:t>
            </w:r>
          </w:p>
        </w:tc>
        <w:tc>
          <w:tcPr>
            <w:tcW w:w="1275" w:type="dxa"/>
            <w:shd w:val="clear" w:color="auto" w:fill="D9D9D9" w:themeFill="background1" w:themeFillShade="D9"/>
          </w:tcPr>
          <w:p w14:paraId="6F56030C" w14:textId="126BD144" w:rsidR="007859E5" w:rsidRPr="00831F5A" w:rsidRDefault="007859E5" w:rsidP="00306DE2">
            <w:pPr>
              <w:pStyle w:val="Plattetekst21"/>
              <w:ind w:left="0"/>
              <w:jc w:val="left"/>
              <w:rPr>
                <w:rFonts w:cs="Arial"/>
                <w:b/>
                <w:sz w:val="16"/>
                <w:szCs w:val="16"/>
                <w:lang w:val="nl-BE"/>
              </w:rPr>
            </w:pPr>
            <w:r w:rsidRPr="00831F5A">
              <w:rPr>
                <w:rFonts w:cs="Arial"/>
                <w:b/>
                <w:sz w:val="16"/>
                <w:szCs w:val="16"/>
                <w:lang w:val="nl-BE"/>
              </w:rPr>
              <w:t>Opbouw ziektekrediet</w:t>
            </w:r>
          </w:p>
        </w:tc>
        <w:tc>
          <w:tcPr>
            <w:tcW w:w="993" w:type="dxa"/>
          </w:tcPr>
          <w:p w14:paraId="1A79EF4F" w14:textId="5C433ED0" w:rsidR="007859E5" w:rsidRPr="00831F5A" w:rsidRDefault="007859E5" w:rsidP="00306DE2">
            <w:pPr>
              <w:pStyle w:val="Plattetekst21"/>
              <w:ind w:left="0"/>
              <w:jc w:val="left"/>
              <w:rPr>
                <w:rFonts w:cs="Arial"/>
                <w:b/>
                <w:sz w:val="16"/>
                <w:szCs w:val="16"/>
                <w:lang w:val="nl-BE"/>
              </w:rPr>
            </w:pPr>
            <w:proofErr w:type="spellStart"/>
            <w:r w:rsidRPr="00831F5A">
              <w:rPr>
                <w:rFonts w:cs="Arial"/>
                <w:b/>
                <w:sz w:val="16"/>
                <w:szCs w:val="16"/>
                <w:lang w:val="nl-BE"/>
              </w:rPr>
              <w:t>Vakantie-geld</w:t>
            </w:r>
            <w:proofErr w:type="spellEnd"/>
          </w:p>
        </w:tc>
        <w:tc>
          <w:tcPr>
            <w:tcW w:w="1134" w:type="dxa"/>
          </w:tcPr>
          <w:p w14:paraId="44AE9DB7" w14:textId="5F51552B" w:rsidR="007859E5" w:rsidRPr="00831F5A" w:rsidRDefault="007859E5" w:rsidP="00306DE2">
            <w:pPr>
              <w:pStyle w:val="Plattetekst21"/>
              <w:ind w:left="0"/>
              <w:jc w:val="left"/>
              <w:rPr>
                <w:rFonts w:cs="Arial"/>
                <w:b/>
                <w:sz w:val="16"/>
                <w:szCs w:val="16"/>
                <w:lang w:val="nl-BE"/>
              </w:rPr>
            </w:pPr>
            <w:proofErr w:type="spellStart"/>
            <w:r w:rsidRPr="00831F5A">
              <w:rPr>
                <w:rFonts w:cs="Arial"/>
                <w:b/>
                <w:sz w:val="16"/>
                <w:szCs w:val="16"/>
                <w:lang w:val="nl-BE"/>
              </w:rPr>
              <w:t>Eindejaars</w:t>
            </w:r>
            <w:proofErr w:type="spellEnd"/>
            <w:r w:rsidRPr="00831F5A">
              <w:rPr>
                <w:rFonts w:cs="Arial"/>
                <w:b/>
                <w:sz w:val="16"/>
                <w:szCs w:val="16"/>
                <w:lang w:val="nl-BE"/>
              </w:rPr>
              <w:t>-toelage</w:t>
            </w:r>
          </w:p>
        </w:tc>
      </w:tr>
      <w:tr w:rsidR="007859E5" w:rsidRPr="00037A46" w14:paraId="1A788BD7" w14:textId="79E55D8D" w:rsidTr="00DD039E">
        <w:trPr>
          <w:trHeight w:val="300"/>
        </w:trPr>
        <w:tc>
          <w:tcPr>
            <w:tcW w:w="2263" w:type="dxa"/>
            <w:shd w:val="clear" w:color="auto" w:fill="D9D9D9" w:themeFill="background1" w:themeFillShade="D9"/>
          </w:tcPr>
          <w:p w14:paraId="359308B8" w14:textId="2828300E"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 xml:space="preserve">Jaarlijkse vakantiedagen </w:t>
            </w:r>
          </w:p>
        </w:tc>
        <w:tc>
          <w:tcPr>
            <w:tcW w:w="1418" w:type="dxa"/>
          </w:tcPr>
          <w:p w14:paraId="64C24FBC"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tc>
        <w:tc>
          <w:tcPr>
            <w:tcW w:w="1276" w:type="dxa"/>
          </w:tcPr>
          <w:p w14:paraId="0D79D7C9"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701" w:type="dxa"/>
          </w:tcPr>
          <w:p w14:paraId="1657F07F"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842" w:type="dxa"/>
          </w:tcPr>
          <w:p w14:paraId="46B1EDA3"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560" w:type="dxa"/>
          </w:tcPr>
          <w:p w14:paraId="2F099F31"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275" w:type="dxa"/>
          </w:tcPr>
          <w:p w14:paraId="1F2CF325"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993" w:type="dxa"/>
          </w:tcPr>
          <w:p w14:paraId="382D9312" w14:textId="5AF0DA03"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134" w:type="dxa"/>
          </w:tcPr>
          <w:p w14:paraId="6F42F5E3" w14:textId="1B94C854"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r>
      <w:tr w:rsidR="007859E5" w:rsidRPr="00037A46" w14:paraId="43B101C2" w14:textId="76DFF57B" w:rsidTr="00DD039E">
        <w:trPr>
          <w:trHeight w:val="300"/>
        </w:trPr>
        <w:tc>
          <w:tcPr>
            <w:tcW w:w="2263" w:type="dxa"/>
            <w:shd w:val="clear" w:color="auto" w:fill="D9D9D9" w:themeFill="background1" w:themeFillShade="D9"/>
          </w:tcPr>
          <w:p w14:paraId="2263DEC0" w14:textId="2C8B3786"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Feestdagen</w:t>
            </w:r>
          </w:p>
        </w:tc>
        <w:tc>
          <w:tcPr>
            <w:tcW w:w="1418" w:type="dxa"/>
          </w:tcPr>
          <w:p w14:paraId="6C653135"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tc>
        <w:tc>
          <w:tcPr>
            <w:tcW w:w="1276" w:type="dxa"/>
          </w:tcPr>
          <w:p w14:paraId="011DA6B5"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701" w:type="dxa"/>
          </w:tcPr>
          <w:p w14:paraId="69912952"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842" w:type="dxa"/>
          </w:tcPr>
          <w:p w14:paraId="00EB1825"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560" w:type="dxa"/>
          </w:tcPr>
          <w:p w14:paraId="55839BDD"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275" w:type="dxa"/>
          </w:tcPr>
          <w:p w14:paraId="34FF5D74"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993" w:type="dxa"/>
          </w:tcPr>
          <w:p w14:paraId="2D1D9ECF" w14:textId="46012624"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134" w:type="dxa"/>
          </w:tcPr>
          <w:p w14:paraId="08D95ECE" w14:textId="35D60506"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r>
      <w:tr w:rsidR="007859E5" w:rsidRPr="00037A46" w14:paraId="28334FA9" w14:textId="1616C6B3" w:rsidTr="00DD039E">
        <w:trPr>
          <w:trHeight w:val="1005"/>
        </w:trPr>
        <w:tc>
          <w:tcPr>
            <w:tcW w:w="2263" w:type="dxa"/>
            <w:shd w:val="clear" w:color="auto" w:fill="D9D9D9" w:themeFill="background1" w:themeFillShade="D9"/>
          </w:tcPr>
          <w:p w14:paraId="789D486A"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Bevallingsverlof voor</w:t>
            </w:r>
          </w:p>
          <w:p w14:paraId="44EFFBA6" w14:textId="77777777" w:rsidR="007859E5" w:rsidRPr="00831F5A" w:rsidRDefault="007859E5" w:rsidP="00A36C91">
            <w:pPr>
              <w:pStyle w:val="Plattetekst21"/>
              <w:numPr>
                <w:ilvl w:val="0"/>
                <w:numId w:val="23"/>
              </w:numPr>
              <w:spacing w:after="0"/>
              <w:jc w:val="left"/>
              <w:rPr>
                <w:rFonts w:cs="Arial"/>
                <w:sz w:val="16"/>
                <w:szCs w:val="16"/>
                <w:lang w:val="nl-BE"/>
              </w:rPr>
            </w:pPr>
            <w:r w:rsidRPr="00831F5A">
              <w:rPr>
                <w:rFonts w:cs="Arial"/>
                <w:sz w:val="16"/>
                <w:szCs w:val="16"/>
                <w:lang w:val="nl-BE"/>
              </w:rPr>
              <w:t>statutairen</w:t>
            </w:r>
          </w:p>
          <w:p w14:paraId="4595F3EF" w14:textId="73CBE6A9" w:rsidR="007859E5" w:rsidRPr="00831F5A" w:rsidRDefault="007859E5" w:rsidP="00A36C91">
            <w:pPr>
              <w:pStyle w:val="Plattetekst21"/>
              <w:numPr>
                <w:ilvl w:val="0"/>
                <w:numId w:val="23"/>
              </w:numPr>
              <w:spacing w:after="0"/>
              <w:jc w:val="left"/>
              <w:rPr>
                <w:rFonts w:cs="Arial"/>
                <w:sz w:val="16"/>
                <w:szCs w:val="16"/>
                <w:lang w:val="nl-BE"/>
              </w:rPr>
            </w:pPr>
            <w:r w:rsidRPr="00831F5A">
              <w:rPr>
                <w:rFonts w:cs="Arial"/>
                <w:sz w:val="16"/>
                <w:szCs w:val="16"/>
                <w:lang w:val="nl-BE"/>
              </w:rPr>
              <w:t>contractuelen</w:t>
            </w:r>
          </w:p>
        </w:tc>
        <w:tc>
          <w:tcPr>
            <w:tcW w:w="1418" w:type="dxa"/>
          </w:tcPr>
          <w:p w14:paraId="24BBEF7E" w14:textId="77777777" w:rsidR="007859E5" w:rsidRPr="00831F5A" w:rsidRDefault="007859E5" w:rsidP="00A36C91">
            <w:pPr>
              <w:pStyle w:val="Plattetekst21"/>
              <w:spacing w:after="0"/>
              <w:ind w:left="0"/>
              <w:jc w:val="left"/>
              <w:rPr>
                <w:rFonts w:cs="Arial"/>
                <w:sz w:val="16"/>
                <w:szCs w:val="16"/>
                <w:lang w:val="nl-BE"/>
              </w:rPr>
            </w:pPr>
          </w:p>
          <w:p w14:paraId="58DF7C2E"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p w14:paraId="10ABCE86"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tc>
        <w:tc>
          <w:tcPr>
            <w:tcW w:w="1276" w:type="dxa"/>
          </w:tcPr>
          <w:p w14:paraId="2A1EAE0B" w14:textId="77777777" w:rsidR="007859E5" w:rsidRPr="00831F5A" w:rsidRDefault="007859E5" w:rsidP="00A36C91">
            <w:pPr>
              <w:pStyle w:val="Plattetekst21"/>
              <w:spacing w:after="0"/>
              <w:ind w:left="0"/>
              <w:jc w:val="left"/>
              <w:rPr>
                <w:rFonts w:cs="Arial"/>
                <w:sz w:val="16"/>
                <w:szCs w:val="16"/>
                <w:lang w:val="nl-BE"/>
              </w:rPr>
            </w:pPr>
          </w:p>
          <w:p w14:paraId="76079AC8"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1CC9F31A" w14:textId="0DCFA018"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Nee, uitkering ziekenfonds/ ZIV</w:t>
            </w:r>
          </w:p>
        </w:tc>
        <w:tc>
          <w:tcPr>
            <w:tcW w:w="1701" w:type="dxa"/>
          </w:tcPr>
          <w:p w14:paraId="0A7FFD72" w14:textId="77777777" w:rsidR="007859E5" w:rsidRPr="00831F5A" w:rsidRDefault="007859E5" w:rsidP="00A36C91">
            <w:pPr>
              <w:pStyle w:val="Plattetekst21"/>
              <w:spacing w:after="0"/>
              <w:ind w:left="0"/>
              <w:jc w:val="left"/>
              <w:rPr>
                <w:rFonts w:cs="Arial"/>
                <w:sz w:val="16"/>
                <w:szCs w:val="16"/>
                <w:lang w:val="nl-BE"/>
              </w:rPr>
            </w:pPr>
          </w:p>
          <w:p w14:paraId="6B2ABF73"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61FF9217"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24946B2D" w14:textId="77777777" w:rsidR="007859E5" w:rsidRPr="00831F5A" w:rsidRDefault="007859E5" w:rsidP="00A36C91">
            <w:pPr>
              <w:pStyle w:val="Plattetekst21"/>
              <w:spacing w:after="0"/>
              <w:ind w:left="0"/>
              <w:jc w:val="left"/>
              <w:rPr>
                <w:rFonts w:cs="Arial"/>
                <w:sz w:val="16"/>
                <w:szCs w:val="16"/>
                <w:lang w:val="nl-BE"/>
              </w:rPr>
            </w:pPr>
          </w:p>
        </w:tc>
        <w:tc>
          <w:tcPr>
            <w:tcW w:w="1842" w:type="dxa"/>
          </w:tcPr>
          <w:p w14:paraId="6CE0699F" w14:textId="77777777" w:rsidR="007859E5" w:rsidRPr="00831F5A" w:rsidRDefault="007859E5" w:rsidP="00A36C91">
            <w:pPr>
              <w:pStyle w:val="Plattetekst21"/>
              <w:spacing w:after="0"/>
              <w:ind w:left="0"/>
              <w:jc w:val="left"/>
              <w:rPr>
                <w:rFonts w:cs="Arial"/>
                <w:sz w:val="16"/>
                <w:szCs w:val="16"/>
                <w:lang w:val="nl-BE"/>
              </w:rPr>
            </w:pPr>
          </w:p>
          <w:p w14:paraId="7840F584"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6F17B36C"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560" w:type="dxa"/>
          </w:tcPr>
          <w:p w14:paraId="4D10414F" w14:textId="77777777" w:rsidR="007859E5" w:rsidRPr="00831F5A" w:rsidRDefault="007859E5" w:rsidP="00A36C91">
            <w:pPr>
              <w:pStyle w:val="Plattetekst21"/>
              <w:spacing w:after="0"/>
              <w:ind w:left="0"/>
              <w:jc w:val="left"/>
              <w:rPr>
                <w:rFonts w:cs="Arial"/>
                <w:sz w:val="16"/>
                <w:szCs w:val="16"/>
                <w:lang w:val="nl-BE"/>
              </w:rPr>
            </w:pPr>
          </w:p>
          <w:p w14:paraId="03A655A2"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1F2FEAD7"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275" w:type="dxa"/>
          </w:tcPr>
          <w:p w14:paraId="0C50FC6C" w14:textId="77777777" w:rsidR="007859E5" w:rsidRPr="00831F5A" w:rsidRDefault="007859E5" w:rsidP="00A36C91">
            <w:pPr>
              <w:pStyle w:val="Plattetekst21"/>
              <w:spacing w:after="0"/>
              <w:ind w:left="0"/>
              <w:jc w:val="left"/>
              <w:rPr>
                <w:rFonts w:cs="Arial"/>
                <w:sz w:val="16"/>
                <w:szCs w:val="16"/>
                <w:lang w:val="nl-BE"/>
              </w:rPr>
            </w:pPr>
          </w:p>
          <w:p w14:paraId="19F06532"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3666FE37" w14:textId="77777777" w:rsidR="007859E5" w:rsidRPr="00831F5A" w:rsidRDefault="007859E5" w:rsidP="00A36C91">
            <w:pPr>
              <w:pStyle w:val="Plattetekst21"/>
              <w:spacing w:after="0"/>
              <w:ind w:left="0"/>
              <w:jc w:val="left"/>
              <w:rPr>
                <w:rFonts w:cs="Arial"/>
                <w:sz w:val="16"/>
                <w:szCs w:val="16"/>
                <w:lang w:val="nl-BE"/>
              </w:rPr>
            </w:pPr>
            <w:proofErr w:type="spellStart"/>
            <w:r w:rsidRPr="00831F5A">
              <w:rPr>
                <w:rFonts w:cs="Arial"/>
                <w:sz w:val="16"/>
                <w:szCs w:val="16"/>
                <w:lang w:val="nl-BE"/>
              </w:rPr>
              <w:t>Nvt</w:t>
            </w:r>
            <w:proofErr w:type="spellEnd"/>
            <w:r w:rsidRPr="00831F5A">
              <w:rPr>
                <w:rFonts w:cs="Arial"/>
                <w:sz w:val="16"/>
                <w:szCs w:val="16"/>
                <w:lang w:val="nl-BE"/>
              </w:rPr>
              <w:t>.</w:t>
            </w:r>
          </w:p>
        </w:tc>
        <w:tc>
          <w:tcPr>
            <w:tcW w:w="993" w:type="dxa"/>
          </w:tcPr>
          <w:p w14:paraId="6A7C0C96" w14:textId="51CDEFF6" w:rsidR="007859E5" w:rsidRPr="00831F5A" w:rsidRDefault="007859E5" w:rsidP="00A36C91">
            <w:pPr>
              <w:pStyle w:val="Plattetekst21"/>
              <w:spacing w:after="0"/>
              <w:ind w:left="0"/>
              <w:jc w:val="left"/>
              <w:rPr>
                <w:rFonts w:cs="Arial"/>
                <w:sz w:val="16"/>
                <w:szCs w:val="16"/>
                <w:lang w:val="nl-BE"/>
              </w:rPr>
            </w:pPr>
          </w:p>
          <w:p w14:paraId="33FBB5F4"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259B495D" w14:textId="5A8014DA"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134" w:type="dxa"/>
          </w:tcPr>
          <w:p w14:paraId="6E8B8E18" w14:textId="77777777" w:rsidR="007859E5" w:rsidRPr="00831F5A" w:rsidRDefault="007859E5" w:rsidP="00A36C91">
            <w:pPr>
              <w:pStyle w:val="Plattetekst21"/>
              <w:spacing w:after="0"/>
              <w:ind w:left="0"/>
              <w:jc w:val="left"/>
              <w:rPr>
                <w:rFonts w:cs="Arial"/>
                <w:sz w:val="16"/>
                <w:szCs w:val="16"/>
                <w:lang w:val="nl-BE"/>
              </w:rPr>
            </w:pPr>
          </w:p>
          <w:p w14:paraId="7AD72387"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02D18DE8" w14:textId="2A7AF924"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r>
      <w:tr w:rsidR="007859E5" w:rsidRPr="00037A46" w14:paraId="7D5CCD9A" w14:textId="3C3DBEB2" w:rsidTr="00DD039E">
        <w:trPr>
          <w:trHeight w:val="300"/>
        </w:trPr>
        <w:tc>
          <w:tcPr>
            <w:tcW w:w="2263" w:type="dxa"/>
            <w:shd w:val="clear" w:color="auto" w:fill="D9D9D9" w:themeFill="background1" w:themeFillShade="D9"/>
          </w:tcPr>
          <w:p w14:paraId="5383CB67"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Moederschapsbescherming tijdens zwangerschap voor:</w:t>
            </w:r>
          </w:p>
          <w:p w14:paraId="021F136D" w14:textId="77777777" w:rsidR="007859E5" w:rsidRPr="00831F5A" w:rsidRDefault="007859E5" w:rsidP="00A36C91">
            <w:pPr>
              <w:pStyle w:val="Plattetekst21"/>
              <w:numPr>
                <w:ilvl w:val="0"/>
                <w:numId w:val="24"/>
              </w:numPr>
              <w:spacing w:after="0"/>
              <w:jc w:val="left"/>
              <w:rPr>
                <w:rFonts w:cs="Arial"/>
                <w:sz w:val="16"/>
                <w:szCs w:val="16"/>
                <w:lang w:val="nl-BE"/>
              </w:rPr>
            </w:pPr>
            <w:r w:rsidRPr="00831F5A">
              <w:rPr>
                <w:rFonts w:cs="Arial"/>
                <w:sz w:val="16"/>
                <w:szCs w:val="16"/>
                <w:lang w:val="nl-BE"/>
              </w:rPr>
              <w:t>statutairen</w:t>
            </w:r>
          </w:p>
          <w:p w14:paraId="7D38EA60" w14:textId="77777777" w:rsidR="007859E5" w:rsidRPr="00831F5A" w:rsidRDefault="007859E5" w:rsidP="00A36C91">
            <w:pPr>
              <w:pStyle w:val="Plattetekst21"/>
              <w:numPr>
                <w:ilvl w:val="0"/>
                <w:numId w:val="24"/>
              </w:numPr>
              <w:spacing w:after="0"/>
              <w:jc w:val="left"/>
              <w:rPr>
                <w:rFonts w:cs="Arial"/>
                <w:sz w:val="16"/>
                <w:szCs w:val="16"/>
                <w:lang w:val="nl-BE"/>
              </w:rPr>
            </w:pPr>
            <w:r w:rsidRPr="00831F5A">
              <w:rPr>
                <w:rFonts w:cs="Arial"/>
                <w:sz w:val="16"/>
                <w:szCs w:val="16"/>
                <w:lang w:val="nl-BE"/>
              </w:rPr>
              <w:t>contractuelen</w:t>
            </w:r>
          </w:p>
        </w:tc>
        <w:tc>
          <w:tcPr>
            <w:tcW w:w="1418" w:type="dxa"/>
          </w:tcPr>
          <w:p w14:paraId="0B846469" w14:textId="77777777" w:rsidR="007859E5" w:rsidRPr="00831F5A" w:rsidRDefault="007859E5" w:rsidP="00A36C91">
            <w:pPr>
              <w:pStyle w:val="Plattetekst21"/>
              <w:spacing w:after="0"/>
              <w:ind w:left="0"/>
              <w:jc w:val="left"/>
              <w:rPr>
                <w:rFonts w:cs="Arial"/>
                <w:sz w:val="16"/>
                <w:szCs w:val="16"/>
                <w:lang w:val="nl-BE"/>
              </w:rPr>
            </w:pPr>
          </w:p>
          <w:p w14:paraId="710CBA2D"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p w14:paraId="104F4CBB"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tc>
        <w:tc>
          <w:tcPr>
            <w:tcW w:w="1276" w:type="dxa"/>
          </w:tcPr>
          <w:p w14:paraId="4D3F697D" w14:textId="77777777" w:rsidR="007859E5" w:rsidRPr="00831F5A" w:rsidRDefault="007859E5" w:rsidP="00A36C91">
            <w:pPr>
              <w:pStyle w:val="Plattetekst21"/>
              <w:spacing w:after="0"/>
              <w:ind w:left="0"/>
              <w:jc w:val="left"/>
              <w:rPr>
                <w:rFonts w:cs="Arial"/>
                <w:sz w:val="16"/>
                <w:szCs w:val="16"/>
                <w:lang w:val="nl-BE"/>
              </w:rPr>
            </w:pPr>
          </w:p>
          <w:p w14:paraId="14BECC29"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76AAFC03" w14:textId="525841AC"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Nee, uitkering ziekenfonds/ ZIV</w:t>
            </w:r>
          </w:p>
        </w:tc>
        <w:tc>
          <w:tcPr>
            <w:tcW w:w="1701" w:type="dxa"/>
          </w:tcPr>
          <w:p w14:paraId="1892E4FF" w14:textId="77777777" w:rsidR="007859E5" w:rsidRPr="00831F5A" w:rsidRDefault="007859E5" w:rsidP="00A36C91">
            <w:pPr>
              <w:pStyle w:val="Plattetekst21"/>
              <w:spacing w:after="0"/>
              <w:ind w:left="0"/>
              <w:jc w:val="left"/>
              <w:rPr>
                <w:rFonts w:cs="Arial"/>
                <w:sz w:val="16"/>
                <w:szCs w:val="16"/>
                <w:lang w:val="nl-BE"/>
              </w:rPr>
            </w:pPr>
          </w:p>
          <w:p w14:paraId="5667BF4F"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65232E23"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842" w:type="dxa"/>
          </w:tcPr>
          <w:p w14:paraId="11ADD8E6" w14:textId="77777777" w:rsidR="007859E5" w:rsidRPr="00831F5A" w:rsidRDefault="007859E5" w:rsidP="00A36C91">
            <w:pPr>
              <w:pStyle w:val="Plattetekst21"/>
              <w:spacing w:after="0"/>
              <w:ind w:left="0"/>
              <w:jc w:val="left"/>
              <w:rPr>
                <w:rFonts w:cs="Arial"/>
                <w:sz w:val="16"/>
                <w:szCs w:val="16"/>
                <w:lang w:val="nl-BE"/>
              </w:rPr>
            </w:pPr>
          </w:p>
          <w:p w14:paraId="55669D69"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5CB1A547" w14:textId="35EF6F70"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560" w:type="dxa"/>
          </w:tcPr>
          <w:p w14:paraId="6E95296D" w14:textId="77777777" w:rsidR="007859E5" w:rsidRPr="00831F5A" w:rsidRDefault="007859E5" w:rsidP="00A36C91">
            <w:pPr>
              <w:pStyle w:val="Plattetekst21"/>
              <w:spacing w:after="0"/>
              <w:ind w:left="0"/>
              <w:jc w:val="left"/>
              <w:rPr>
                <w:rFonts w:cs="Arial"/>
                <w:sz w:val="16"/>
                <w:szCs w:val="16"/>
                <w:lang w:val="nl-BE"/>
              </w:rPr>
            </w:pPr>
          </w:p>
          <w:p w14:paraId="6B632871"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56135BFA"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3FBC796F" w14:textId="77777777" w:rsidR="007859E5" w:rsidRPr="00831F5A" w:rsidRDefault="007859E5" w:rsidP="00A36C91">
            <w:pPr>
              <w:pStyle w:val="Plattetekst21"/>
              <w:spacing w:after="0"/>
              <w:ind w:left="0"/>
              <w:jc w:val="left"/>
              <w:rPr>
                <w:rFonts w:cs="Arial"/>
                <w:sz w:val="16"/>
                <w:szCs w:val="16"/>
                <w:lang w:val="nl-BE"/>
              </w:rPr>
            </w:pPr>
          </w:p>
        </w:tc>
        <w:tc>
          <w:tcPr>
            <w:tcW w:w="1275" w:type="dxa"/>
          </w:tcPr>
          <w:p w14:paraId="3C8B7B94" w14:textId="77777777" w:rsidR="007859E5" w:rsidRPr="00831F5A" w:rsidRDefault="007859E5" w:rsidP="00A36C91">
            <w:pPr>
              <w:pStyle w:val="Plattetekst21"/>
              <w:spacing w:after="0"/>
              <w:ind w:left="0"/>
              <w:jc w:val="left"/>
              <w:rPr>
                <w:rFonts w:cs="Arial"/>
                <w:sz w:val="16"/>
                <w:szCs w:val="16"/>
                <w:lang w:val="nl-BE"/>
              </w:rPr>
            </w:pPr>
          </w:p>
          <w:p w14:paraId="4E10B7F4"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726DE7A6" w14:textId="77777777" w:rsidR="007859E5" w:rsidRPr="00831F5A" w:rsidRDefault="007859E5" w:rsidP="00A36C91">
            <w:pPr>
              <w:pStyle w:val="Plattetekst21"/>
              <w:spacing w:after="0"/>
              <w:ind w:left="0"/>
              <w:jc w:val="left"/>
              <w:rPr>
                <w:rFonts w:cs="Arial"/>
                <w:sz w:val="16"/>
                <w:szCs w:val="16"/>
                <w:lang w:val="nl-BE"/>
              </w:rPr>
            </w:pPr>
            <w:proofErr w:type="spellStart"/>
            <w:r w:rsidRPr="00831F5A">
              <w:rPr>
                <w:rFonts w:cs="Arial"/>
                <w:sz w:val="16"/>
                <w:szCs w:val="16"/>
                <w:lang w:val="nl-BE"/>
              </w:rPr>
              <w:t>Nvt</w:t>
            </w:r>
            <w:proofErr w:type="spellEnd"/>
            <w:r w:rsidRPr="00831F5A">
              <w:rPr>
                <w:rFonts w:cs="Arial"/>
                <w:sz w:val="16"/>
                <w:szCs w:val="16"/>
                <w:lang w:val="nl-BE"/>
              </w:rPr>
              <w:t>.</w:t>
            </w:r>
          </w:p>
        </w:tc>
        <w:tc>
          <w:tcPr>
            <w:tcW w:w="993" w:type="dxa"/>
          </w:tcPr>
          <w:p w14:paraId="7EACC669" w14:textId="7532253D" w:rsidR="007859E5" w:rsidRPr="00831F5A" w:rsidRDefault="007859E5" w:rsidP="00A36C91">
            <w:pPr>
              <w:pStyle w:val="Plattetekst21"/>
              <w:spacing w:after="0"/>
              <w:ind w:left="0"/>
              <w:jc w:val="left"/>
              <w:rPr>
                <w:rFonts w:cs="Arial"/>
                <w:sz w:val="16"/>
                <w:szCs w:val="16"/>
                <w:lang w:val="nl-BE"/>
              </w:rPr>
            </w:pPr>
          </w:p>
          <w:p w14:paraId="45449478"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73008FD7"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0D3FC790" w14:textId="77777777" w:rsidR="007859E5" w:rsidRPr="00831F5A" w:rsidRDefault="007859E5" w:rsidP="00A36C91">
            <w:pPr>
              <w:pStyle w:val="Plattetekst21"/>
              <w:spacing w:after="0"/>
              <w:ind w:left="0"/>
              <w:jc w:val="left"/>
              <w:rPr>
                <w:rFonts w:cs="Arial"/>
                <w:sz w:val="16"/>
                <w:szCs w:val="16"/>
                <w:lang w:val="nl-BE"/>
              </w:rPr>
            </w:pPr>
          </w:p>
        </w:tc>
        <w:tc>
          <w:tcPr>
            <w:tcW w:w="1134" w:type="dxa"/>
          </w:tcPr>
          <w:p w14:paraId="4AB4A0BC" w14:textId="77777777" w:rsidR="007859E5" w:rsidRPr="00831F5A" w:rsidRDefault="007859E5" w:rsidP="00A36C91">
            <w:pPr>
              <w:pStyle w:val="Plattetekst21"/>
              <w:spacing w:after="0"/>
              <w:ind w:left="0"/>
              <w:jc w:val="left"/>
              <w:rPr>
                <w:rFonts w:cs="Arial"/>
                <w:sz w:val="16"/>
                <w:szCs w:val="16"/>
                <w:lang w:val="nl-BE"/>
              </w:rPr>
            </w:pPr>
          </w:p>
          <w:p w14:paraId="0E873127"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73756B5F"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27C97C19" w14:textId="515A38BF" w:rsidR="007859E5" w:rsidRPr="00831F5A" w:rsidRDefault="007859E5" w:rsidP="00A36C91">
            <w:pPr>
              <w:pStyle w:val="Plattetekst21"/>
              <w:spacing w:after="0"/>
              <w:ind w:left="0"/>
              <w:jc w:val="left"/>
              <w:rPr>
                <w:rFonts w:cs="Arial"/>
                <w:sz w:val="16"/>
                <w:szCs w:val="16"/>
                <w:lang w:val="nl-BE"/>
              </w:rPr>
            </w:pPr>
          </w:p>
        </w:tc>
      </w:tr>
      <w:tr w:rsidR="007859E5" w:rsidRPr="00037A46" w14:paraId="764D7EF8" w14:textId="77AA95DB" w:rsidTr="00DD039E">
        <w:trPr>
          <w:trHeight w:val="300"/>
        </w:trPr>
        <w:tc>
          <w:tcPr>
            <w:tcW w:w="2263" w:type="dxa"/>
            <w:shd w:val="clear" w:color="auto" w:fill="D9D9D9" w:themeFill="background1" w:themeFillShade="D9"/>
          </w:tcPr>
          <w:p w14:paraId="6C48885A"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Borstvoedingsverlof i/k kader v/d moederschapsbescherming voor:</w:t>
            </w:r>
          </w:p>
          <w:p w14:paraId="35A3C4D4" w14:textId="77777777" w:rsidR="007859E5" w:rsidRPr="00831F5A" w:rsidRDefault="007859E5" w:rsidP="00A36C91">
            <w:pPr>
              <w:pStyle w:val="Plattetekst21"/>
              <w:numPr>
                <w:ilvl w:val="0"/>
                <w:numId w:val="25"/>
              </w:numPr>
              <w:spacing w:after="0"/>
              <w:jc w:val="left"/>
              <w:rPr>
                <w:rFonts w:cs="Arial"/>
                <w:sz w:val="16"/>
                <w:szCs w:val="16"/>
                <w:lang w:val="nl-BE"/>
              </w:rPr>
            </w:pPr>
            <w:r w:rsidRPr="00831F5A">
              <w:rPr>
                <w:rFonts w:cs="Arial"/>
                <w:sz w:val="16"/>
                <w:szCs w:val="16"/>
                <w:lang w:val="nl-BE"/>
              </w:rPr>
              <w:t>statutairen</w:t>
            </w:r>
          </w:p>
          <w:p w14:paraId="66C2D4A7" w14:textId="77777777" w:rsidR="007859E5" w:rsidRPr="00831F5A" w:rsidRDefault="007859E5" w:rsidP="00A36C91">
            <w:pPr>
              <w:pStyle w:val="Plattetekst21"/>
              <w:numPr>
                <w:ilvl w:val="0"/>
                <w:numId w:val="25"/>
              </w:numPr>
              <w:spacing w:after="0"/>
              <w:jc w:val="left"/>
              <w:rPr>
                <w:rFonts w:cs="Arial"/>
                <w:sz w:val="16"/>
                <w:szCs w:val="16"/>
                <w:lang w:val="nl-BE"/>
              </w:rPr>
            </w:pPr>
            <w:r w:rsidRPr="00831F5A">
              <w:rPr>
                <w:rFonts w:cs="Arial"/>
                <w:sz w:val="16"/>
                <w:szCs w:val="16"/>
                <w:lang w:val="nl-BE"/>
              </w:rPr>
              <w:t>contractuelen</w:t>
            </w:r>
          </w:p>
        </w:tc>
        <w:tc>
          <w:tcPr>
            <w:tcW w:w="1418" w:type="dxa"/>
          </w:tcPr>
          <w:p w14:paraId="5B64EA20" w14:textId="77777777" w:rsidR="007859E5" w:rsidRPr="00831F5A" w:rsidRDefault="007859E5" w:rsidP="00A36C91">
            <w:pPr>
              <w:pStyle w:val="Plattetekst21"/>
              <w:spacing w:after="0"/>
              <w:ind w:left="0"/>
              <w:jc w:val="left"/>
              <w:rPr>
                <w:rFonts w:cs="Arial"/>
                <w:sz w:val="16"/>
                <w:szCs w:val="16"/>
                <w:lang w:val="nl-BE"/>
              </w:rPr>
            </w:pPr>
          </w:p>
          <w:p w14:paraId="4976B733" w14:textId="77777777" w:rsidR="007859E5" w:rsidRPr="00831F5A" w:rsidRDefault="007859E5" w:rsidP="00A36C91">
            <w:pPr>
              <w:pStyle w:val="Plattetekst21"/>
              <w:spacing w:after="0"/>
              <w:ind w:left="0"/>
              <w:jc w:val="left"/>
              <w:rPr>
                <w:rFonts w:cs="Arial"/>
                <w:sz w:val="16"/>
                <w:szCs w:val="16"/>
                <w:lang w:val="nl-BE"/>
              </w:rPr>
            </w:pPr>
          </w:p>
          <w:p w14:paraId="6A5EF6BE"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p w14:paraId="582CC158"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tc>
        <w:tc>
          <w:tcPr>
            <w:tcW w:w="1276" w:type="dxa"/>
          </w:tcPr>
          <w:p w14:paraId="48024381" w14:textId="77777777" w:rsidR="007859E5" w:rsidRPr="00831F5A" w:rsidRDefault="007859E5" w:rsidP="00A36C91">
            <w:pPr>
              <w:pStyle w:val="Plattetekst21"/>
              <w:spacing w:after="0"/>
              <w:ind w:left="0"/>
              <w:jc w:val="left"/>
              <w:rPr>
                <w:rFonts w:cs="Arial"/>
                <w:sz w:val="16"/>
                <w:szCs w:val="16"/>
                <w:lang w:val="nl-BE"/>
              </w:rPr>
            </w:pPr>
          </w:p>
          <w:p w14:paraId="19E49358" w14:textId="77777777" w:rsidR="007859E5" w:rsidRPr="00831F5A" w:rsidRDefault="007859E5" w:rsidP="00A36C91">
            <w:pPr>
              <w:pStyle w:val="Plattetekst21"/>
              <w:spacing w:after="0"/>
              <w:ind w:left="0"/>
              <w:jc w:val="left"/>
              <w:rPr>
                <w:rFonts w:cs="Arial"/>
                <w:sz w:val="16"/>
                <w:szCs w:val="16"/>
                <w:lang w:val="nl-BE"/>
              </w:rPr>
            </w:pPr>
          </w:p>
          <w:p w14:paraId="70F54486"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0C52B34E"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Nee, uitkering ziekenfonds</w:t>
            </w:r>
          </w:p>
        </w:tc>
        <w:tc>
          <w:tcPr>
            <w:tcW w:w="1701" w:type="dxa"/>
          </w:tcPr>
          <w:p w14:paraId="5BB57D18" w14:textId="77777777" w:rsidR="007859E5" w:rsidRPr="00831F5A" w:rsidRDefault="007859E5" w:rsidP="00A36C91">
            <w:pPr>
              <w:pStyle w:val="Plattetekst21"/>
              <w:spacing w:after="0"/>
              <w:ind w:left="0"/>
              <w:jc w:val="left"/>
              <w:rPr>
                <w:rFonts w:cs="Arial"/>
                <w:sz w:val="16"/>
                <w:szCs w:val="16"/>
                <w:lang w:val="nl-BE"/>
              </w:rPr>
            </w:pPr>
          </w:p>
          <w:p w14:paraId="5C8CDFAD" w14:textId="77777777" w:rsidR="007859E5" w:rsidRPr="00831F5A" w:rsidRDefault="007859E5" w:rsidP="00A36C91">
            <w:pPr>
              <w:pStyle w:val="Plattetekst21"/>
              <w:spacing w:after="0"/>
              <w:ind w:left="0"/>
              <w:jc w:val="left"/>
              <w:rPr>
                <w:rFonts w:cs="Arial"/>
                <w:sz w:val="16"/>
                <w:szCs w:val="16"/>
                <w:lang w:val="nl-BE"/>
              </w:rPr>
            </w:pPr>
          </w:p>
          <w:p w14:paraId="236DE783"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4A574323"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842" w:type="dxa"/>
          </w:tcPr>
          <w:p w14:paraId="10B7788C" w14:textId="77777777" w:rsidR="007859E5" w:rsidRPr="00831F5A" w:rsidRDefault="007859E5" w:rsidP="00A36C91">
            <w:pPr>
              <w:pStyle w:val="Plattetekst21"/>
              <w:spacing w:after="0"/>
              <w:ind w:left="0"/>
              <w:jc w:val="left"/>
              <w:rPr>
                <w:rFonts w:cs="Arial"/>
                <w:sz w:val="16"/>
                <w:szCs w:val="16"/>
                <w:lang w:val="nl-BE"/>
              </w:rPr>
            </w:pPr>
          </w:p>
          <w:p w14:paraId="69985CBD" w14:textId="77777777" w:rsidR="007859E5" w:rsidRPr="00831F5A" w:rsidRDefault="007859E5" w:rsidP="00A36C91">
            <w:pPr>
              <w:pStyle w:val="Plattetekst21"/>
              <w:spacing w:after="0"/>
              <w:ind w:left="0"/>
              <w:jc w:val="left"/>
              <w:rPr>
                <w:rFonts w:cs="Arial"/>
                <w:sz w:val="16"/>
                <w:szCs w:val="16"/>
                <w:lang w:val="nl-BE"/>
              </w:rPr>
            </w:pPr>
          </w:p>
          <w:p w14:paraId="152A9C40"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1EB8F1B5"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560" w:type="dxa"/>
          </w:tcPr>
          <w:p w14:paraId="1D717479" w14:textId="77777777" w:rsidR="007859E5" w:rsidRPr="00831F5A" w:rsidRDefault="007859E5" w:rsidP="00A36C91">
            <w:pPr>
              <w:pStyle w:val="Plattetekst21"/>
              <w:spacing w:after="0"/>
              <w:ind w:left="0"/>
              <w:jc w:val="left"/>
              <w:rPr>
                <w:rFonts w:cs="Arial"/>
                <w:sz w:val="16"/>
                <w:szCs w:val="16"/>
                <w:lang w:val="nl-BE"/>
              </w:rPr>
            </w:pPr>
          </w:p>
          <w:p w14:paraId="248DF610" w14:textId="77777777" w:rsidR="007859E5" w:rsidRPr="00831F5A" w:rsidRDefault="007859E5" w:rsidP="00A36C91">
            <w:pPr>
              <w:pStyle w:val="Plattetekst21"/>
              <w:spacing w:after="0"/>
              <w:ind w:left="0"/>
              <w:jc w:val="left"/>
              <w:rPr>
                <w:rFonts w:cs="Arial"/>
                <w:sz w:val="16"/>
                <w:szCs w:val="16"/>
                <w:lang w:val="nl-BE"/>
              </w:rPr>
            </w:pPr>
          </w:p>
          <w:p w14:paraId="75258ED0"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3CE4BAF2"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275" w:type="dxa"/>
          </w:tcPr>
          <w:p w14:paraId="2DE4B9A5" w14:textId="77777777" w:rsidR="007859E5" w:rsidRPr="00831F5A" w:rsidRDefault="007859E5" w:rsidP="00A36C91">
            <w:pPr>
              <w:pStyle w:val="Plattetekst21"/>
              <w:spacing w:after="0"/>
              <w:ind w:left="0"/>
              <w:jc w:val="left"/>
              <w:rPr>
                <w:rFonts w:cs="Arial"/>
                <w:sz w:val="16"/>
                <w:szCs w:val="16"/>
                <w:lang w:val="nl-BE"/>
              </w:rPr>
            </w:pPr>
          </w:p>
          <w:p w14:paraId="3AB2BFB7" w14:textId="77777777" w:rsidR="007859E5" w:rsidRPr="00831F5A" w:rsidRDefault="007859E5" w:rsidP="00A36C91">
            <w:pPr>
              <w:pStyle w:val="Plattetekst21"/>
              <w:spacing w:after="0"/>
              <w:ind w:left="0"/>
              <w:jc w:val="left"/>
              <w:rPr>
                <w:rFonts w:cs="Arial"/>
                <w:sz w:val="16"/>
                <w:szCs w:val="16"/>
                <w:lang w:val="nl-BE"/>
              </w:rPr>
            </w:pPr>
          </w:p>
          <w:p w14:paraId="7671A1F9"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005FCD24" w14:textId="77777777" w:rsidR="007859E5" w:rsidRPr="00831F5A" w:rsidRDefault="007859E5" w:rsidP="00A36C91">
            <w:pPr>
              <w:pStyle w:val="Plattetekst21"/>
              <w:spacing w:after="0"/>
              <w:ind w:left="0"/>
              <w:jc w:val="left"/>
              <w:rPr>
                <w:rFonts w:cs="Arial"/>
                <w:sz w:val="16"/>
                <w:szCs w:val="16"/>
                <w:lang w:val="nl-BE"/>
              </w:rPr>
            </w:pPr>
            <w:proofErr w:type="spellStart"/>
            <w:r w:rsidRPr="00831F5A">
              <w:rPr>
                <w:rFonts w:cs="Arial"/>
                <w:sz w:val="16"/>
                <w:szCs w:val="16"/>
                <w:lang w:val="nl-BE"/>
              </w:rPr>
              <w:t>Nvt</w:t>
            </w:r>
            <w:proofErr w:type="spellEnd"/>
            <w:r w:rsidRPr="00831F5A">
              <w:rPr>
                <w:rFonts w:cs="Arial"/>
                <w:sz w:val="16"/>
                <w:szCs w:val="16"/>
                <w:lang w:val="nl-BE"/>
              </w:rPr>
              <w:t>.</w:t>
            </w:r>
          </w:p>
        </w:tc>
        <w:tc>
          <w:tcPr>
            <w:tcW w:w="993" w:type="dxa"/>
          </w:tcPr>
          <w:p w14:paraId="779B198C" w14:textId="5E481876" w:rsidR="007859E5" w:rsidRPr="00831F5A" w:rsidRDefault="007859E5" w:rsidP="00A36C91">
            <w:pPr>
              <w:pStyle w:val="Plattetekst21"/>
              <w:spacing w:after="0"/>
              <w:ind w:left="0"/>
              <w:jc w:val="left"/>
              <w:rPr>
                <w:rFonts w:cs="Arial"/>
                <w:sz w:val="16"/>
                <w:szCs w:val="16"/>
                <w:lang w:val="nl-BE"/>
              </w:rPr>
            </w:pPr>
          </w:p>
          <w:p w14:paraId="1430062D" w14:textId="77777777" w:rsidR="007859E5" w:rsidRPr="00831F5A" w:rsidRDefault="007859E5" w:rsidP="00A36C91">
            <w:pPr>
              <w:pStyle w:val="Plattetekst21"/>
              <w:spacing w:after="0"/>
              <w:ind w:left="0"/>
              <w:jc w:val="left"/>
              <w:rPr>
                <w:rFonts w:cs="Arial"/>
                <w:sz w:val="16"/>
                <w:szCs w:val="16"/>
                <w:lang w:val="nl-BE"/>
              </w:rPr>
            </w:pPr>
          </w:p>
          <w:p w14:paraId="116998A2"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05324985" w14:textId="1B113FBE"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134" w:type="dxa"/>
          </w:tcPr>
          <w:p w14:paraId="7AA52347" w14:textId="77777777" w:rsidR="007859E5" w:rsidRPr="00831F5A" w:rsidRDefault="007859E5" w:rsidP="00A36C91">
            <w:pPr>
              <w:pStyle w:val="Plattetekst21"/>
              <w:spacing w:after="0"/>
              <w:ind w:left="0"/>
              <w:jc w:val="left"/>
              <w:rPr>
                <w:rFonts w:cs="Arial"/>
                <w:sz w:val="16"/>
                <w:szCs w:val="16"/>
                <w:lang w:val="nl-BE"/>
              </w:rPr>
            </w:pPr>
          </w:p>
          <w:p w14:paraId="2C476018" w14:textId="77777777" w:rsidR="007859E5" w:rsidRPr="00831F5A" w:rsidRDefault="007859E5" w:rsidP="00A36C91">
            <w:pPr>
              <w:pStyle w:val="Plattetekst21"/>
              <w:spacing w:after="0"/>
              <w:ind w:left="0"/>
              <w:jc w:val="left"/>
              <w:rPr>
                <w:rFonts w:cs="Arial"/>
                <w:sz w:val="16"/>
                <w:szCs w:val="16"/>
                <w:lang w:val="nl-BE"/>
              </w:rPr>
            </w:pPr>
          </w:p>
          <w:p w14:paraId="493E3197"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6643FD66" w14:textId="72014286"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r>
      <w:tr w:rsidR="007859E5" w:rsidRPr="00037A46" w14:paraId="19C11FC1" w14:textId="595D2239" w:rsidTr="00DD039E">
        <w:trPr>
          <w:trHeight w:val="300"/>
        </w:trPr>
        <w:tc>
          <w:tcPr>
            <w:tcW w:w="2263" w:type="dxa"/>
            <w:shd w:val="clear" w:color="auto" w:fill="D9D9D9" w:themeFill="background1" w:themeFillShade="D9"/>
          </w:tcPr>
          <w:p w14:paraId="160CE656" w14:textId="275DA5CE" w:rsidR="007859E5" w:rsidRPr="00831F5A" w:rsidRDefault="00831F5A" w:rsidP="00A36C91">
            <w:pPr>
              <w:pStyle w:val="Plattetekst21"/>
              <w:spacing w:after="0"/>
              <w:ind w:left="0"/>
              <w:jc w:val="left"/>
              <w:rPr>
                <w:rFonts w:cs="Arial"/>
                <w:sz w:val="16"/>
                <w:szCs w:val="16"/>
                <w:lang w:val="nl-BE"/>
              </w:rPr>
            </w:pPr>
            <w:r w:rsidRPr="00831F5A">
              <w:rPr>
                <w:rFonts w:cs="Arial"/>
                <w:bCs/>
                <w:iCs/>
                <w:sz w:val="16"/>
                <w:szCs w:val="16"/>
                <w:lang w:val="nl-BE"/>
              </w:rPr>
              <w:t>G</w:t>
            </w:r>
            <w:r w:rsidR="007859E5" w:rsidRPr="00831F5A">
              <w:rPr>
                <w:rFonts w:cs="Arial"/>
                <w:bCs/>
                <w:iCs/>
                <w:sz w:val="16"/>
                <w:szCs w:val="16"/>
                <w:lang w:val="nl-BE"/>
              </w:rPr>
              <w:t>eboorteverlof</w:t>
            </w:r>
            <w:r w:rsidR="007859E5" w:rsidRPr="00831F5A">
              <w:rPr>
                <w:rFonts w:cs="Arial"/>
                <w:sz w:val="16"/>
                <w:szCs w:val="16"/>
                <w:lang w:val="nl-BE"/>
              </w:rPr>
              <w:t xml:space="preserve"> voor</w:t>
            </w:r>
          </w:p>
          <w:p w14:paraId="07ED24DF" w14:textId="77777777" w:rsidR="007859E5" w:rsidRPr="00831F5A" w:rsidRDefault="007859E5" w:rsidP="00A36C91">
            <w:pPr>
              <w:pStyle w:val="Plattetekst21"/>
              <w:numPr>
                <w:ilvl w:val="0"/>
                <w:numId w:val="26"/>
              </w:numPr>
              <w:spacing w:after="0"/>
              <w:jc w:val="left"/>
              <w:rPr>
                <w:rFonts w:cs="Arial"/>
                <w:sz w:val="16"/>
                <w:szCs w:val="16"/>
                <w:lang w:val="nl-BE"/>
              </w:rPr>
            </w:pPr>
            <w:r w:rsidRPr="00831F5A">
              <w:rPr>
                <w:rFonts w:cs="Arial"/>
                <w:sz w:val="16"/>
                <w:szCs w:val="16"/>
                <w:lang w:val="nl-BE"/>
              </w:rPr>
              <w:t>statutairen</w:t>
            </w:r>
          </w:p>
          <w:p w14:paraId="2FAC3842" w14:textId="77777777" w:rsidR="007859E5" w:rsidRPr="00831F5A" w:rsidRDefault="007859E5" w:rsidP="00A36C91">
            <w:pPr>
              <w:pStyle w:val="Plattetekst21"/>
              <w:numPr>
                <w:ilvl w:val="0"/>
                <w:numId w:val="26"/>
              </w:numPr>
              <w:spacing w:after="0"/>
              <w:jc w:val="left"/>
              <w:rPr>
                <w:rFonts w:cs="Arial"/>
                <w:sz w:val="16"/>
                <w:szCs w:val="16"/>
                <w:lang w:val="nl-BE"/>
              </w:rPr>
            </w:pPr>
            <w:r w:rsidRPr="00831F5A">
              <w:rPr>
                <w:rFonts w:cs="Arial"/>
                <w:sz w:val="16"/>
                <w:szCs w:val="16"/>
                <w:lang w:val="nl-BE"/>
              </w:rPr>
              <w:t>contractuelen</w:t>
            </w:r>
          </w:p>
        </w:tc>
        <w:tc>
          <w:tcPr>
            <w:tcW w:w="1418" w:type="dxa"/>
          </w:tcPr>
          <w:p w14:paraId="7CF70D1F" w14:textId="77777777" w:rsidR="007859E5" w:rsidRPr="00831F5A" w:rsidRDefault="007859E5" w:rsidP="00A36C91">
            <w:pPr>
              <w:pStyle w:val="Plattetekst21"/>
              <w:spacing w:after="0"/>
              <w:ind w:left="0"/>
              <w:jc w:val="left"/>
              <w:rPr>
                <w:rFonts w:cs="Arial"/>
                <w:sz w:val="16"/>
                <w:szCs w:val="16"/>
                <w:lang w:val="nl-BE"/>
              </w:rPr>
            </w:pPr>
          </w:p>
          <w:p w14:paraId="2CBF539A"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p w14:paraId="42F6FFCE"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tc>
        <w:tc>
          <w:tcPr>
            <w:tcW w:w="1276" w:type="dxa"/>
          </w:tcPr>
          <w:p w14:paraId="18C058E8" w14:textId="77777777" w:rsidR="007859E5" w:rsidRPr="00831F5A" w:rsidRDefault="007859E5" w:rsidP="00A36C91">
            <w:pPr>
              <w:pStyle w:val="Plattetekst21"/>
              <w:spacing w:after="0"/>
              <w:ind w:left="0"/>
              <w:jc w:val="left"/>
              <w:rPr>
                <w:rFonts w:cs="Arial"/>
                <w:sz w:val="16"/>
                <w:szCs w:val="16"/>
                <w:lang w:val="nl-BE"/>
              </w:rPr>
            </w:pPr>
          </w:p>
          <w:p w14:paraId="261F724E"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1F70F2C1" w14:textId="38331CBE"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Nee, uitkering ziekenfonds/ ZIV</w:t>
            </w:r>
          </w:p>
        </w:tc>
        <w:tc>
          <w:tcPr>
            <w:tcW w:w="1701" w:type="dxa"/>
          </w:tcPr>
          <w:p w14:paraId="4B1D967A" w14:textId="77777777" w:rsidR="007859E5" w:rsidRPr="00831F5A" w:rsidRDefault="007859E5" w:rsidP="00A36C91">
            <w:pPr>
              <w:pStyle w:val="Plattetekst21"/>
              <w:spacing w:after="0"/>
              <w:ind w:left="0"/>
              <w:jc w:val="left"/>
              <w:rPr>
                <w:rFonts w:cs="Arial"/>
                <w:sz w:val="16"/>
                <w:szCs w:val="16"/>
                <w:lang w:val="nl-BE"/>
              </w:rPr>
            </w:pPr>
          </w:p>
          <w:p w14:paraId="4922A148"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509234A0"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842" w:type="dxa"/>
          </w:tcPr>
          <w:p w14:paraId="13F9C66E" w14:textId="77777777" w:rsidR="007859E5" w:rsidRPr="00831F5A" w:rsidRDefault="007859E5" w:rsidP="00A36C91">
            <w:pPr>
              <w:pStyle w:val="Plattetekst21"/>
              <w:spacing w:after="0"/>
              <w:ind w:left="0"/>
              <w:jc w:val="left"/>
              <w:rPr>
                <w:rFonts w:cs="Arial"/>
                <w:sz w:val="16"/>
                <w:szCs w:val="16"/>
                <w:lang w:val="nl-BE"/>
              </w:rPr>
            </w:pPr>
          </w:p>
          <w:p w14:paraId="703E1771"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19162DB5"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02E442B6" w14:textId="77777777" w:rsidR="007859E5" w:rsidRPr="00831F5A" w:rsidRDefault="007859E5" w:rsidP="00A36C91">
            <w:pPr>
              <w:pStyle w:val="Plattetekst21"/>
              <w:spacing w:after="0"/>
              <w:ind w:left="0"/>
              <w:jc w:val="left"/>
              <w:rPr>
                <w:rFonts w:cs="Arial"/>
                <w:sz w:val="16"/>
                <w:szCs w:val="16"/>
                <w:lang w:val="nl-BE"/>
              </w:rPr>
            </w:pPr>
          </w:p>
        </w:tc>
        <w:tc>
          <w:tcPr>
            <w:tcW w:w="1560" w:type="dxa"/>
          </w:tcPr>
          <w:p w14:paraId="3F36A6ED" w14:textId="77777777" w:rsidR="007859E5" w:rsidRPr="00831F5A" w:rsidRDefault="007859E5" w:rsidP="00A36C91">
            <w:pPr>
              <w:pStyle w:val="Plattetekst21"/>
              <w:spacing w:after="0"/>
              <w:ind w:left="0"/>
              <w:jc w:val="left"/>
              <w:rPr>
                <w:rFonts w:cs="Arial"/>
                <w:sz w:val="16"/>
                <w:szCs w:val="16"/>
                <w:lang w:val="nl-BE"/>
              </w:rPr>
            </w:pPr>
          </w:p>
          <w:p w14:paraId="2EAE9EAD"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7C0A1EBF"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275" w:type="dxa"/>
          </w:tcPr>
          <w:p w14:paraId="2B4A85AA" w14:textId="77777777" w:rsidR="007859E5" w:rsidRPr="00831F5A" w:rsidRDefault="007859E5" w:rsidP="00A36C91">
            <w:pPr>
              <w:pStyle w:val="Plattetekst21"/>
              <w:spacing w:after="0"/>
              <w:ind w:left="0"/>
              <w:jc w:val="left"/>
              <w:rPr>
                <w:rFonts w:cs="Arial"/>
                <w:sz w:val="16"/>
                <w:szCs w:val="16"/>
                <w:lang w:val="nl-BE"/>
              </w:rPr>
            </w:pPr>
          </w:p>
          <w:p w14:paraId="64F6A365"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64E75552" w14:textId="77777777" w:rsidR="007859E5" w:rsidRPr="00831F5A" w:rsidRDefault="007859E5" w:rsidP="00A36C91">
            <w:pPr>
              <w:pStyle w:val="Plattetekst21"/>
              <w:spacing w:after="0"/>
              <w:ind w:left="0"/>
              <w:jc w:val="left"/>
              <w:rPr>
                <w:rFonts w:cs="Arial"/>
                <w:sz w:val="16"/>
                <w:szCs w:val="16"/>
                <w:lang w:val="nl-BE"/>
              </w:rPr>
            </w:pPr>
            <w:proofErr w:type="spellStart"/>
            <w:r w:rsidRPr="00831F5A">
              <w:rPr>
                <w:rFonts w:cs="Arial"/>
                <w:sz w:val="16"/>
                <w:szCs w:val="16"/>
                <w:lang w:val="nl-BE"/>
              </w:rPr>
              <w:t>Nvt</w:t>
            </w:r>
            <w:proofErr w:type="spellEnd"/>
            <w:r w:rsidRPr="00831F5A">
              <w:rPr>
                <w:rFonts w:cs="Arial"/>
                <w:sz w:val="16"/>
                <w:szCs w:val="16"/>
                <w:lang w:val="nl-BE"/>
              </w:rPr>
              <w:t>.</w:t>
            </w:r>
          </w:p>
        </w:tc>
        <w:tc>
          <w:tcPr>
            <w:tcW w:w="993" w:type="dxa"/>
          </w:tcPr>
          <w:p w14:paraId="7FC71B09" w14:textId="28AAAFEF" w:rsidR="007859E5" w:rsidRPr="00831F5A" w:rsidRDefault="007859E5" w:rsidP="00A36C91">
            <w:pPr>
              <w:pStyle w:val="Plattetekst21"/>
              <w:spacing w:after="0"/>
              <w:ind w:left="0"/>
              <w:jc w:val="left"/>
              <w:rPr>
                <w:rFonts w:cs="Arial"/>
                <w:sz w:val="16"/>
                <w:szCs w:val="16"/>
                <w:lang w:val="nl-BE"/>
              </w:rPr>
            </w:pPr>
          </w:p>
          <w:p w14:paraId="14651F42"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7BCFEE72" w14:textId="066CEB8A"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134" w:type="dxa"/>
          </w:tcPr>
          <w:p w14:paraId="3561F243" w14:textId="77777777" w:rsidR="007859E5" w:rsidRPr="00831F5A" w:rsidRDefault="007859E5" w:rsidP="00A36C91">
            <w:pPr>
              <w:pStyle w:val="Plattetekst21"/>
              <w:spacing w:after="0"/>
              <w:ind w:left="0"/>
              <w:jc w:val="left"/>
              <w:rPr>
                <w:rFonts w:cs="Arial"/>
                <w:sz w:val="16"/>
                <w:szCs w:val="16"/>
                <w:lang w:val="nl-BE"/>
              </w:rPr>
            </w:pPr>
          </w:p>
          <w:p w14:paraId="0997B741"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64F6BB52" w14:textId="1C5DF3F6"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r>
      <w:tr w:rsidR="007859E5" w:rsidRPr="00037A46" w14:paraId="1CAFBE99" w14:textId="77777777" w:rsidTr="00DD039E">
        <w:trPr>
          <w:trHeight w:val="682"/>
        </w:trPr>
        <w:tc>
          <w:tcPr>
            <w:tcW w:w="2263" w:type="dxa"/>
            <w:tcBorders>
              <w:bottom w:val="single" w:sz="4" w:space="0" w:color="000000" w:themeColor="text1"/>
            </w:tcBorders>
            <w:shd w:val="clear" w:color="auto" w:fill="D9D9D9" w:themeFill="background1" w:themeFillShade="D9"/>
          </w:tcPr>
          <w:p w14:paraId="2C09CB3B"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lastRenderedPageBreak/>
              <w:t>Benaming van het verlof of de afwezigheid</w:t>
            </w:r>
            <w:r w:rsidRPr="00831F5A">
              <w:rPr>
                <w:rStyle w:val="Voetnootmarkering"/>
                <w:rFonts w:cs="Arial"/>
                <w:b/>
                <w:sz w:val="16"/>
                <w:szCs w:val="16"/>
                <w:lang w:val="nl-BE"/>
              </w:rPr>
              <w:footnoteReference w:id="4"/>
            </w:r>
          </w:p>
        </w:tc>
        <w:tc>
          <w:tcPr>
            <w:tcW w:w="1418" w:type="dxa"/>
            <w:shd w:val="clear" w:color="auto" w:fill="D9D9D9" w:themeFill="background1" w:themeFillShade="D9"/>
          </w:tcPr>
          <w:p w14:paraId="0EC65B5F"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Administratieve toestand</w:t>
            </w:r>
          </w:p>
        </w:tc>
        <w:tc>
          <w:tcPr>
            <w:tcW w:w="1276" w:type="dxa"/>
            <w:shd w:val="clear" w:color="auto" w:fill="D9D9D9" w:themeFill="background1" w:themeFillShade="D9"/>
          </w:tcPr>
          <w:p w14:paraId="6AAC032E"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Recht op salaris</w:t>
            </w:r>
          </w:p>
        </w:tc>
        <w:tc>
          <w:tcPr>
            <w:tcW w:w="1701" w:type="dxa"/>
            <w:shd w:val="clear" w:color="auto" w:fill="D9D9D9" w:themeFill="background1" w:themeFillShade="D9"/>
          </w:tcPr>
          <w:p w14:paraId="6402FA56"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Recht op periodieke salarisverhoging</w:t>
            </w:r>
          </w:p>
        </w:tc>
        <w:tc>
          <w:tcPr>
            <w:tcW w:w="1842" w:type="dxa"/>
            <w:shd w:val="clear" w:color="auto" w:fill="D9D9D9" w:themeFill="background1" w:themeFillShade="D9"/>
          </w:tcPr>
          <w:p w14:paraId="614AB465"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Recht op schaalanciënniteit</w:t>
            </w:r>
          </w:p>
        </w:tc>
        <w:tc>
          <w:tcPr>
            <w:tcW w:w="1560" w:type="dxa"/>
            <w:shd w:val="clear" w:color="auto" w:fill="D9D9D9" w:themeFill="background1" w:themeFillShade="D9"/>
          </w:tcPr>
          <w:p w14:paraId="09F769E6"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Opbouw vakantiedagen</w:t>
            </w:r>
          </w:p>
        </w:tc>
        <w:tc>
          <w:tcPr>
            <w:tcW w:w="1275" w:type="dxa"/>
            <w:shd w:val="clear" w:color="auto" w:fill="D9D9D9" w:themeFill="background1" w:themeFillShade="D9"/>
          </w:tcPr>
          <w:p w14:paraId="73A662E9"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Opbouw ziektekrediet</w:t>
            </w:r>
          </w:p>
        </w:tc>
        <w:tc>
          <w:tcPr>
            <w:tcW w:w="993" w:type="dxa"/>
          </w:tcPr>
          <w:p w14:paraId="512D73FD" w14:textId="327B0BA7" w:rsidR="007859E5" w:rsidRPr="00831F5A" w:rsidRDefault="007859E5" w:rsidP="00B63587">
            <w:pPr>
              <w:pStyle w:val="Plattetekst21"/>
              <w:ind w:left="0"/>
              <w:jc w:val="left"/>
              <w:rPr>
                <w:rFonts w:cs="Arial"/>
                <w:b/>
                <w:sz w:val="16"/>
                <w:szCs w:val="16"/>
                <w:lang w:val="nl-BE"/>
              </w:rPr>
            </w:pPr>
            <w:proofErr w:type="spellStart"/>
            <w:r w:rsidRPr="00831F5A">
              <w:rPr>
                <w:rFonts w:cs="Arial"/>
                <w:b/>
                <w:sz w:val="16"/>
                <w:szCs w:val="16"/>
                <w:lang w:val="nl-BE"/>
              </w:rPr>
              <w:t>Vakantie-geld</w:t>
            </w:r>
            <w:proofErr w:type="spellEnd"/>
          </w:p>
        </w:tc>
        <w:tc>
          <w:tcPr>
            <w:tcW w:w="1134" w:type="dxa"/>
          </w:tcPr>
          <w:p w14:paraId="57C787C0" w14:textId="77777777" w:rsidR="007859E5" w:rsidRPr="00831F5A" w:rsidRDefault="007859E5" w:rsidP="00B63587">
            <w:pPr>
              <w:pStyle w:val="Plattetekst21"/>
              <w:ind w:left="0"/>
              <w:jc w:val="left"/>
              <w:rPr>
                <w:rFonts w:cs="Arial"/>
                <w:b/>
                <w:sz w:val="16"/>
                <w:szCs w:val="16"/>
                <w:lang w:val="nl-BE"/>
              </w:rPr>
            </w:pPr>
            <w:proofErr w:type="spellStart"/>
            <w:r w:rsidRPr="00831F5A">
              <w:rPr>
                <w:rFonts w:cs="Arial"/>
                <w:b/>
                <w:sz w:val="16"/>
                <w:szCs w:val="16"/>
                <w:lang w:val="nl-BE"/>
              </w:rPr>
              <w:t>Eindejaars</w:t>
            </w:r>
            <w:proofErr w:type="spellEnd"/>
            <w:r w:rsidRPr="00831F5A">
              <w:rPr>
                <w:rFonts w:cs="Arial"/>
                <w:b/>
                <w:sz w:val="16"/>
                <w:szCs w:val="16"/>
                <w:lang w:val="nl-BE"/>
              </w:rPr>
              <w:t>-toelage</w:t>
            </w:r>
          </w:p>
        </w:tc>
      </w:tr>
      <w:tr w:rsidR="007859E5" w:rsidRPr="00037A46" w14:paraId="297F338E" w14:textId="236EDB9E" w:rsidTr="00DD039E">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966E018"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Pleegzorgverlof voor:</w:t>
            </w:r>
          </w:p>
          <w:p w14:paraId="2AAFDE79" w14:textId="77777777" w:rsidR="007859E5" w:rsidRPr="00831F5A" w:rsidRDefault="007859E5" w:rsidP="00A36C91">
            <w:pPr>
              <w:pStyle w:val="Plattetekst21"/>
              <w:numPr>
                <w:ilvl w:val="0"/>
                <w:numId w:val="22"/>
              </w:numPr>
              <w:spacing w:after="0"/>
              <w:jc w:val="left"/>
              <w:rPr>
                <w:rFonts w:cs="Arial"/>
                <w:sz w:val="16"/>
                <w:szCs w:val="16"/>
                <w:lang w:val="nl-BE"/>
              </w:rPr>
            </w:pPr>
            <w:r w:rsidRPr="00831F5A">
              <w:rPr>
                <w:rFonts w:cs="Arial"/>
                <w:sz w:val="16"/>
                <w:szCs w:val="16"/>
                <w:lang w:val="nl-BE"/>
              </w:rPr>
              <w:t>statutairen</w:t>
            </w:r>
          </w:p>
          <w:p w14:paraId="37F6950F" w14:textId="77777777" w:rsidR="007859E5" w:rsidRPr="00831F5A" w:rsidRDefault="007859E5" w:rsidP="00A36C91">
            <w:pPr>
              <w:pStyle w:val="Plattetekst21"/>
              <w:numPr>
                <w:ilvl w:val="0"/>
                <w:numId w:val="22"/>
              </w:numPr>
              <w:spacing w:after="0"/>
              <w:jc w:val="left"/>
              <w:rPr>
                <w:rFonts w:cs="Arial"/>
                <w:sz w:val="16"/>
                <w:szCs w:val="16"/>
                <w:lang w:val="nl-BE"/>
              </w:rPr>
            </w:pPr>
            <w:r w:rsidRPr="00831F5A">
              <w:rPr>
                <w:rFonts w:cs="Arial"/>
                <w:sz w:val="16"/>
                <w:szCs w:val="16"/>
                <w:lang w:val="nl-BE"/>
              </w:rPr>
              <w:t>contractuelen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136C5" w14:textId="77777777" w:rsidR="007859E5" w:rsidRPr="00831F5A" w:rsidRDefault="007859E5" w:rsidP="00A36C91">
            <w:pPr>
              <w:pStyle w:val="Plattetekst21"/>
              <w:spacing w:after="0"/>
              <w:ind w:left="0"/>
              <w:jc w:val="left"/>
              <w:rPr>
                <w:rFonts w:cs="Arial"/>
                <w:sz w:val="16"/>
                <w:szCs w:val="16"/>
                <w:lang w:val="nl-BE"/>
              </w:rPr>
            </w:pPr>
          </w:p>
          <w:p w14:paraId="545EE0A2"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p w14:paraId="56DC821D"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87583" w14:textId="77777777" w:rsidR="007859E5" w:rsidRPr="00831F5A" w:rsidRDefault="007859E5" w:rsidP="00A36C91">
            <w:pPr>
              <w:pStyle w:val="Plattetekst21"/>
              <w:spacing w:after="0"/>
              <w:ind w:left="0"/>
              <w:jc w:val="left"/>
              <w:rPr>
                <w:rFonts w:cs="Arial"/>
                <w:sz w:val="16"/>
                <w:szCs w:val="16"/>
                <w:lang w:val="nl-BE"/>
              </w:rPr>
            </w:pPr>
          </w:p>
          <w:p w14:paraId="7C4120C4"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6992FAE8"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Nee, RVA uitkering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0924A" w14:textId="77777777" w:rsidR="007859E5" w:rsidRPr="00831F5A" w:rsidRDefault="007859E5" w:rsidP="00A36C91">
            <w:pPr>
              <w:pStyle w:val="Plattetekst21"/>
              <w:spacing w:after="0"/>
              <w:ind w:left="0"/>
              <w:jc w:val="left"/>
              <w:rPr>
                <w:rFonts w:cs="Arial"/>
                <w:sz w:val="16"/>
                <w:szCs w:val="16"/>
                <w:lang w:val="nl-BE"/>
              </w:rPr>
            </w:pPr>
          </w:p>
          <w:p w14:paraId="7EE8EBF5"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48B1165B"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380BE" w14:textId="77777777" w:rsidR="007859E5" w:rsidRPr="00831F5A" w:rsidRDefault="007859E5" w:rsidP="00A36C91">
            <w:pPr>
              <w:pStyle w:val="Plattetekst21"/>
              <w:spacing w:after="0"/>
              <w:ind w:left="0"/>
              <w:jc w:val="left"/>
              <w:rPr>
                <w:rFonts w:cs="Arial"/>
                <w:sz w:val="16"/>
                <w:szCs w:val="16"/>
                <w:lang w:val="nl-BE"/>
              </w:rPr>
            </w:pPr>
          </w:p>
          <w:p w14:paraId="1D5ED124"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598A1CEE"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2284C1E9" w14:textId="77777777" w:rsidR="007859E5" w:rsidRPr="00831F5A" w:rsidRDefault="007859E5" w:rsidP="00A36C91">
            <w:pPr>
              <w:pStyle w:val="Plattetekst21"/>
              <w:spacing w:after="0"/>
              <w:ind w:left="0"/>
              <w:jc w:val="left"/>
              <w:rPr>
                <w:rFonts w:cs="Arial"/>
                <w:sz w:val="16"/>
                <w:szCs w:val="16"/>
                <w:lang w:val="nl-BE"/>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1234E" w14:textId="77777777" w:rsidR="007859E5" w:rsidRPr="00831F5A" w:rsidRDefault="007859E5" w:rsidP="00A36C91">
            <w:pPr>
              <w:pStyle w:val="Plattetekst21"/>
              <w:spacing w:after="0"/>
              <w:ind w:left="0"/>
              <w:jc w:val="left"/>
              <w:rPr>
                <w:rFonts w:cs="Arial"/>
                <w:sz w:val="16"/>
                <w:szCs w:val="16"/>
                <w:lang w:val="nl-BE"/>
              </w:rPr>
            </w:pPr>
          </w:p>
          <w:p w14:paraId="4A143410"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041E23A8"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134A8F58" w14:textId="77777777" w:rsidR="007859E5" w:rsidRPr="00831F5A" w:rsidRDefault="007859E5" w:rsidP="00A36C91">
            <w:pPr>
              <w:pStyle w:val="Plattetekst21"/>
              <w:spacing w:after="0"/>
              <w:ind w:left="0"/>
              <w:jc w:val="left"/>
              <w:rPr>
                <w:rFonts w:cs="Arial"/>
                <w:sz w:val="16"/>
                <w:szCs w:val="16"/>
                <w:lang w:val="nl-BE"/>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9D5FF" w14:textId="77777777" w:rsidR="007859E5" w:rsidRPr="00831F5A" w:rsidRDefault="007859E5" w:rsidP="00A36C91">
            <w:pPr>
              <w:pStyle w:val="Plattetekst21"/>
              <w:spacing w:after="0"/>
              <w:ind w:left="0"/>
              <w:jc w:val="left"/>
              <w:rPr>
                <w:rFonts w:cs="Arial"/>
                <w:sz w:val="16"/>
                <w:szCs w:val="16"/>
                <w:lang w:val="nl-BE"/>
              </w:rPr>
            </w:pPr>
          </w:p>
          <w:p w14:paraId="2D4365DD"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0DA79B0B" w14:textId="77777777" w:rsidR="007859E5" w:rsidRPr="00831F5A" w:rsidRDefault="007859E5" w:rsidP="00A36C91">
            <w:pPr>
              <w:pStyle w:val="Plattetekst21"/>
              <w:spacing w:after="0"/>
              <w:ind w:left="0"/>
              <w:jc w:val="left"/>
              <w:rPr>
                <w:rFonts w:cs="Arial"/>
                <w:sz w:val="16"/>
                <w:szCs w:val="16"/>
                <w:lang w:val="nl-BE"/>
              </w:rPr>
            </w:pPr>
            <w:proofErr w:type="spellStart"/>
            <w:r w:rsidRPr="00831F5A">
              <w:rPr>
                <w:rFonts w:cs="Arial"/>
                <w:sz w:val="16"/>
                <w:szCs w:val="16"/>
                <w:lang w:val="nl-BE"/>
              </w:rPr>
              <w:t>Nvt</w:t>
            </w:r>
            <w:proofErr w:type="spellEnd"/>
            <w:r w:rsidRPr="00831F5A">
              <w:rPr>
                <w:rFonts w:cs="Arial"/>
                <w:sz w:val="16"/>
                <w:szCs w:val="16"/>
                <w:lang w:val="nl-BE"/>
              </w:rPr>
              <w:t>.</w:t>
            </w:r>
          </w:p>
          <w:p w14:paraId="71F39A9B" w14:textId="77777777" w:rsidR="007859E5" w:rsidRPr="00831F5A" w:rsidRDefault="007859E5" w:rsidP="00A36C91">
            <w:pPr>
              <w:pStyle w:val="Plattetekst21"/>
              <w:spacing w:after="0"/>
              <w:ind w:left="0"/>
              <w:jc w:val="left"/>
              <w:rPr>
                <w:rFonts w:cs="Arial"/>
                <w:sz w:val="16"/>
                <w:szCs w:val="16"/>
                <w:lang w:val="nl-BE"/>
              </w:rPr>
            </w:pPr>
          </w:p>
        </w:tc>
        <w:tc>
          <w:tcPr>
            <w:tcW w:w="993" w:type="dxa"/>
          </w:tcPr>
          <w:p w14:paraId="0CF26827" w14:textId="450B795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134" w:type="dxa"/>
          </w:tcPr>
          <w:p w14:paraId="6EEC0620" w14:textId="7CD36C68"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r>
      <w:tr w:rsidR="007859E5" w:rsidRPr="00037A46" w14:paraId="70A5795E" w14:textId="6FB3EFA2" w:rsidTr="00DD039E">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524A46E"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Pleegouderverlof voor:</w:t>
            </w:r>
          </w:p>
          <w:p w14:paraId="42517009" w14:textId="77777777" w:rsidR="007859E5" w:rsidRPr="00831F5A" w:rsidRDefault="007859E5" w:rsidP="00A36C91">
            <w:pPr>
              <w:pStyle w:val="Plattetekst21"/>
              <w:numPr>
                <w:ilvl w:val="0"/>
                <w:numId w:val="105"/>
              </w:numPr>
              <w:spacing w:after="0"/>
              <w:jc w:val="left"/>
              <w:rPr>
                <w:rFonts w:cs="Arial"/>
                <w:sz w:val="16"/>
                <w:szCs w:val="16"/>
                <w:lang w:val="nl-BE"/>
              </w:rPr>
            </w:pPr>
            <w:r w:rsidRPr="00831F5A">
              <w:rPr>
                <w:rFonts w:cs="Arial"/>
                <w:sz w:val="16"/>
                <w:szCs w:val="16"/>
                <w:lang w:val="nl-BE"/>
              </w:rPr>
              <w:t>Statutairen</w:t>
            </w:r>
          </w:p>
          <w:p w14:paraId="55E0137F" w14:textId="7D85D8E5" w:rsidR="007859E5" w:rsidRPr="00831F5A" w:rsidRDefault="007859E5" w:rsidP="00A36C91">
            <w:pPr>
              <w:pStyle w:val="Plattetekst21"/>
              <w:numPr>
                <w:ilvl w:val="0"/>
                <w:numId w:val="105"/>
              </w:numPr>
              <w:spacing w:after="0"/>
              <w:jc w:val="left"/>
              <w:rPr>
                <w:rFonts w:cs="Arial"/>
                <w:sz w:val="16"/>
                <w:szCs w:val="16"/>
                <w:lang w:val="nl-BE"/>
              </w:rPr>
            </w:pPr>
            <w:r w:rsidRPr="00831F5A">
              <w:rPr>
                <w:rFonts w:cs="Arial"/>
                <w:sz w:val="16"/>
                <w:szCs w:val="16"/>
                <w:lang w:val="nl-BE"/>
              </w:rPr>
              <w:t xml:space="preserve">Contractuelen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FA4D1" w14:textId="77777777" w:rsidR="007859E5" w:rsidRPr="00831F5A" w:rsidRDefault="007859E5" w:rsidP="00A36C91">
            <w:pPr>
              <w:pStyle w:val="Plattetekst21"/>
              <w:spacing w:after="0"/>
              <w:ind w:left="0"/>
              <w:jc w:val="left"/>
              <w:rPr>
                <w:rFonts w:cs="Arial"/>
                <w:sz w:val="16"/>
                <w:szCs w:val="16"/>
                <w:lang w:val="nl-BE"/>
              </w:rPr>
            </w:pPr>
          </w:p>
          <w:p w14:paraId="426DE3B5"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p w14:paraId="1058C190" w14:textId="41595609"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F7B93" w14:textId="77777777" w:rsidR="007859E5" w:rsidRPr="00831F5A" w:rsidRDefault="007859E5" w:rsidP="00A36C91">
            <w:pPr>
              <w:pStyle w:val="Plattetekst21"/>
              <w:spacing w:after="0"/>
              <w:ind w:left="0"/>
              <w:jc w:val="left"/>
              <w:rPr>
                <w:rFonts w:cs="Arial"/>
                <w:sz w:val="16"/>
                <w:szCs w:val="16"/>
                <w:lang w:val="nl-BE"/>
              </w:rPr>
            </w:pPr>
          </w:p>
          <w:p w14:paraId="39133E58"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38065D4C" w14:textId="75EB0F69"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Nee, RVA uitkering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4008C" w14:textId="77777777" w:rsidR="007859E5" w:rsidRPr="00831F5A" w:rsidRDefault="007859E5" w:rsidP="00A36C91">
            <w:pPr>
              <w:pStyle w:val="Plattetekst21"/>
              <w:spacing w:after="0"/>
              <w:ind w:left="0"/>
              <w:jc w:val="left"/>
              <w:rPr>
                <w:rFonts w:cs="Arial"/>
                <w:sz w:val="16"/>
                <w:szCs w:val="16"/>
                <w:lang w:val="nl-BE"/>
              </w:rPr>
            </w:pPr>
          </w:p>
          <w:p w14:paraId="699DBE60"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6735F7FC" w14:textId="26E68C2F"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E061E" w14:textId="77777777" w:rsidR="007859E5" w:rsidRPr="00831F5A" w:rsidRDefault="007859E5" w:rsidP="00A36C91">
            <w:pPr>
              <w:pStyle w:val="Plattetekst21"/>
              <w:spacing w:after="0"/>
              <w:ind w:left="0"/>
              <w:jc w:val="left"/>
              <w:rPr>
                <w:rFonts w:cs="Arial"/>
                <w:sz w:val="16"/>
                <w:szCs w:val="16"/>
                <w:lang w:val="nl-BE"/>
              </w:rPr>
            </w:pPr>
          </w:p>
          <w:p w14:paraId="68BEC945"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1C777469" w14:textId="7D42745E"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EDA9E" w14:textId="77777777" w:rsidR="007859E5" w:rsidRPr="00831F5A" w:rsidRDefault="007859E5" w:rsidP="00A36C91">
            <w:pPr>
              <w:pStyle w:val="Plattetekst21"/>
              <w:spacing w:after="0"/>
              <w:ind w:left="0"/>
              <w:jc w:val="left"/>
              <w:rPr>
                <w:rFonts w:cs="Arial"/>
                <w:sz w:val="16"/>
                <w:szCs w:val="16"/>
                <w:lang w:val="nl-BE"/>
              </w:rPr>
            </w:pPr>
          </w:p>
          <w:p w14:paraId="6B3EBE69"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2DB9AF45" w14:textId="7C52B7AC"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28B56" w14:textId="77777777" w:rsidR="007859E5" w:rsidRPr="00831F5A" w:rsidRDefault="007859E5" w:rsidP="00A36C91">
            <w:pPr>
              <w:pStyle w:val="Plattetekst21"/>
              <w:spacing w:after="0"/>
              <w:ind w:left="0"/>
              <w:jc w:val="left"/>
              <w:rPr>
                <w:rFonts w:cs="Arial"/>
                <w:sz w:val="16"/>
                <w:szCs w:val="16"/>
                <w:lang w:val="nl-BE"/>
              </w:rPr>
            </w:pPr>
          </w:p>
          <w:p w14:paraId="0F5BAE75"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4785BCB6" w14:textId="3BEAD1D6" w:rsidR="007859E5" w:rsidRPr="00831F5A" w:rsidRDefault="007859E5" w:rsidP="00A36C91">
            <w:pPr>
              <w:pStyle w:val="Plattetekst21"/>
              <w:spacing w:after="0"/>
              <w:ind w:left="0"/>
              <w:jc w:val="left"/>
              <w:rPr>
                <w:rFonts w:cs="Arial"/>
                <w:sz w:val="16"/>
                <w:szCs w:val="16"/>
                <w:lang w:val="nl-BE"/>
              </w:rPr>
            </w:pPr>
            <w:proofErr w:type="spellStart"/>
            <w:r w:rsidRPr="00831F5A">
              <w:rPr>
                <w:rFonts w:cs="Arial"/>
                <w:sz w:val="16"/>
                <w:szCs w:val="16"/>
                <w:lang w:val="nl-BE"/>
              </w:rPr>
              <w:t>Nvt</w:t>
            </w:r>
            <w:proofErr w:type="spellEnd"/>
          </w:p>
        </w:tc>
        <w:tc>
          <w:tcPr>
            <w:tcW w:w="993" w:type="dxa"/>
          </w:tcPr>
          <w:p w14:paraId="69B3FD37" w14:textId="3F944A56"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134" w:type="dxa"/>
          </w:tcPr>
          <w:p w14:paraId="64FD1D59" w14:textId="5F1E05EA"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r>
      <w:tr w:rsidR="007859E5" w:rsidRPr="00037A46" w14:paraId="5FB02DE6" w14:textId="5D5BD724" w:rsidTr="00DD039E">
        <w:trPr>
          <w:trHeight w:val="300"/>
        </w:trPr>
        <w:tc>
          <w:tcPr>
            <w:tcW w:w="2263" w:type="dxa"/>
            <w:shd w:val="clear" w:color="auto" w:fill="E0E0E0"/>
          </w:tcPr>
          <w:p w14:paraId="0FE9A32F"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Adoptieverlof voor:</w:t>
            </w:r>
          </w:p>
          <w:p w14:paraId="1125F853" w14:textId="77777777" w:rsidR="007859E5" w:rsidRPr="00831F5A" w:rsidRDefault="007859E5" w:rsidP="00A36C91">
            <w:pPr>
              <w:pStyle w:val="Plattetekst21"/>
              <w:numPr>
                <w:ilvl w:val="0"/>
                <w:numId w:val="106"/>
              </w:numPr>
              <w:spacing w:after="0"/>
              <w:jc w:val="left"/>
              <w:rPr>
                <w:rFonts w:cs="Arial"/>
                <w:sz w:val="16"/>
                <w:szCs w:val="16"/>
                <w:lang w:val="nl-BE"/>
              </w:rPr>
            </w:pPr>
            <w:r w:rsidRPr="00831F5A">
              <w:rPr>
                <w:rFonts w:cs="Arial"/>
                <w:sz w:val="16"/>
                <w:szCs w:val="16"/>
                <w:lang w:val="nl-BE"/>
              </w:rPr>
              <w:t>statutairen</w:t>
            </w:r>
          </w:p>
          <w:p w14:paraId="78B44F1B" w14:textId="77777777" w:rsidR="007859E5" w:rsidRPr="00831F5A" w:rsidRDefault="007859E5" w:rsidP="00A36C91">
            <w:pPr>
              <w:pStyle w:val="Plattetekst21"/>
              <w:numPr>
                <w:ilvl w:val="0"/>
                <w:numId w:val="106"/>
              </w:numPr>
              <w:spacing w:after="0"/>
              <w:jc w:val="left"/>
              <w:rPr>
                <w:rFonts w:cs="Arial"/>
                <w:sz w:val="16"/>
                <w:szCs w:val="16"/>
                <w:lang w:val="nl-BE"/>
              </w:rPr>
            </w:pPr>
            <w:r w:rsidRPr="00831F5A">
              <w:rPr>
                <w:rFonts w:cs="Arial"/>
                <w:sz w:val="16"/>
                <w:szCs w:val="16"/>
                <w:lang w:val="nl-BE"/>
              </w:rPr>
              <w:t>contractuelen</w:t>
            </w:r>
          </w:p>
        </w:tc>
        <w:tc>
          <w:tcPr>
            <w:tcW w:w="1418" w:type="dxa"/>
          </w:tcPr>
          <w:p w14:paraId="384BBF89" w14:textId="77777777" w:rsidR="007859E5" w:rsidRPr="00831F5A" w:rsidRDefault="007859E5" w:rsidP="00A36C91">
            <w:pPr>
              <w:pStyle w:val="Plattetekst21"/>
              <w:tabs>
                <w:tab w:val="left" w:pos="327"/>
              </w:tabs>
              <w:spacing w:after="0"/>
              <w:ind w:left="0"/>
              <w:rPr>
                <w:rFonts w:cs="Arial"/>
                <w:sz w:val="16"/>
                <w:szCs w:val="16"/>
                <w:lang w:val="nl-BE"/>
              </w:rPr>
            </w:pPr>
          </w:p>
          <w:p w14:paraId="4CFFC701" w14:textId="77777777" w:rsidR="007859E5" w:rsidRPr="00831F5A" w:rsidRDefault="007859E5" w:rsidP="00A36C91">
            <w:pPr>
              <w:pStyle w:val="Plattetekst21"/>
              <w:tabs>
                <w:tab w:val="left" w:pos="327"/>
              </w:tabs>
              <w:spacing w:after="0"/>
              <w:ind w:left="0"/>
              <w:rPr>
                <w:rFonts w:cs="Arial"/>
                <w:sz w:val="16"/>
                <w:szCs w:val="16"/>
                <w:lang w:val="nl-BE"/>
              </w:rPr>
            </w:pPr>
            <w:r w:rsidRPr="00831F5A">
              <w:rPr>
                <w:rFonts w:cs="Arial"/>
                <w:sz w:val="16"/>
                <w:szCs w:val="16"/>
                <w:lang w:val="nl-BE"/>
              </w:rPr>
              <w:t>Dienstactiviteit</w:t>
            </w:r>
          </w:p>
          <w:p w14:paraId="0B826235" w14:textId="77777777" w:rsidR="007859E5" w:rsidRPr="00831F5A" w:rsidRDefault="007859E5" w:rsidP="00A36C91">
            <w:pPr>
              <w:pStyle w:val="Plattetekst21"/>
              <w:tabs>
                <w:tab w:val="left" w:pos="327"/>
              </w:tabs>
              <w:spacing w:after="0"/>
              <w:ind w:left="0"/>
              <w:rPr>
                <w:rFonts w:cs="Arial"/>
                <w:sz w:val="16"/>
                <w:szCs w:val="16"/>
                <w:lang w:val="nl-BE"/>
              </w:rPr>
            </w:pPr>
            <w:r w:rsidRPr="00831F5A">
              <w:rPr>
                <w:rFonts w:cs="Arial"/>
                <w:sz w:val="16"/>
                <w:szCs w:val="16"/>
                <w:lang w:val="nl-BE"/>
              </w:rPr>
              <w:t>Dienstactiviteit</w:t>
            </w:r>
          </w:p>
        </w:tc>
        <w:tc>
          <w:tcPr>
            <w:tcW w:w="1276" w:type="dxa"/>
          </w:tcPr>
          <w:p w14:paraId="23FE53DD" w14:textId="77777777" w:rsidR="007859E5" w:rsidRPr="00831F5A" w:rsidRDefault="007859E5" w:rsidP="00A36C91">
            <w:pPr>
              <w:pStyle w:val="Plattetekst21"/>
              <w:tabs>
                <w:tab w:val="left" w:pos="327"/>
              </w:tabs>
              <w:spacing w:after="0"/>
              <w:ind w:left="0"/>
              <w:rPr>
                <w:rFonts w:cs="Arial"/>
                <w:sz w:val="16"/>
                <w:szCs w:val="16"/>
                <w:lang w:val="nl-BE"/>
              </w:rPr>
            </w:pPr>
          </w:p>
          <w:p w14:paraId="6EE3F922" w14:textId="77777777" w:rsidR="007859E5" w:rsidRPr="00831F5A" w:rsidRDefault="007859E5" w:rsidP="00A36C91">
            <w:pPr>
              <w:pStyle w:val="Plattetekst21"/>
              <w:tabs>
                <w:tab w:val="left" w:pos="327"/>
              </w:tabs>
              <w:spacing w:after="0"/>
              <w:ind w:left="0"/>
              <w:rPr>
                <w:rFonts w:cs="Arial"/>
                <w:sz w:val="16"/>
                <w:szCs w:val="16"/>
                <w:lang w:val="nl-BE"/>
              </w:rPr>
            </w:pPr>
            <w:r w:rsidRPr="00831F5A">
              <w:rPr>
                <w:rFonts w:cs="Arial"/>
                <w:sz w:val="16"/>
                <w:szCs w:val="16"/>
                <w:lang w:val="nl-BE"/>
              </w:rPr>
              <w:t>Ja</w:t>
            </w:r>
          </w:p>
          <w:p w14:paraId="3AD981DE" w14:textId="7003C48D" w:rsidR="007859E5" w:rsidRPr="00831F5A" w:rsidRDefault="007859E5" w:rsidP="00A36C91">
            <w:pPr>
              <w:pStyle w:val="Plattetekst21"/>
              <w:tabs>
                <w:tab w:val="left" w:pos="327"/>
              </w:tabs>
              <w:spacing w:after="0"/>
              <w:ind w:left="0"/>
              <w:rPr>
                <w:rFonts w:cs="Arial"/>
                <w:sz w:val="16"/>
                <w:szCs w:val="16"/>
                <w:lang w:val="nl-BE"/>
              </w:rPr>
            </w:pPr>
            <w:r w:rsidRPr="00831F5A">
              <w:rPr>
                <w:rFonts w:cs="Arial"/>
                <w:sz w:val="16"/>
                <w:szCs w:val="16"/>
                <w:lang w:val="nl-BE"/>
              </w:rPr>
              <w:t xml:space="preserve">Ja, eerste 3d. nadien ziekenfonds/ ZIV </w:t>
            </w:r>
          </w:p>
        </w:tc>
        <w:tc>
          <w:tcPr>
            <w:tcW w:w="1701" w:type="dxa"/>
          </w:tcPr>
          <w:p w14:paraId="4557E682" w14:textId="77777777" w:rsidR="007859E5" w:rsidRPr="00831F5A" w:rsidRDefault="007859E5" w:rsidP="00A36C91">
            <w:pPr>
              <w:pStyle w:val="Plattetekst21"/>
              <w:tabs>
                <w:tab w:val="left" w:pos="327"/>
              </w:tabs>
              <w:spacing w:after="0"/>
              <w:ind w:left="0"/>
              <w:rPr>
                <w:rFonts w:cs="Arial"/>
                <w:sz w:val="16"/>
                <w:szCs w:val="16"/>
                <w:lang w:val="nl-BE"/>
              </w:rPr>
            </w:pPr>
          </w:p>
          <w:p w14:paraId="5832E04B" w14:textId="77777777" w:rsidR="007859E5" w:rsidRPr="00831F5A" w:rsidRDefault="007859E5" w:rsidP="00A36C91">
            <w:pPr>
              <w:pStyle w:val="Plattetekst21"/>
              <w:tabs>
                <w:tab w:val="left" w:pos="327"/>
              </w:tabs>
              <w:spacing w:after="0"/>
              <w:ind w:left="0"/>
              <w:rPr>
                <w:rFonts w:cs="Arial"/>
                <w:sz w:val="16"/>
                <w:szCs w:val="16"/>
                <w:lang w:val="nl-BE"/>
              </w:rPr>
            </w:pPr>
            <w:r w:rsidRPr="00831F5A">
              <w:rPr>
                <w:rFonts w:cs="Arial"/>
                <w:sz w:val="16"/>
                <w:szCs w:val="16"/>
                <w:lang w:val="nl-BE"/>
              </w:rPr>
              <w:t>Ja</w:t>
            </w:r>
          </w:p>
          <w:p w14:paraId="32D379A2" w14:textId="77777777" w:rsidR="007859E5" w:rsidRPr="00831F5A" w:rsidRDefault="007859E5" w:rsidP="00A36C91">
            <w:pPr>
              <w:pStyle w:val="Plattetekst21"/>
              <w:tabs>
                <w:tab w:val="left" w:pos="327"/>
              </w:tabs>
              <w:spacing w:after="0"/>
              <w:ind w:left="0"/>
              <w:rPr>
                <w:rFonts w:cs="Arial"/>
                <w:sz w:val="16"/>
                <w:szCs w:val="16"/>
                <w:lang w:val="nl-BE"/>
              </w:rPr>
            </w:pPr>
            <w:r w:rsidRPr="00831F5A">
              <w:rPr>
                <w:rFonts w:cs="Arial"/>
                <w:sz w:val="16"/>
                <w:szCs w:val="16"/>
                <w:lang w:val="nl-BE"/>
              </w:rPr>
              <w:t>Ja</w:t>
            </w:r>
          </w:p>
        </w:tc>
        <w:tc>
          <w:tcPr>
            <w:tcW w:w="1842" w:type="dxa"/>
          </w:tcPr>
          <w:p w14:paraId="75EE1444" w14:textId="77777777" w:rsidR="007859E5" w:rsidRPr="00831F5A" w:rsidRDefault="007859E5" w:rsidP="00A36C91">
            <w:pPr>
              <w:pStyle w:val="Plattetekst21"/>
              <w:tabs>
                <w:tab w:val="left" w:pos="327"/>
              </w:tabs>
              <w:spacing w:after="0"/>
              <w:ind w:left="0"/>
              <w:rPr>
                <w:rFonts w:cs="Arial"/>
                <w:sz w:val="16"/>
                <w:szCs w:val="16"/>
                <w:lang w:val="nl-BE"/>
              </w:rPr>
            </w:pPr>
          </w:p>
          <w:p w14:paraId="498C5B6E" w14:textId="77777777" w:rsidR="007859E5" w:rsidRPr="00831F5A" w:rsidRDefault="007859E5" w:rsidP="00A36C91">
            <w:pPr>
              <w:pStyle w:val="Plattetekst21"/>
              <w:tabs>
                <w:tab w:val="left" w:pos="327"/>
              </w:tabs>
              <w:spacing w:after="0"/>
              <w:ind w:left="0"/>
              <w:rPr>
                <w:rFonts w:cs="Arial"/>
                <w:sz w:val="16"/>
                <w:szCs w:val="16"/>
                <w:lang w:val="nl-BE"/>
              </w:rPr>
            </w:pPr>
            <w:r w:rsidRPr="00831F5A">
              <w:rPr>
                <w:rFonts w:cs="Arial"/>
                <w:sz w:val="16"/>
                <w:szCs w:val="16"/>
                <w:lang w:val="nl-BE"/>
              </w:rPr>
              <w:t>Ja</w:t>
            </w:r>
          </w:p>
          <w:p w14:paraId="289C6600" w14:textId="77777777" w:rsidR="007859E5" w:rsidRPr="00831F5A" w:rsidRDefault="007859E5" w:rsidP="00A36C91">
            <w:pPr>
              <w:pStyle w:val="Plattetekst21"/>
              <w:tabs>
                <w:tab w:val="left" w:pos="327"/>
              </w:tabs>
              <w:spacing w:after="0"/>
              <w:ind w:left="0"/>
              <w:rPr>
                <w:rFonts w:cs="Arial"/>
                <w:sz w:val="16"/>
                <w:szCs w:val="16"/>
                <w:lang w:val="nl-BE"/>
              </w:rPr>
            </w:pPr>
            <w:r w:rsidRPr="00831F5A">
              <w:rPr>
                <w:rFonts w:cs="Arial"/>
                <w:sz w:val="16"/>
                <w:szCs w:val="16"/>
                <w:lang w:val="nl-BE"/>
              </w:rPr>
              <w:t>Ja</w:t>
            </w:r>
          </w:p>
          <w:p w14:paraId="1301DC14" w14:textId="77777777" w:rsidR="007859E5" w:rsidRPr="00831F5A" w:rsidRDefault="007859E5" w:rsidP="00A36C91">
            <w:pPr>
              <w:pStyle w:val="Plattetekst21"/>
              <w:spacing w:after="0"/>
              <w:ind w:left="0"/>
              <w:rPr>
                <w:rFonts w:cs="Arial"/>
                <w:sz w:val="16"/>
                <w:szCs w:val="16"/>
                <w:lang w:val="nl-BE"/>
              </w:rPr>
            </w:pPr>
          </w:p>
        </w:tc>
        <w:tc>
          <w:tcPr>
            <w:tcW w:w="1560" w:type="dxa"/>
          </w:tcPr>
          <w:p w14:paraId="20CC72BD" w14:textId="77777777" w:rsidR="007859E5" w:rsidRPr="00831F5A" w:rsidRDefault="007859E5" w:rsidP="00A36C91">
            <w:pPr>
              <w:pStyle w:val="Plattetekst21"/>
              <w:tabs>
                <w:tab w:val="left" w:pos="327"/>
              </w:tabs>
              <w:spacing w:after="0"/>
              <w:ind w:left="0"/>
              <w:rPr>
                <w:rFonts w:cs="Arial"/>
                <w:sz w:val="16"/>
                <w:szCs w:val="16"/>
                <w:lang w:val="nl-BE"/>
              </w:rPr>
            </w:pPr>
          </w:p>
          <w:p w14:paraId="5E5A83FE" w14:textId="77777777" w:rsidR="007859E5" w:rsidRPr="00831F5A" w:rsidRDefault="007859E5" w:rsidP="00A36C91">
            <w:pPr>
              <w:pStyle w:val="Plattetekst21"/>
              <w:tabs>
                <w:tab w:val="left" w:pos="327"/>
              </w:tabs>
              <w:spacing w:after="0"/>
              <w:ind w:left="0"/>
              <w:rPr>
                <w:rFonts w:cs="Arial"/>
                <w:sz w:val="16"/>
                <w:szCs w:val="16"/>
                <w:lang w:val="nl-BE"/>
              </w:rPr>
            </w:pPr>
            <w:r w:rsidRPr="00831F5A">
              <w:rPr>
                <w:rFonts w:cs="Arial"/>
                <w:sz w:val="16"/>
                <w:szCs w:val="16"/>
                <w:lang w:val="nl-BE"/>
              </w:rPr>
              <w:t>Ja</w:t>
            </w:r>
          </w:p>
          <w:p w14:paraId="51867E1D" w14:textId="77777777" w:rsidR="007859E5" w:rsidRPr="00831F5A" w:rsidRDefault="007859E5" w:rsidP="00A36C91">
            <w:pPr>
              <w:pStyle w:val="Plattetekst21"/>
              <w:tabs>
                <w:tab w:val="left" w:pos="327"/>
              </w:tabs>
              <w:spacing w:after="0"/>
              <w:ind w:left="0"/>
              <w:rPr>
                <w:rFonts w:cs="Arial"/>
                <w:sz w:val="16"/>
                <w:szCs w:val="16"/>
                <w:lang w:val="nl-BE"/>
              </w:rPr>
            </w:pPr>
            <w:r w:rsidRPr="00831F5A">
              <w:rPr>
                <w:rFonts w:cs="Arial"/>
                <w:sz w:val="16"/>
                <w:szCs w:val="16"/>
                <w:lang w:val="nl-BE"/>
              </w:rPr>
              <w:t>Ja</w:t>
            </w:r>
          </w:p>
          <w:p w14:paraId="2FA10C62" w14:textId="77777777" w:rsidR="007859E5" w:rsidRPr="00831F5A" w:rsidRDefault="007859E5" w:rsidP="00A36C91">
            <w:pPr>
              <w:pStyle w:val="Plattetekst21"/>
              <w:spacing w:after="0"/>
              <w:ind w:left="0"/>
              <w:rPr>
                <w:rFonts w:cs="Arial"/>
                <w:sz w:val="16"/>
                <w:szCs w:val="16"/>
                <w:lang w:val="nl-BE"/>
              </w:rPr>
            </w:pPr>
          </w:p>
        </w:tc>
        <w:tc>
          <w:tcPr>
            <w:tcW w:w="1275" w:type="dxa"/>
          </w:tcPr>
          <w:p w14:paraId="5064CA04" w14:textId="77777777" w:rsidR="007859E5" w:rsidRPr="00831F5A" w:rsidRDefault="007859E5" w:rsidP="00A36C91">
            <w:pPr>
              <w:pStyle w:val="Plattetekst21"/>
              <w:tabs>
                <w:tab w:val="left" w:pos="327"/>
              </w:tabs>
              <w:spacing w:after="0"/>
              <w:ind w:left="0"/>
              <w:rPr>
                <w:rFonts w:cs="Arial"/>
                <w:sz w:val="16"/>
                <w:szCs w:val="16"/>
                <w:lang w:val="nl-BE"/>
              </w:rPr>
            </w:pPr>
          </w:p>
          <w:p w14:paraId="45A6E10E" w14:textId="77777777" w:rsidR="007859E5" w:rsidRPr="00831F5A" w:rsidRDefault="007859E5" w:rsidP="00A36C91">
            <w:pPr>
              <w:pStyle w:val="Plattetekst21"/>
              <w:tabs>
                <w:tab w:val="left" w:pos="327"/>
              </w:tabs>
              <w:spacing w:after="0"/>
              <w:ind w:left="0"/>
              <w:rPr>
                <w:rFonts w:cs="Arial"/>
                <w:sz w:val="16"/>
                <w:szCs w:val="16"/>
                <w:lang w:val="nl-BE"/>
              </w:rPr>
            </w:pPr>
            <w:r w:rsidRPr="00831F5A">
              <w:rPr>
                <w:rFonts w:cs="Arial"/>
                <w:sz w:val="16"/>
                <w:szCs w:val="16"/>
                <w:lang w:val="nl-BE"/>
              </w:rPr>
              <w:t>Ja</w:t>
            </w:r>
          </w:p>
          <w:p w14:paraId="2E14BB9D" w14:textId="77777777" w:rsidR="007859E5" w:rsidRPr="00831F5A" w:rsidRDefault="007859E5" w:rsidP="00A36C91">
            <w:pPr>
              <w:pStyle w:val="Plattetekst21"/>
              <w:tabs>
                <w:tab w:val="left" w:pos="327"/>
              </w:tabs>
              <w:spacing w:after="0"/>
              <w:ind w:left="0"/>
              <w:rPr>
                <w:rFonts w:cs="Arial"/>
                <w:sz w:val="16"/>
                <w:szCs w:val="16"/>
                <w:lang w:val="nl-BE"/>
              </w:rPr>
            </w:pPr>
            <w:proofErr w:type="spellStart"/>
            <w:r w:rsidRPr="00831F5A">
              <w:rPr>
                <w:rFonts w:cs="Arial"/>
                <w:sz w:val="16"/>
                <w:szCs w:val="16"/>
                <w:lang w:val="nl-BE"/>
              </w:rPr>
              <w:t>Nvt</w:t>
            </w:r>
            <w:proofErr w:type="spellEnd"/>
            <w:r w:rsidRPr="00831F5A">
              <w:rPr>
                <w:rFonts w:cs="Arial"/>
                <w:sz w:val="16"/>
                <w:szCs w:val="16"/>
                <w:lang w:val="nl-BE"/>
              </w:rPr>
              <w:t>.</w:t>
            </w:r>
          </w:p>
          <w:p w14:paraId="6C6E5498" w14:textId="77777777" w:rsidR="007859E5" w:rsidRPr="00831F5A" w:rsidRDefault="007859E5" w:rsidP="00A36C91">
            <w:pPr>
              <w:pStyle w:val="Plattetekst21"/>
              <w:spacing w:after="0"/>
              <w:ind w:left="0"/>
              <w:rPr>
                <w:rFonts w:cs="Arial"/>
                <w:sz w:val="16"/>
                <w:szCs w:val="16"/>
                <w:lang w:val="nl-BE"/>
              </w:rPr>
            </w:pPr>
          </w:p>
        </w:tc>
        <w:tc>
          <w:tcPr>
            <w:tcW w:w="993" w:type="dxa"/>
          </w:tcPr>
          <w:p w14:paraId="3AEF1532" w14:textId="6373442F" w:rsidR="007859E5" w:rsidRPr="00831F5A" w:rsidRDefault="007859E5" w:rsidP="00A36C91">
            <w:pPr>
              <w:pStyle w:val="Plattetekst21"/>
              <w:tabs>
                <w:tab w:val="left" w:pos="327"/>
              </w:tabs>
              <w:spacing w:after="0"/>
              <w:ind w:left="0"/>
              <w:rPr>
                <w:rFonts w:cs="Arial"/>
                <w:sz w:val="16"/>
                <w:szCs w:val="16"/>
                <w:lang w:val="nl-BE"/>
              </w:rPr>
            </w:pPr>
            <w:r w:rsidRPr="00831F5A">
              <w:rPr>
                <w:rFonts w:cs="Arial"/>
                <w:sz w:val="16"/>
                <w:szCs w:val="16"/>
                <w:lang w:val="nl-BE"/>
              </w:rPr>
              <w:t>Ja</w:t>
            </w:r>
          </w:p>
        </w:tc>
        <w:tc>
          <w:tcPr>
            <w:tcW w:w="1134" w:type="dxa"/>
          </w:tcPr>
          <w:p w14:paraId="27596AED" w14:textId="2C99D9BD" w:rsidR="007859E5" w:rsidRPr="00831F5A" w:rsidRDefault="007859E5" w:rsidP="00A36C91">
            <w:pPr>
              <w:pStyle w:val="Plattetekst21"/>
              <w:tabs>
                <w:tab w:val="left" w:pos="327"/>
              </w:tabs>
              <w:spacing w:after="0"/>
              <w:ind w:left="0"/>
              <w:rPr>
                <w:rFonts w:cs="Arial"/>
                <w:sz w:val="16"/>
                <w:szCs w:val="16"/>
                <w:lang w:val="nl-BE"/>
              </w:rPr>
            </w:pPr>
            <w:r w:rsidRPr="00831F5A">
              <w:rPr>
                <w:rFonts w:cs="Arial"/>
                <w:sz w:val="16"/>
                <w:szCs w:val="16"/>
                <w:lang w:val="nl-BE"/>
              </w:rPr>
              <w:t>Ja</w:t>
            </w:r>
          </w:p>
        </w:tc>
      </w:tr>
      <w:tr w:rsidR="007859E5" w:rsidRPr="00037A46" w14:paraId="0031C51C" w14:textId="7687B337" w:rsidTr="00DD039E">
        <w:trPr>
          <w:trHeight w:val="300"/>
        </w:trPr>
        <w:tc>
          <w:tcPr>
            <w:tcW w:w="2263" w:type="dxa"/>
            <w:shd w:val="clear" w:color="auto" w:fill="E0E0E0"/>
          </w:tcPr>
          <w:p w14:paraId="3E7E8E44"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Ziekteverlof bij contractuelen</w:t>
            </w:r>
          </w:p>
          <w:p w14:paraId="18248FD6" w14:textId="77777777" w:rsidR="007859E5" w:rsidRPr="00831F5A" w:rsidRDefault="007859E5" w:rsidP="00A36C91">
            <w:pPr>
              <w:pStyle w:val="Plattetekst21"/>
              <w:numPr>
                <w:ilvl w:val="0"/>
                <w:numId w:val="27"/>
              </w:numPr>
              <w:spacing w:after="0"/>
              <w:jc w:val="left"/>
              <w:rPr>
                <w:rFonts w:cs="Arial"/>
                <w:sz w:val="16"/>
                <w:szCs w:val="16"/>
                <w:lang w:val="nl-BE"/>
              </w:rPr>
            </w:pPr>
            <w:r w:rsidRPr="00831F5A">
              <w:rPr>
                <w:rFonts w:cs="Arial"/>
                <w:sz w:val="16"/>
                <w:szCs w:val="16"/>
                <w:lang w:val="nl-BE"/>
              </w:rPr>
              <w:t>Voltijds ziekteverlof</w:t>
            </w:r>
          </w:p>
          <w:p w14:paraId="4DAEC302" w14:textId="77777777" w:rsidR="007859E5" w:rsidRPr="00831F5A" w:rsidRDefault="007859E5" w:rsidP="00A36C91">
            <w:pPr>
              <w:pStyle w:val="Plattetekst21"/>
              <w:spacing w:after="0"/>
              <w:jc w:val="left"/>
              <w:rPr>
                <w:rFonts w:cs="Arial"/>
                <w:sz w:val="16"/>
                <w:szCs w:val="16"/>
                <w:lang w:val="nl-BE"/>
              </w:rPr>
            </w:pPr>
          </w:p>
          <w:p w14:paraId="447BFB65" w14:textId="77777777" w:rsidR="007859E5" w:rsidRPr="00831F5A" w:rsidRDefault="007859E5" w:rsidP="00A36C91">
            <w:pPr>
              <w:pStyle w:val="Plattetekst21"/>
              <w:spacing w:after="0"/>
              <w:jc w:val="left"/>
              <w:rPr>
                <w:rFonts w:cs="Arial"/>
                <w:sz w:val="16"/>
                <w:szCs w:val="16"/>
                <w:lang w:val="nl-BE"/>
              </w:rPr>
            </w:pPr>
          </w:p>
          <w:p w14:paraId="63681919" w14:textId="77777777" w:rsidR="007859E5" w:rsidRPr="00831F5A" w:rsidRDefault="007859E5" w:rsidP="00A36C91">
            <w:pPr>
              <w:pStyle w:val="Plattetekst21"/>
              <w:numPr>
                <w:ilvl w:val="0"/>
                <w:numId w:val="27"/>
              </w:numPr>
              <w:spacing w:after="0"/>
              <w:jc w:val="left"/>
              <w:rPr>
                <w:rFonts w:cs="Arial"/>
                <w:sz w:val="16"/>
                <w:szCs w:val="16"/>
                <w:lang w:val="nl-BE"/>
              </w:rPr>
            </w:pPr>
            <w:r w:rsidRPr="00831F5A">
              <w:rPr>
                <w:rFonts w:cs="Arial"/>
                <w:sz w:val="16"/>
                <w:szCs w:val="16"/>
                <w:lang w:val="nl-BE"/>
              </w:rPr>
              <w:t>Deeltijds ziekteverlof</w:t>
            </w:r>
          </w:p>
        </w:tc>
        <w:tc>
          <w:tcPr>
            <w:tcW w:w="1418" w:type="dxa"/>
          </w:tcPr>
          <w:p w14:paraId="2B97B1E5" w14:textId="77777777" w:rsidR="007859E5" w:rsidRPr="00831F5A" w:rsidRDefault="007859E5" w:rsidP="00A36C91">
            <w:pPr>
              <w:pStyle w:val="Plattetekst21"/>
              <w:spacing w:after="0"/>
              <w:ind w:left="0"/>
              <w:jc w:val="left"/>
              <w:rPr>
                <w:rFonts w:cs="Arial"/>
                <w:sz w:val="16"/>
                <w:szCs w:val="16"/>
                <w:lang w:val="nl-BE"/>
              </w:rPr>
            </w:pPr>
          </w:p>
          <w:p w14:paraId="7590618D"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p w14:paraId="3EFB4360" w14:textId="77777777" w:rsidR="007859E5" w:rsidRPr="00831F5A" w:rsidRDefault="007859E5" w:rsidP="00A36C91">
            <w:pPr>
              <w:pStyle w:val="Plattetekst21"/>
              <w:spacing w:after="0"/>
              <w:ind w:left="0"/>
              <w:jc w:val="left"/>
              <w:rPr>
                <w:rFonts w:cs="Arial"/>
                <w:sz w:val="16"/>
                <w:szCs w:val="16"/>
                <w:lang w:val="nl-BE"/>
              </w:rPr>
            </w:pPr>
          </w:p>
          <w:p w14:paraId="48549C1B" w14:textId="77777777" w:rsidR="007859E5" w:rsidRPr="00831F5A" w:rsidRDefault="007859E5" w:rsidP="00A36C91">
            <w:pPr>
              <w:pStyle w:val="Plattetekst21"/>
              <w:spacing w:after="0"/>
              <w:ind w:left="0"/>
              <w:jc w:val="left"/>
              <w:rPr>
                <w:rFonts w:cs="Arial"/>
                <w:sz w:val="16"/>
                <w:szCs w:val="16"/>
                <w:lang w:val="nl-BE"/>
              </w:rPr>
            </w:pPr>
          </w:p>
          <w:p w14:paraId="20A1556E" w14:textId="77777777" w:rsidR="007859E5" w:rsidRPr="00831F5A" w:rsidRDefault="007859E5" w:rsidP="00A36C91">
            <w:pPr>
              <w:pStyle w:val="Plattetekst21"/>
              <w:spacing w:after="0"/>
              <w:ind w:left="0"/>
              <w:jc w:val="left"/>
              <w:rPr>
                <w:rFonts w:cs="Arial"/>
                <w:sz w:val="16"/>
                <w:szCs w:val="16"/>
                <w:lang w:val="nl-BE"/>
              </w:rPr>
            </w:pPr>
          </w:p>
          <w:p w14:paraId="70F596AA" w14:textId="52BC65FC"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tc>
        <w:tc>
          <w:tcPr>
            <w:tcW w:w="1276" w:type="dxa"/>
          </w:tcPr>
          <w:p w14:paraId="18A1F650" w14:textId="77777777" w:rsidR="007859E5" w:rsidRPr="00831F5A" w:rsidRDefault="007859E5" w:rsidP="00A36C91">
            <w:pPr>
              <w:pStyle w:val="Plattetekst21"/>
              <w:spacing w:after="0"/>
              <w:ind w:left="0"/>
              <w:jc w:val="left"/>
              <w:rPr>
                <w:rFonts w:cs="Arial"/>
                <w:sz w:val="16"/>
                <w:szCs w:val="16"/>
                <w:lang w:val="nl-BE"/>
              </w:rPr>
            </w:pPr>
          </w:p>
          <w:p w14:paraId="18732CF6"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 gewaarborgd loon, nadien uitkering ziekenfonds</w:t>
            </w:r>
          </w:p>
          <w:p w14:paraId="1590A14D" w14:textId="517732D2"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Gewaarborgd loon vanaf 21</w:t>
            </w:r>
            <w:r w:rsidRPr="00831F5A">
              <w:rPr>
                <w:rFonts w:cs="Arial"/>
                <w:sz w:val="16"/>
                <w:szCs w:val="16"/>
                <w:vertAlign w:val="superscript"/>
                <w:lang w:val="nl-BE"/>
              </w:rPr>
              <w:t>ste</w:t>
            </w:r>
            <w:r w:rsidRPr="00831F5A">
              <w:rPr>
                <w:rFonts w:cs="Arial"/>
                <w:sz w:val="16"/>
                <w:szCs w:val="16"/>
                <w:lang w:val="nl-BE"/>
              </w:rPr>
              <w:t xml:space="preserve"> week, uitkering ziekenfonds</w:t>
            </w:r>
          </w:p>
        </w:tc>
        <w:tc>
          <w:tcPr>
            <w:tcW w:w="1701" w:type="dxa"/>
          </w:tcPr>
          <w:p w14:paraId="6888C8D5" w14:textId="77777777" w:rsidR="007859E5" w:rsidRPr="00831F5A" w:rsidRDefault="007859E5" w:rsidP="00A36C91">
            <w:pPr>
              <w:pStyle w:val="Plattetekst21"/>
              <w:spacing w:after="0"/>
              <w:ind w:left="0"/>
              <w:jc w:val="left"/>
              <w:rPr>
                <w:rFonts w:cs="Arial"/>
                <w:sz w:val="16"/>
                <w:szCs w:val="16"/>
                <w:lang w:val="nl-BE"/>
              </w:rPr>
            </w:pPr>
          </w:p>
          <w:p w14:paraId="628D869E" w14:textId="6113995A"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 xml:space="preserve">Ja, voor </w:t>
            </w:r>
            <w:r w:rsidR="009B270E" w:rsidRPr="00831F5A">
              <w:rPr>
                <w:rFonts w:cs="Arial"/>
                <w:sz w:val="16"/>
                <w:szCs w:val="16"/>
                <w:lang w:val="nl-BE"/>
              </w:rPr>
              <w:t>1</w:t>
            </w:r>
            <w:r w:rsidRPr="00831F5A">
              <w:rPr>
                <w:rFonts w:cs="Arial"/>
                <w:sz w:val="16"/>
                <w:szCs w:val="16"/>
                <w:lang w:val="nl-BE"/>
              </w:rPr>
              <w:t xml:space="preserve"> jaar</w:t>
            </w:r>
          </w:p>
          <w:p w14:paraId="6A72432C" w14:textId="77777777" w:rsidR="007859E5" w:rsidRPr="00831F5A" w:rsidRDefault="007859E5" w:rsidP="00A36C91">
            <w:pPr>
              <w:pStyle w:val="Plattetekst21"/>
              <w:spacing w:after="0"/>
              <w:ind w:left="0"/>
              <w:jc w:val="left"/>
              <w:rPr>
                <w:rFonts w:cs="Arial"/>
                <w:sz w:val="16"/>
                <w:szCs w:val="16"/>
                <w:lang w:val="nl-BE"/>
              </w:rPr>
            </w:pPr>
          </w:p>
          <w:p w14:paraId="3C87DEC7" w14:textId="77777777" w:rsidR="007859E5" w:rsidRPr="00831F5A" w:rsidRDefault="007859E5" w:rsidP="00A36C91">
            <w:pPr>
              <w:pStyle w:val="Plattetekst21"/>
              <w:spacing w:after="0"/>
              <w:ind w:left="0"/>
              <w:jc w:val="left"/>
              <w:rPr>
                <w:rFonts w:cs="Arial"/>
                <w:sz w:val="16"/>
                <w:szCs w:val="16"/>
                <w:lang w:val="nl-BE"/>
              </w:rPr>
            </w:pPr>
          </w:p>
          <w:p w14:paraId="74121153" w14:textId="77777777" w:rsidR="007859E5" w:rsidRPr="00831F5A" w:rsidRDefault="007859E5" w:rsidP="00A36C91">
            <w:pPr>
              <w:pStyle w:val="Plattetekst21"/>
              <w:spacing w:after="0"/>
              <w:ind w:left="0"/>
              <w:jc w:val="left"/>
              <w:rPr>
                <w:rFonts w:cs="Arial"/>
                <w:sz w:val="16"/>
                <w:szCs w:val="16"/>
                <w:lang w:val="nl-BE"/>
              </w:rPr>
            </w:pPr>
          </w:p>
          <w:p w14:paraId="437A526F" w14:textId="6857317A"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842" w:type="dxa"/>
          </w:tcPr>
          <w:p w14:paraId="46B93382" w14:textId="77777777" w:rsidR="007859E5" w:rsidRPr="00831F5A" w:rsidRDefault="007859E5" w:rsidP="00A36C91">
            <w:pPr>
              <w:pStyle w:val="Plattetekst21"/>
              <w:spacing w:after="0"/>
              <w:ind w:left="0"/>
              <w:jc w:val="left"/>
              <w:rPr>
                <w:rFonts w:cs="Arial"/>
                <w:sz w:val="16"/>
                <w:szCs w:val="16"/>
                <w:lang w:val="nl-BE"/>
              </w:rPr>
            </w:pPr>
          </w:p>
          <w:p w14:paraId="49F9CB22" w14:textId="36966CAE" w:rsidR="007859E5" w:rsidRPr="00831F5A" w:rsidRDefault="007859E5" w:rsidP="00A36C91">
            <w:pPr>
              <w:pStyle w:val="Plattetekst21"/>
              <w:spacing w:after="0"/>
              <w:ind w:left="0"/>
              <w:jc w:val="left"/>
              <w:rPr>
                <w:rFonts w:cs="Arial"/>
                <w:bCs/>
                <w:iCs/>
                <w:sz w:val="16"/>
                <w:szCs w:val="16"/>
                <w:lang w:val="nl-BE"/>
              </w:rPr>
            </w:pPr>
            <w:r w:rsidRPr="00831F5A">
              <w:rPr>
                <w:rFonts w:cs="Arial"/>
                <w:bCs/>
                <w:iCs/>
                <w:sz w:val="16"/>
                <w:szCs w:val="16"/>
                <w:lang w:val="nl-BE"/>
              </w:rPr>
              <w:t xml:space="preserve">Ja, voor </w:t>
            </w:r>
            <w:r w:rsidR="009B270E" w:rsidRPr="00831F5A">
              <w:rPr>
                <w:rFonts w:cs="Arial"/>
                <w:bCs/>
                <w:iCs/>
                <w:sz w:val="16"/>
                <w:szCs w:val="16"/>
                <w:lang w:val="nl-BE"/>
              </w:rPr>
              <w:t>1</w:t>
            </w:r>
            <w:r w:rsidRPr="00831F5A">
              <w:rPr>
                <w:rFonts w:cs="Arial"/>
                <w:bCs/>
                <w:iCs/>
                <w:sz w:val="16"/>
                <w:szCs w:val="16"/>
                <w:lang w:val="nl-BE"/>
              </w:rPr>
              <w:t xml:space="preserve"> jaar </w:t>
            </w:r>
          </w:p>
          <w:p w14:paraId="0EF2A714" w14:textId="77777777" w:rsidR="007859E5" w:rsidRPr="00831F5A" w:rsidRDefault="007859E5" w:rsidP="00A36C91">
            <w:pPr>
              <w:pStyle w:val="Plattetekst21"/>
              <w:spacing w:after="0"/>
              <w:ind w:left="0"/>
              <w:jc w:val="left"/>
              <w:rPr>
                <w:rFonts w:cs="Arial"/>
                <w:sz w:val="16"/>
                <w:szCs w:val="16"/>
                <w:lang w:val="nl-BE"/>
              </w:rPr>
            </w:pPr>
          </w:p>
          <w:p w14:paraId="0E0067EF" w14:textId="77777777" w:rsidR="007859E5" w:rsidRPr="00831F5A" w:rsidRDefault="007859E5" w:rsidP="00A36C91">
            <w:pPr>
              <w:pStyle w:val="Plattetekst21"/>
              <w:spacing w:after="0"/>
              <w:ind w:left="0"/>
              <w:jc w:val="left"/>
              <w:rPr>
                <w:rFonts w:cs="Arial"/>
                <w:sz w:val="16"/>
                <w:szCs w:val="16"/>
                <w:lang w:val="nl-BE"/>
              </w:rPr>
            </w:pPr>
          </w:p>
          <w:p w14:paraId="5F7E375B" w14:textId="77777777" w:rsidR="007859E5" w:rsidRPr="00831F5A" w:rsidRDefault="007859E5" w:rsidP="00A36C91">
            <w:pPr>
              <w:pStyle w:val="Plattetekst21"/>
              <w:spacing w:after="0"/>
              <w:ind w:left="0"/>
              <w:jc w:val="left"/>
              <w:rPr>
                <w:rFonts w:cs="Arial"/>
                <w:sz w:val="16"/>
                <w:szCs w:val="16"/>
                <w:lang w:val="nl-BE"/>
              </w:rPr>
            </w:pPr>
          </w:p>
          <w:p w14:paraId="40A0021B" w14:textId="742F8E9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560" w:type="dxa"/>
          </w:tcPr>
          <w:p w14:paraId="15C61D6D" w14:textId="77777777" w:rsidR="007859E5" w:rsidRPr="00831F5A" w:rsidRDefault="007859E5" w:rsidP="00A36C91">
            <w:pPr>
              <w:pStyle w:val="Plattetekst21"/>
              <w:spacing w:after="0"/>
              <w:ind w:left="0"/>
              <w:jc w:val="left"/>
              <w:rPr>
                <w:rFonts w:cs="Arial"/>
                <w:sz w:val="16"/>
                <w:szCs w:val="16"/>
                <w:lang w:val="nl-BE"/>
              </w:rPr>
            </w:pPr>
          </w:p>
          <w:p w14:paraId="6C638B1A" w14:textId="2542E34E"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 xml:space="preserve">Ja, voor 1 jaar </w:t>
            </w:r>
          </w:p>
          <w:p w14:paraId="15338871" w14:textId="77777777" w:rsidR="007859E5" w:rsidRPr="00831F5A" w:rsidRDefault="007859E5" w:rsidP="00A36C91">
            <w:pPr>
              <w:pStyle w:val="Plattetekst21"/>
              <w:spacing w:after="0"/>
              <w:ind w:left="0"/>
              <w:jc w:val="left"/>
              <w:rPr>
                <w:rFonts w:cs="Arial"/>
                <w:sz w:val="16"/>
                <w:szCs w:val="16"/>
                <w:lang w:val="nl-BE"/>
              </w:rPr>
            </w:pPr>
          </w:p>
          <w:p w14:paraId="74745E1B" w14:textId="77777777" w:rsidR="007859E5" w:rsidRPr="00831F5A" w:rsidRDefault="007859E5" w:rsidP="00A36C91">
            <w:pPr>
              <w:pStyle w:val="Plattetekst21"/>
              <w:spacing w:after="0"/>
              <w:ind w:left="0"/>
              <w:jc w:val="left"/>
              <w:rPr>
                <w:rFonts w:cs="Arial"/>
                <w:sz w:val="16"/>
                <w:szCs w:val="16"/>
                <w:lang w:val="nl-BE"/>
              </w:rPr>
            </w:pPr>
          </w:p>
          <w:p w14:paraId="72829224" w14:textId="77777777" w:rsidR="007859E5" w:rsidRPr="00831F5A" w:rsidRDefault="007859E5" w:rsidP="00A36C91">
            <w:pPr>
              <w:pStyle w:val="Plattetekst21"/>
              <w:spacing w:after="0"/>
              <w:ind w:left="0"/>
              <w:jc w:val="left"/>
              <w:rPr>
                <w:rFonts w:cs="Arial"/>
                <w:sz w:val="16"/>
                <w:szCs w:val="16"/>
                <w:lang w:val="nl-BE"/>
              </w:rPr>
            </w:pPr>
          </w:p>
          <w:p w14:paraId="48A816F0"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 xml:space="preserve">Ja, voor 1 jaar, opname pro rata, rest uitbetalen </w:t>
            </w:r>
          </w:p>
          <w:p w14:paraId="495D4D56" w14:textId="77777777" w:rsidR="009D2BE9" w:rsidRPr="00831F5A" w:rsidRDefault="009D2BE9" w:rsidP="00A36C91">
            <w:pPr>
              <w:pStyle w:val="Plattetekst21"/>
              <w:spacing w:after="0"/>
              <w:ind w:left="0"/>
              <w:jc w:val="left"/>
              <w:rPr>
                <w:rFonts w:cs="Arial"/>
                <w:sz w:val="16"/>
                <w:szCs w:val="16"/>
                <w:lang w:val="nl-BE"/>
              </w:rPr>
            </w:pPr>
          </w:p>
          <w:p w14:paraId="41DC609A" w14:textId="54AEAA91" w:rsidR="009D2BE9" w:rsidRPr="00831F5A" w:rsidRDefault="009D2BE9" w:rsidP="00A36C91">
            <w:pPr>
              <w:pStyle w:val="Plattetekst21"/>
              <w:spacing w:after="0"/>
              <w:ind w:left="0"/>
              <w:jc w:val="left"/>
              <w:rPr>
                <w:rFonts w:cs="Arial"/>
                <w:sz w:val="16"/>
                <w:szCs w:val="16"/>
                <w:lang w:val="nl-BE"/>
              </w:rPr>
            </w:pPr>
            <w:r w:rsidRPr="00831F5A">
              <w:rPr>
                <w:rFonts w:cs="Arial"/>
                <w:sz w:val="16"/>
                <w:szCs w:val="16"/>
                <w:lang w:val="nl-BE"/>
              </w:rPr>
              <w:t>Cumul van 1</w:t>
            </w:r>
            <w:r w:rsidRPr="00831F5A">
              <w:rPr>
                <w:rFonts w:cs="Arial"/>
                <w:sz w:val="16"/>
                <w:szCs w:val="16"/>
                <w:vertAlign w:val="superscript"/>
                <w:lang w:val="nl-BE"/>
              </w:rPr>
              <w:t>ste</w:t>
            </w:r>
            <w:r w:rsidRPr="00831F5A">
              <w:rPr>
                <w:rFonts w:cs="Arial"/>
                <w:sz w:val="16"/>
                <w:szCs w:val="16"/>
                <w:lang w:val="nl-BE"/>
              </w:rPr>
              <w:t xml:space="preserve"> jaar VT en DT ziekte</w:t>
            </w:r>
          </w:p>
        </w:tc>
        <w:tc>
          <w:tcPr>
            <w:tcW w:w="1275" w:type="dxa"/>
          </w:tcPr>
          <w:p w14:paraId="3E72CD09" w14:textId="77777777" w:rsidR="007859E5" w:rsidRPr="00831F5A" w:rsidRDefault="007859E5" w:rsidP="00A36C91">
            <w:pPr>
              <w:pStyle w:val="Plattetekst21"/>
              <w:spacing w:after="0"/>
              <w:ind w:left="0"/>
              <w:jc w:val="left"/>
              <w:rPr>
                <w:rFonts w:cs="Arial"/>
                <w:sz w:val="16"/>
                <w:szCs w:val="16"/>
                <w:lang w:val="nl-BE"/>
              </w:rPr>
            </w:pPr>
          </w:p>
          <w:p w14:paraId="5530AAFC" w14:textId="77777777" w:rsidR="007859E5" w:rsidRPr="00831F5A" w:rsidRDefault="007859E5" w:rsidP="00A36C91">
            <w:pPr>
              <w:pStyle w:val="Plattetekst21"/>
              <w:spacing w:after="0"/>
              <w:ind w:left="0"/>
              <w:jc w:val="left"/>
              <w:rPr>
                <w:rFonts w:cs="Arial"/>
                <w:sz w:val="16"/>
                <w:szCs w:val="16"/>
                <w:lang w:val="nl-BE"/>
              </w:rPr>
            </w:pPr>
            <w:proofErr w:type="spellStart"/>
            <w:r w:rsidRPr="00831F5A">
              <w:rPr>
                <w:rFonts w:cs="Arial"/>
                <w:sz w:val="16"/>
                <w:szCs w:val="16"/>
                <w:lang w:val="nl-BE"/>
              </w:rPr>
              <w:t>Nvt</w:t>
            </w:r>
            <w:proofErr w:type="spellEnd"/>
            <w:r w:rsidRPr="00831F5A">
              <w:rPr>
                <w:rFonts w:cs="Arial"/>
                <w:sz w:val="16"/>
                <w:szCs w:val="16"/>
                <w:lang w:val="nl-BE"/>
              </w:rPr>
              <w:t>.</w:t>
            </w:r>
          </w:p>
          <w:p w14:paraId="471C61C9" w14:textId="77777777" w:rsidR="007859E5" w:rsidRPr="00831F5A" w:rsidRDefault="007859E5" w:rsidP="00A36C91">
            <w:pPr>
              <w:pStyle w:val="Plattetekst21"/>
              <w:spacing w:after="0"/>
              <w:ind w:left="0"/>
              <w:jc w:val="left"/>
              <w:rPr>
                <w:rFonts w:cs="Arial"/>
                <w:sz w:val="16"/>
                <w:szCs w:val="16"/>
                <w:lang w:val="nl-BE"/>
              </w:rPr>
            </w:pPr>
          </w:p>
          <w:p w14:paraId="68498C85" w14:textId="77777777" w:rsidR="007859E5" w:rsidRPr="00831F5A" w:rsidRDefault="007859E5" w:rsidP="00A36C91">
            <w:pPr>
              <w:pStyle w:val="Plattetekst21"/>
              <w:spacing w:after="0"/>
              <w:ind w:left="0"/>
              <w:jc w:val="left"/>
              <w:rPr>
                <w:rFonts w:cs="Arial"/>
                <w:sz w:val="16"/>
                <w:szCs w:val="16"/>
                <w:lang w:val="nl-BE"/>
              </w:rPr>
            </w:pPr>
          </w:p>
          <w:p w14:paraId="778F6FA3" w14:textId="77777777" w:rsidR="007859E5" w:rsidRPr="00831F5A" w:rsidRDefault="007859E5" w:rsidP="00A36C91">
            <w:pPr>
              <w:pStyle w:val="Plattetekst21"/>
              <w:spacing w:after="0"/>
              <w:ind w:left="0"/>
              <w:jc w:val="left"/>
              <w:rPr>
                <w:rFonts w:cs="Arial"/>
                <w:sz w:val="16"/>
                <w:szCs w:val="16"/>
                <w:lang w:val="nl-BE"/>
              </w:rPr>
            </w:pPr>
          </w:p>
          <w:p w14:paraId="26E02680" w14:textId="68A0B011" w:rsidR="007859E5" w:rsidRPr="00831F5A" w:rsidRDefault="007859E5" w:rsidP="00A36C91">
            <w:pPr>
              <w:pStyle w:val="Plattetekst21"/>
              <w:spacing w:after="0"/>
              <w:ind w:left="0"/>
              <w:jc w:val="left"/>
              <w:rPr>
                <w:rFonts w:cs="Arial"/>
                <w:sz w:val="16"/>
                <w:szCs w:val="16"/>
                <w:lang w:val="nl-BE"/>
              </w:rPr>
            </w:pPr>
            <w:proofErr w:type="spellStart"/>
            <w:r w:rsidRPr="00831F5A">
              <w:rPr>
                <w:rFonts w:cs="Arial"/>
                <w:sz w:val="16"/>
                <w:szCs w:val="16"/>
                <w:lang w:val="nl-BE"/>
              </w:rPr>
              <w:t>Nvt</w:t>
            </w:r>
            <w:proofErr w:type="spellEnd"/>
            <w:r w:rsidRPr="00831F5A">
              <w:rPr>
                <w:rFonts w:cs="Arial"/>
                <w:sz w:val="16"/>
                <w:szCs w:val="16"/>
                <w:lang w:val="nl-BE"/>
              </w:rPr>
              <w:t>.</w:t>
            </w:r>
          </w:p>
        </w:tc>
        <w:tc>
          <w:tcPr>
            <w:tcW w:w="993" w:type="dxa"/>
          </w:tcPr>
          <w:p w14:paraId="4CFA6EAD" w14:textId="538551AF"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 1 jaar</w:t>
            </w:r>
          </w:p>
          <w:p w14:paraId="20ADEFA5" w14:textId="77777777" w:rsidR="007859E5" w:rsidRPr="00831F5A" w:rsidRDefault="007859E5" w:rsidP="00A36C91">
            <w:pPr>
              <w:pStyle w:val="Plattetekst21"/>
              <w:spacing w:after="0"/>
              <w:ind w:left="0"/>
              <w:jc w:val="left"/>
              <w:rPr>
                <w:rFonts w:cs="Arial"/>
                <w:sz w:val="16"/>
                <w:szCs w:val="16"/>
                <w:lang w:val="nl-BE"/>
              </w:rPr>
            </w:pPr>
          </w:p>
          <w:p w14:paraId="6B2040EF" w14:textId="77777777" w:rsidR="007859E5" w:rsidRPr="00831F5A" w:rsidRDefault="007859E5" w:rsidP="00A36C91">
            <w:pPr>
              <w:pStyle w:val="Plattetekst21"/>
              <w:spacing w:after="0"/>
              <w:ind w:left="0"/>
              <w:jc w:val="left"/>
              <w:rPr>
                <w:rFonts w:cs="Arial"/>
                <w:sz w:val="16"/>
                <w:szCs w:val="16"/>
                <w:lang w:val="nl-BE"/>
              </w:rPr>
            </w:pPr>
          </w:p>
          <w:p w14:paraId="64C41DE9" w14:textId="77777777" w:rsidR="007859E5" w:rsidRPr="00831F5A" w:rsidRDefault="007859E5" w:rsidP="00A36C91">
            <w:pPr>
              <w:pStyle w:val="Plattetekst21"/>
              <w:spacing w:after="0"/>
              <w:ind w:left="0"/>
              <w:jc w:val="left"/>
              <w:rPr>
                <w:rFonts w:cs="Arial"/>
                <w:sz w:val="16"/>
                <w:szCs w:val="16"/>
                <w:lang w:val="nl-BE"/>
              </w:rPr>
            </w:pPr>
          </w:p>
          <w:p w14:paraId="1AED80A0" w14:textId="77777777" w:rsidR="007859E5" w:rsidRPr="00831F5A" w:rsidRDefault="007859E5" w:rsidP="00A36C91">
            <w:pPr>
              <w:pStyle w:val="Plattetekst21"/>
              <w:spacing w:after="0"/>
              <w:ind w:left="0"/>
              <w:jc w:val="left"/>
              <w:rPr>
                <w:rFonts w:cs="Arial"/>
                <w:sz w:val="16"/>
                <w:szCs w:val="16"/>
                <w:lang w:val="nl-BE"/>
              </w:rPr>
            </w:pPr>
          </w:p>
          <w:p w14:paraId="543B9CB6" w14:textId="4E7235E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 1 jaar</w:t>
            </w:r>
          </w:p>
        </w:tc>
        <w:tc>
          <w:tcPr>
            <w:tcW w:w="1134" w:type="dxa"/>
          </w:tcPr>
          <w:p w14:paraId="5289F2BF"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 1 jaar</w:t>
            </w:r>
          </w:p>
          <w:p w14:paraId="57545FE0" w14:textId="77777777" w:rsidR="007859E5" w:rsidRPr="00831F5A" w:rsidRDefault="007859E5" w:rsidP="00A36C91">
            <w:pPr>
              <w:pStyle w:val="Plattetekst21"/>
              <w:spacing w:after="0"/>
              <w:ind w:left="0"/>
              <w:jc w:val="left"/>
              <w:rPr>
                <w:rFonts w:cs="Arial"/>
                <w:sz w:val="16"/>
                <w:szCs w:val="16"/>
                <w:lang w:val="nl-BE"/>
              </w:rPr>
            </w:pPr>
          </w:p>
          <w:p w14:paraId="1E1B244A" w14:textId="77777777" w:rsidR="007859E5" w:rsidRPr="00831F5A" w:rsidRDefault="007859E5" w:rsidP="00A36C91">
            <w:pPr>
              <w:pStyle w:val="Plattetekst21"/>
              <w:spacing w:after="0"/>
              <w:ind w:left="0"/>
              <w:jc w:val="left"/>
              <w:rPr>
                <w:rFonts w:cs="Arial"/>
                <w:sz w:val="16"/>
                <w:szCs w:val="16"/>
                <w:lang w:val="nl-BE"/>
              </w:rPr>
            </w:pPr>
          </w:p>
          <w:p w14:paraId="0530AEFE" w14:textId="77777777" w:rsidR="007859E5" w:rsidRPr="00831F5A" w:rsidRDefault="007859E5" w:rsidP="00A36C91">
            <w:pPr>
              <w:pStyle w:val="Plattetekst21"/>
              <w:spacing w:after="0"/>
              <w:ind w:left="0"/>
              <w:jc w:val="left"/>
              <w:rPr>
                <w:rFonts w:cs="Arial"/>
                <w:sz w:val="16"/>
                <w:szCs w:val="16"/>
                <w:lang w:val="nl-BE"/>
              </w:rPr>
            </w:pPr>
          </w:p>
          <w:p w14:paraId="5AF04FC8" w14:textId="77777777" w:rsidR="007859E5" w:rsidRPr="00831F5A" w:rsidRDefault="007859E5" w:rsidP="00A36C91">
            <w:pPr>
              <w:pStyle w:val="Plattetekst21"/>
              <w:spacing w:after="0"/>
              <w:ind w:left="0"/>
              <w:jc w:val="left"/>
              <w:rPr>
                <w:rFonts w:cs="Arial"/>
                <w:sz w:val="16"/>
                <w:szCs w:val="16"/>
                <w:lang w:val="nl-BE"/>
              </w:rPr>
            </w:pPr>
          </w:p>
          <w:p w14:paraId="4EF33D51" w14:textId="67B469DA"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 1 jaar</w:t>
            </w:r>
          </w:p>
        </w:tc>
      </w:tr>
      <w:tr w:rsidR="007859E5" w:rsidRPr="00037A46" w14:paraId="55042F3E" w14:textId="64841B79" w:rsidTr="00DD039E">
        <w:trPr>
          <w:trHeight w:val="300"/>
        </w:trPr>
        <w:tc>
          <w:tcPr>
            <w:tcW w:w="2263" w:type="dxa"/>
            <w:shd w:val="clear" w:color="auto" w:fill="E0E0E0"/>
          </w:tcPr>
          <w:p w14:paraId="10637707" w14:textId="77777777" w:rsidR="007859E5" w:rsidRPr="00831F5A" w:rsidRDefault="007859E5" w:rsidP="00A36C91">
            <w:pPr>
              <w:pStyle w:val="Plattetekst21"/>
              <w:spacing w:after="0"/>
              <w:ind w:left="0"/>
              <w:jc w:val="left"/>
              <w:rPr>
                <w:rFonts w:cs="Arial"/>
                <w:sz w:val="16"/>
                <w:szCs w:val="16"/>
                <w:lang w:val="nl-BE"/>
              </w:rPr>
            </w:pPr>
            <w:bookmarkStart w:id="305" w:name="_Hlk215049279"/>
            <w:r w:rsidRPr="00831F5A">
              <w:rPr>
                <w:rFonts w:cs="Arial"/>
                <w:sz w:val="16"/>
                <w:szCs w:val="16"/>
                <w:lang w:val="nl-BE"/>
              </w:rPr>
              <w:t xml:space="preserve">Ziekteverlof bij statutairen </w:t>
            </w:r>
          </w:p>
          <w:p w14:paraId="52D9EF55" w14:textId="77777777" w:rsidR="007859E5" w:rsidRPr="00831F5A" w:rsidRDefault="007859E5" w:rsidP="00A36C91">
            <w:pPr>
              <w:pStyle w:val="Plattetekst21"/>
              <w:numPr>
                <w:ilvl w:val="0"/>
                <w:numId w:val="28"/>
              </w:numPr>
              <w:spacing w:after="0"/>
              <w:jc w:val="left"/>
              <w:rPr>
                <w:rFonts w:cs="Arial"/>
                <w:sz w:val="16"/>
                <w:szCs w:val="16"/>
                <w:lang w:val="nl-BE"/>
              </w:rPr>
            </w:pPr>
            <w:r w:rsidRPr="00831F5A">
              <w:rPr>
                <w:rFonts w:cs="Arial"/>
                <w:sz w:val="16"/>
                <w:szCs w:val="16"/>
                <w:lang w:val="nl-BE"/>
              </w:rPr>
              <w:t>Voltijds ziekteverlof</w:t>
            </w:r>
          </w:p>
          <w:p w14:paraId="746E025D" w14:textId="77777777" w:rsidR="007859E5" w:rsidRPr="00831F5A" w:rsidRDefault="007859E5" w:rsidP="00A36C91">
            <w:pPr>
              <w:pStyle w:val="Plattetekst21"/>
              <w:spacing w:after="0"/>
              <w:jc w:val="left"/>
              <w:rPr>
                <w:rFonts w:cs="Arial"/>
                <w:sz w:val="16"/>
                <w:szCs w:val="16"/>
                <w:lang w:val="nl-BE"/>
              </w:rPr>
            </w:pPr>
          </w:p>
          <w:p w14:paraId="7867B391" w14:textId="77777777" w:rsidR="007859E5" w:rsidRPr="00831F5A" w:rsidRDefault="007859E5" w:rsidP="00A36C91">
            <w:pPr>
              <w:pStyle w:val="Plattetekst21"/>
              <w:spacing w:after="0"/>
              <w:ind w:left="0"/>
              <w:jc w:val="left"/>
              <w:rPr>
                <w:rFonts w:cs="Arial"/>
                <w:sz w:val="16"/>
                <w:szCs w:val="16"/>
                <w:lang w:val="nl-BE"/>
              </w:rPr>
            </w:pPr>
          </w:p>
          <w:p w14:paraId="03BAAEF6" w14:textId="20947FDC" w:rsidR="007859E5" w:rsidRPr="00831F5A" w:rsidRDefault="007859E5" w:rsidP="007859E5">
            <w:pPr>
              <w:pStyle w:val="Plattetekst21"/>
              <w:spacing w:after="0"/>
              <w:jc w:val="left"/>
              <w:rPr>
                <w:rFonts w:cs="Arial"/>
                <w:sz w:val="16"/>
                <w:szCs w:val="16"/>
                <w:lang w:val="nl-BE"/>
              </w:rPr>
            </w:pPr>
          </w:p>
        </w:tc>
        <w:tc>
          <w:tcPr>
            <w:tcW w:w="1418" w:type="dxa"/>
          </w:tcPr>
          <w:p w14:paraId="2BD6D47B" w14:textId="77777777" w:rsidR="007859E5" w:rsidRPr="00831F5A" w:rsidRDefault="007859E5" w:rsidP="00A36C91">
            <w:pPr>
              <w:pStyle w:val="Plattetekst21"/>
              <w:spacing w:after="0"/>
              <w:ind w:left="0"/>
              <w:rPr>
                <w:rFonts w:cs="Arial"/>
                <w:sz w:val="16"/>
                <w:szCs w:val="16"/>
                <w:lang w:val="nl-BE"/>
              </w:rPr>
            </w:pPr>
          </w:p>
          <w:p w14:paraId="6BA2469A" w14:textId="4EAEA148" w:rsidR="007859E5" w:rsidRPr="00831F5A" w:rsidRDefault="007859E5" w:rsidP="00A36C91">
            <w:pPr>
              <w:pStyle w:val="Plattetekst21"/>
              <w:spacing w:after="0"/>
              <w:ind w:left="0"/>
              <w:rPr>
                <w:rFonts w:cs="Arial"/>
                <w:sz w:val="16"/>
                <w:szCs w:val="16"/>
                <w:lang w:val="nl-BE"/>
              </w:rPr>
            </w:pPr>
            <w:r w:rsidRPr="00831F5A">
              <w:rPr>
                <w:rFonts w:cs="Arial"/>
                <w:sz w:val="16"/>
                <w:szCs w:val="16"/>
                <w:lang w:val="nl-BE"/>
              </w:rPr>
              <w:t xml:space="preserve">Dienstactiviteit </w:t>
            </w:r>
          </w:p>
          <w:p w14:paraId="1302A5D7" w14:textId="1E8541E3" w:rsidR="007859E5" w:rsidRPr="00831F5A" w:rsidRDefault="007859E5" w:rsidP="00A36C91">
            <w:pPr>
              <w:pStyle w:val="Plattetekst21"/>
              <w:spacing w:after="0"/>
              <w:ind w:left="0"/>
              <w:rPr>
                <w:rFonts w:cs="Arial"/>
                <w:sz w:val="16"/>
                <w:szCs w:val="16"/>
                <w:lang w:val="nl-BE"/>
              </w:rPr>
            </w:pPr>
          </w:p>
        </w:tc>
        <w:tc>
          <w:tcPr>
            <w:tcW w:w="1276" w:type="dxa"/>
          </w:tcPr>
          <w:p w14:paraId="2B36F27A" w14:textId="793D75C2" w:rsidR="007859E5" w:rsidRPr="00831F5A" w:rsidRDefault="007859E5" w:rsidP="00A36C91">
            <w:pPr>
              <w:pStyle w:val="Plattetekst21"/>
              <w:spacing w:after="0"/>
              <w:ind w:left="0"/>
              <w:rPr>
                <w:rFonts w:cs="Arial"/>
                <w:sz w:val="16"/>
                <w:szCs w:val="16"/>
                <w:lang w:val="nl-BE"/>
              </w:rPr>
            </w:pPr>
          </w:p>
        </w:tc>
        <w:tc>
          <w:tcPr>
            <w:tcW w:w="1701" w:type="dxa"/>
          </w:tcPr>
          <w:p w14:paraId="760103D7" w14:textId="77777777" w:rsidR="007859E5" w:rsidRPr="00831F5A" w:rsidRDefault="007859E5" w:rsidP="00A36C91">
            <w:pPr>
              <w:pStyle w:val="Plattetekst21"/>
              <w:spacing w:after="0"/>
              <w:ind w:left="0"/>
              <w:rPr>
                <w:rFonts w:cs="Arial"/>
                <w:sz w:val="16"/>
                <w:szCs w:val="16"/>
                <w:lang w:val="nl-BE"/>
              </w:rPr>
            </w:pPr>
          </w:p>
          <w:p w14:paraId="1FFD40ED" w14:textId="77777777" w:rsidR="007859E5" w:rsidRPr="00831F5A" w:rsidRDefault="007859E5" w:rsidP="00A36C91">
            <w:pPr>
              <w:pStyle w:val="Plattetekst21"/>
              <w:spacing w:after="0"/>
              <w:ind w:left="0"/>
              <w:rPr>
                <w:rFonts w:cs="Arial"/>
                <w:sz w:val="16"/>
                <w:szCs w:val="16"/>
                <w:lang w:val="nl-BE"/>
              </w:rPr>
            </w:pPr>
            <w:r w:rsidRPr="00831F5A">
              <w:rPr>
                <w:rFonts w:cs="Arial"/>
                <w:sz w:val="16"/>
                <w:szCs w:val="16"/>
                <w:lang w:val="nl-BE"/>
              </w:rPr>
              <w:t>Ja</w:t>
            </w:r>
          </w:p>
          <w:p w14:paraId="51B07447" w14:textId="77777777" w:rsidR="007859E5" w:rsidRPr="00831F5A" w:rsidRDefault="007859E5" w:rsidP="00A36C91">
            <w:pPr>
              <w:pStyle w:val="Plattetekst21"/>
              <w:spacing w:after="0"/>
              <w:ind w:left="0"/>
              <w:rPr>
                <w:rFonts w:cs="Arial"/>
                <w:sz w:val="16"/>
                <w:szCs w:val="16"/>
                <w:lang w:val="nl-BE"/>
              </w:rPr>
            </w:pPr>
          </w:p>
          <w:p w14:paraId="1D7988E9" w14:textId="77777777" w:rsidR="007859E5" w:rsidRPr="00831F5A" w:rsidRDefault="007859E5" w:rsidP="00A36C91">
            <w:pPr>
              <w:pStyle w:val="Plattetekst21"/>
              <w:spacing w:after="0"/>
              <w:ind w:left="0"/>
              <w:rPr>
                <w:rFonts w:cs="Arial"/>
                <w:sz w:val="16"/>
                <w:szCs w:val="16"/>
                <w:lang w:val="nl-BE"/>
              </w:rPr>
            </w:pPr>
          </w:p>
          <w:p w14:paraId="2B27861A" w14:textId="17F1287A" w:rsidR="007859E5" w:rsidRPr="00831F5A" w:rsidRDefault="007859E5" w:rsidP="00A36C91">
            <w:pPr>
              <w:pStyle w:val="Plattetekst21"/>
              <w:spacing w:after="0"/>
              <w:ind w:left="0"/>
              <w:rPr>
                <w:rFonts w:cs="Arial"/>
                <w:sz w:val="16"/>
                <w:szCs w:val="16"/>
                <w:lang w:val="nl-BE"/>
              </w:rPr>
            </w:pPr>
          </w:p>
        </w:tc>
        <w:tc>
          <w:tcPr>
            <w:tcW w:w="1842" w:type="dxa"/>
          </w:tcPr>
          <w:p w14:paraId="26506F02" w14:textId="77777777" w:rsidR="007859E5" w:rsidRPr="00831F5A" w:rsidRDefault="007859E5" w:rsidP="00A36C91">
            <w:pPr>
              <w:pStyle w:val="Plattetekst21"/>
              <w:spacing w:after="0"/>
              <w:ind w:left="0"/>
              <w:rPr>
                <w:rFonts w:cs="Arial"/>
                <w:sz w:val="16"/>
                <w:szCs w:val="16"/>
                <w:lang w:val="nl-BE"/>
              </w:rPr>
            </w:pPr>
          </w:p>
          <w:p w14:paraId="76BF7837" w14:textId="77777777" w:rsidR="007859E5" w:rsidRPr="00831F5A" w:rsidRDefault="007859E5" w:rsidP="00A36C91">
            <w:pPr>
              <w:pStyle w:val="Plattetekst21"/>
              <w:spacing w:after="0"/>
              <w:ind w:left="0"/>
              <w:rPr>
                <w:rFonts w:cs="Arial"/>
                <w:sz w:val="16"/>
                <w:szCs w:val="16"/>
                <w:lang w:val="nl-BE"/>
              </w:rPr>
            </w:pPr>
            <w:r w:rsidRPr="00831F5A">
              <w:rPr>
                <w:rFonts w:cs="Arial"/>
                <w:sz w:val="16"/>
                <w:szCs w:val="16"/>
                <w:lang w:val="nl-BE"/>
              </w:rPr>
              <w:t>Ja</w:t>
            </w:r>
          </w:p>
          <w:p w14:paraId="2A73C3AD" w14:textId="77777777" w:rsidR="007859E5" w:rsidRPr="00831F5A" w:rsidRDefault="007859E5" w:rsidP="00A36C91">
            <w:pPr>
              <w:pStyle w:val="Plattetekst21"/>
              <w:spacing w:after="0"/>
              <w:ind w:left="0"/>
              <w:rPr>
                <w:rFonts w:cs="Arial"/>
                <w:sz w:val="16"/>
                <w:szCs w:val="16"/>
                <w:lang w:val="nl-BE"/>
              </w:rPr>
            </w:pPr>
          </w:p>
          <w:p w14:paraId="6D192A9C" w14:textId="77777777" w:rsidR="007859E5" w:rsidRPr="00831F5A" w:rsidRDefault="007859E5" w:rsidP="00A36C91">
            <w:pPr>
              <w:pStyle w:val="Plattetekst21"/>
              <w:spacing w:after="0"/>
              <w:ind w:left="0"/>
              <w:rPr>
                <w:rFonts w:cs="Arial"/>
                <w:sz w:val="16"/>
                <w:szCs w:val="16"/>
                <w:lang w:val="nl-BE"/>
              </w:rPr>
            </w:pPr>
          </w:p>
          <w:p w14:paraId="642B4BA0" w14:textId="19AA7D94" w:rsidR="007859E5" w:rsidRPr="00831F5A" w:rsidRDefault="007859E5" w:rsidP="00A36C91">
            <w:pPr>
              <w:pStyle w:val="Plattetekst21"/>
              <w:spacing w:after="0"/>
              <w:ind w:left="0"/>
              <w:rPr>
                <w:rFonts w:cs="Arial"/>
                <w:sz w:val="16"/>
                <w:szCs w:val="16"/>
                <w:lang w:val="nl-BE"/>
              </w:rPr>
            </w:pPr>
          </w:p>
        </w:tc>
        <w:tc>
          <w:tcPr>
            <w:tcW w:w="1560" w:type="dxa"/>
          </w:tcPr>
          <w:p w14:paraId="6225247F" w14:textId="77777777" w:rsidR="007859E5" w:rsidRPr="00831F5A" w:rsidRDefault="007859E5" w:rsidP="00A36C91">
            <w:pPr>
              <w:pStyle w:val="Plattetekst21"/>
              <w:spacing w:after="0"/>
              <w:ind w:left="0"/>
              <w:rPr>
                <w:rFonts w:cs="Arial"/>
                <w:sz w:val="16"/>
                <w:szCs w:val="16"/>
                <w:lang w:val="nl-BE"/>
              </w:rPr>
            </w:pPr>
          </w:p>
          <w:p w14:paraId="45F60556" w14:textId="77777777" w:rsidR="007859E5" w:rsidRPr="00831F5A" w:rsidRDefault="007859E5" w:rsidP="00A36C91">
            <w:pPr>
              <w:pStyle w:val="Plattetekst21"/>
              <w:spacing w:after="0"/>
              <w:ind w:left="0"/>
              <w:rPr>
                <w:rFonts w:cs="Arial"/>
                <w:sz w:val="16"/>
                <w:szCs w:val="16"/>
                <w:lang w:val="nl-BE"/>
              </w:rPr>
            </w:pPr>
            <w:r w:rsidRPr="00831F5A">
              <w:rPr>
                <w:rFonts w:cs="Arial"/>
                <w:sz w:val="16"/>
                <w:szCs w:val="16"/>
                <w:lang w:val="nl-BE"/>
              </w:rPr>
              <w:t>Ja</w:t>
            </w:r>
          </w:p>
          <w:p w14:paraId="0A378EFC" w14:textId="77777777" w:rsidR="007859E5" w:rsidRPr="00831F5A" w:rsidRDefault="007859E5" w:rsidP="00A36C91">
            <w:pPr>
              <w:pStyle w:val="Plattetekst21"/>
              <w:spacing w:after="0"/>
              <w:ind w:left="0"/>
              <w:rPr>
                <w:rFonts w:cs="Arial"/>
                <w:sz w:val="16"/>
                <w:szCs w:val="16"/>
                <w:lang w:val="nl-BE"/>
              </w:rPr>
            </w:pPr>
          </w:p>
          <w:p w14:paraId="6E4E0B41" w14:textId="77777777" w:rsidR="007859E5" w:rsidRPr="00831F5A" w:rsidRDefault="007859E5" w:rsidP="00A36C91">
            <w:pPr>
              <w:pStyle w:val="Plattetekst21"/>
              <w:spacing w:after="0"/>
              <w:ind w:left="0"/>
              <w:rPr>
                <w:rFonts w:cs="Arial"/>
                <w:sz w:val="16"/>
                <w:szCs w:val="16"/>
                <w:lang w:val="nl-BE"/>
              </w:rPr>
            </w:pPr>
          </w:p>
          <w:p w14:paraId="6B330D52" w14:textId="3CA06584" w:rsidR="007859E5" w:rsidRPr="00831F5A" w:rsidRDefault="007859E5" w:rsidP="00A36C91">
            <w:pPr>
              <w:pStyle w:val="Plattetekst21"/>
              <w:spacing w:after="0"/>
              <w:ind w:left="0"/>
              <w:rPr>
                <w:rFonts w:cs="Arial"/>
                <w:sz w:val="16"/>
                <w:szCs w:val="16"/>
                <w:lang w:val="nl-BE"/>
              </w:rPr>
            </w:pPr>
          </w:p>
        </w:tc>
        <w:tc>
          <w:tcPr>
            <w:tcW w:w="1275" w:type="dxa"/>
          </w:tcPr>
          <w:p w14:paraId="2092FA27" w14:textId="77777777" w:rsidR="007859E5" w:rsidRPr="00831F5A" w:rsidRDefault="007859E5" w:rsidP="00A36C91">
            <w:pPr>
              <w:pStyle w:val="Plattetekst21"/>
              <w:spacing w:after="0"/>
              <w:ind w:left="0"/>
              <w:rPr>
                <w:rFonts w:cs="Arial"/>
                <w:sz w:val="16"/>
                <w:szCs w:val="16"/>
                <w:lang w:val="nl-BE"/>
              </w:rPr>
            </w:pPr>
          </w:p>
          <w:p w14:paraId="41936B48" w14:textId="77777777" w:rsidR="007859E5" w:rsidRPr="00831F5A" w:rsidRDefault="007859E5" w:rsidP="00A36C91">
            <w:pPr>
              <w:pStyle w:val="Plattetekst21"/>
              <w:spacing w:after="0"/>
              <w:ind w:left="0"/>
              <w:rPr>
                <w:rFonts w:cs="Arial"/>
                <w:sz w:val="16"/>
                <w:szCs w:val="16"/>
                <w:lang w:val="nl-BE"/>
              </w:rPr>
            </w:pPr>
            <w:r w:rsidRPr="00831F5A">
              <w:rPr>
                <w:rFonts w:cs="Arial"/>
                <w:sz w:val="16"/>
                <w:szCs w:val="16"/>
                <w:lang w:val="nl-BE"/>
              </w:rPr>
              <w:t>Ja</w:t>
            </w:r>
          </w:p>
          <w:p w14:paraId="4F877D13" w14:textId="77777777" w:rsidR="007859E5" w:rsidRPr="00831F5A" w:rsidRDefault="007859E5" w:rsidP="00A36C91">
            <w:pPr>
              <w:pStyle w:val="Plattetekst21"/>
              <w:spacing w:after="0"/>
              <w:ind w:left="0"/>
              <w:rPr>
                <w:rFonts w:cs="Arial"/>
                <w:sz w:val="16"/>
                <w:szCs w:val="16"/>
                <w:lang w:val="nl-BE"/>
              </w:rPr>
            </w:pPr>
          </w:p>
          <w:p w14:paraId="127E3F60" w14:textId="77777777" w:rsidR="007859E5" w:rsidRPr="00831F5A" w:rsidRDefault="007859E5" w:rsidP="00A36C91">
            <w:pPr>
              <w:pStyle w:val="Plattetekst21"/>
              <w:spacing w:after="0"/>
              <w:ind w:left="0"/>
              <w:rPr>
                <w:rFonts w:cs="Arial"/>
                <w:sz w:val="16"/>
                <w:szCs w:val="16"/>
                <w:lang w:val="nl-BE"/>
              </w:rPr>
            </w:pPr>
          </w:p>
          <w:p w14:paraId="72C6F078" w14:textId="70634F1E" w:rsidR="007859E5" w:rsidRPr="00831F5A" w:rsidRDefault="007859E5" w:rsidP="00A36C91">
            <w:pPr>
              <w:pStyle w:val="Plattetekst21"/>
              <w:spacing w:after="0"/>
              <w:ind w:left="0"/>
              <w:rPr>
                <w:rFonts w:cs="Arial"/>
                <w:sz w:val="16"/>
                <w:szCs w:val="16"/>
                <w:lang w:val="nl-BE"/>
              </w:rPr>
            </w:pPr>
          </w:p>
        </w:tc>
        <w:tc>
          <w:tcPr>
            <w:tcW w:w="993" w:type="dxa"/>
          </w:tcPr>
          <w:p w14:paraId="44BC0F16" w14:textId="343B5873" w:rsidR="007859E5" w:rsidRPr="00831F5A" w:rsidRDefault="007859E5" w:rsidP="00A36C91">
            <w:pPr>
              <w:pStyle w:val="Plattetekst21"/>
              <w:spacing w:after="0"/>
              <w:ind w:left="0"/>
              <w:rPr>
                <w:rFonts w:cs="Arial"/>
                <w:sz w:val="16"/>
                <w:szCs w:val="16"/>
                <w:lang w:val="nl-BE"/>
              </w:rPr>
            </w:pPr>
          </w:p>
          <w:p w14:paraId="75BFEE87" w14:textId="3B945635" w:rsidR="007859E5" w:rsidRPr="00831F5A" w:rsidRDefault="007859E5" w:rsidP="00A36C91">
            <w:pPr>
              <w:pStyle w:val="Plattetekst21"/>
              <w:spacing w:after="0"/>
              <w:ind w:left="0"/>
              <w:rPr>
                <w:rFonts w:cs="Arial"/>
                <w:sz w:val="16"/>
                <w:szCs w:val="16"/>
                <w:lang w:val="nl-BE"/>
              </w:rPr>
            </w:pPr>
            <w:r w:rsidRPr="00831F5A">
              <w:rPr>
                <w:rFonts w:cs="Arial"/>
                <w:sz w:val="16"/>
                <w:szCs w:val="16"/>
                <w:lang w:val="nl-BE"/>
              </w:rPr>
              <w:t>Ja</w:t>
            </w:r>
          </w:p>
        </w:tc>
        <w:tc>
          <w:tcPr>
            <w:tcW w:w="1134" w:type="dxa"/>
          </w:tcPr>
          <w:p w14:paraId="57177FF8" w14:textId="77777777" w:rsidR="007859E5" w:rsidRPr="00831F5A" w:rsidRDefault="007859E5" w:rsidP="00A36C91">
            <w:pPr>
              <w:pStyle w:val="Plattetekst21"/>
              <w:spacing w:after="0"/>
              <w:ind w:left="0"/>
              <w:rPr>
                <w:rFonts w:cs="Arial"/>
                <w:sz w:val="16"/>
                <w:szCs w:val="16"/>
                <w:lang w:val="nl-BE"/>
              </w:rPr>
            </w:pPr>
          </w:p>
          <w:p w14:paraId="3B1EE300" w14:textId="7D9BA50B" w:rsidR="007859E5" w:rsidRPr="00831F5A" w:rsidRDefault="007859E5" w:rsidP="00A36C91">
            <w:pPr>
              <w:pStyle w:val="Plattetekst21"/>
              <w:spacing w:after="0"/>
              <w:ind w:left="0"/>
              <w:rPr>
                <w:rFonts w:cs="Arial"/>
                <w:sz w:val="16"/>
                <w:szCs w:val="16"/>
                <w:lang w:val="nl-BE"/>
              </w:rPr>
            </w:pPr>
            <w:r w:rsidRPr="00831F5A">
              <w:rPr>
                <w:rFonts w:cs="Arial"/>
                <w:sz w:val="16"/>
                <w:szCs w:val="16"/>
                <w:lang w:val="nl-BE"/>
              </w:rPr>
              <w:t>Ja</w:t>
            </w:r>
          </w:p>
        </w:tc>
      </w:tr>
      <w:bookmarkEnd w:id="305"/>
      <w:tr w:rsidR="007859E5" w:rsidRPr="00037A46" w14:paraId="4D2933FC" w14:textId="77777777" w:rsidTr="00DD039E">
        <w:trPr>
          <w:trHeight w:val="682"/>
        </w:trPr>
        <w:tc>
          <w:tcPr>
            <w:tcW w:w="2263" w:type="dxa"/>
            <w:tcBorders>
              <w:bottom w:val="single" w:sz="4" w:space="0" w:color="000000" w:themeColor="text1"/>
            </w:tcBorders>
            <w:shd w:val="clear" w:color="auto" w:fill="D9D9D9" w:themeFill="background1" w:themeFillShade="D9"/>
          </w:tcPr>
          <w:p w14:paraId="41C6D1EC"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Benaming van het verlof of de afwezigheid</w:t>
            </w:r>
            <w:r w:rsidRPr="00831F5A">
              <w:rPr>
                <w:rStyle w:val="Voetnootmarkering"/>
                <w:rFonts w:cs="Arial"/>
                <w:b/>
                <w:sz w:val="16"/>
                <w:szCs w:val="16"/>
                <w:lang w:val="nl-BE"/>
              </w:rPr>
              <w:footnoteReference w:id="5"/>
            </w:r>
          </w:p>
        </w:tc>
        <w:tc>
          <w:tcPr>
            <w:tcW w:w="1418" w:type="dxa"/>
            <w:shd w:val="clear" w:color="auto" w:fill="D9D9D9" w:themeFill="background1" w:themeFillShade="D9"/>
          </w:tcPr>
          <w:p w14:paraId="03702015"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Administratieve toestand</w:t>
            </w:r>
          </w:p>
        </w:tc>
        <w:tc>
          <w:tcPr>
            <w:tcW w:w="1276" w:type="dxa"/>
            <w:shd w:val="clear" w:color="auto" w:fill="D9D9D9" w:themeFill="background1" w:themeFillShade="D9"/>
          </w:tcPr>
          <w:p w14:paraId="7F8B74D5"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Recht op salaris</w:t>
            </w:r>
          </w:p>
        </w:tc>
        <w:tc>
          <w:tcPr>
            <w:tcW w:w="1701" w:type="dxa"/>
            <w:shd w:val="clear" w:color="auto" w:fill="D9D9D9" w:themeFill="background1" w:themeFillShade="D9"/>
          </w:tcPr>
          <w:p w14:paraId="240DF9DB"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Recht op periodieke salarisverhoging</w:t>
            </w:r>
          </w:p>
        </w:tc>
        <w:tc>
          <w:tcPr>
            <w:tcW w:w="1842" w:type="dxa"/>
            <w:shd w:val="clear" w:color="auto" w:fill="D9D9D9" w:themeFill="background1" w:themeFillShade="D9"/>
          </w:tcPr>
          <w:p w14:paraId="4736FE61"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Recht op schaalanciënniteit</w:t>
            </w:r>
          </w:p>
        </w:tc>
        <w:tc>
          <w:tcPr>
            <w:tcW w:w="1560" w:type="dxa"/>
            <w:shd w:val="clear" w:color="auto" w:fill="D9D9D9" w:themeFill="background1" w:themeFillShade="D9"/>
          </w:tcPr>
          <w:p w14:paraId="23C9B571"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Opbouw vakantiedagen</w:t>
            </w:r>
          </w:p>
        </w:tc>
        <w:tc>
          <w:tcPr>
            <w:tcW w:w="1275" w:type="dxa"/>
            <w:shd w:val="clear" w:color="auto" w:fill="D9D9D9" w:themeFill="background1" w:themeFillShade="D9"/>
          </w:tcPr>
          <w:p w14:paraId="0C42809A"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Opbouw ziektekrediet</w:t>
            </w:r>
          </w:p>
        </w:tc>
        <w:tc>
          <w:tcPr>
            <w:tcW w:w="993" w:type="dxa"/>
          </w:tcPr>
          <w:p w14:paraId="6E4C5189" w14:textId="641136FA" w:rsidR="007859E5" w:rsidRPr="00831F5A" w:rsidRDefault="007859E5" w:rsidP="00B63587">
            <w:pPr>
              <w:pStyle w:val="Plattetekst21"/>
              <w:ind w:left="0"/>
              <w:jc w:val="left"/>
              <w:rPr>
                <w:rFonts w:cs="Arial"/>
                <w:b/>
                <w:sz w:val="16"/>
                <w:szCs w:val="16"/>
                <w:lang w:val="nl-BE"/>
              </w:rPr>
            </w:pPr>
            <w:proofErr w:type="spellStart"/>
            <w:r w:rsidRPr="00831F5A">
              <w:rPr>
                <w:rFonts w:cs="Arial"/>
                <w:b/>
                <w:sz w:val="16"/>
                <w:szCs w:val="16"/>
                <w:lang w:val="nl-BE"/>
              </w:rPr>
              <w:t>Vakantie-geld</w:t>
            </w:r>
            <w:proofErr w:type="spellEnd"/>
          </w:p>
        </w:tc>
        <w:tc>
          <w:tcPr>
            <w:tcW w:w="1134" w:type="dxa"/>
          </w:tcPr>
          <w:p w14:paraId="00E0DA74" w14:textId="77777777" w:rsidR="007859E5" w:rsidRPr="00831F5A" w:rsidRDefault="007859E5" w:rsidP="00B63587">
            <w:pPr>
              <w:pStyle w:val="Plattetekst21"/>
              <w:ind w:left="0"/>
              <w:jc w:val="left"/>
              <w:rPr>
                <w:rFonts w:cs="Arial"/>
                <w:b/>
                <w:sz w:val="16"/>
                <w:szCs w:val="16"/>
                <w:lang w:val="nl-BE"/>
              </w:rPr>
            </w:pPr>
            <w:proofErr w:type="spellStart"/>
            <w:r w:rsidRPr="00831F5A">
              <w:rPr>
                <w:rFonts w:cs="Arial"/>
                <w:b/>
                <w:sz w:val="16"/>
                <w:szCs w:val="16"/>
                <w:lang w:val="nl-BE"/>
              </w:rPr>
              <w:t>Eindejaars</w:t>
            </w:r>
            <w:proofErr w:type="spellEnd"/>
            <w:r w:rsidRPr="00831F5A">
              <w:rPr>
                <w:rFonts w:cs="Arial"/>
                <w:b/>
                <w:sz w:val="16"/>
                <w:szCs w:val="16"/>
                <w:lang w:val="nl-BE"/>
              </w:rPr>
              <w:t>-toelage</w:t>
            </w:r>
          </w:p>
        </w:tc>
      </w:tr>
      <w:tr w:rsidR="007859E5" w:rsidRPr="00037A46" w14:paraId="761E417C" w14:textId="77777777" w:rsidTr="00DD039E">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263A7127" w14:textId="77777777" w:rsidR="007859E5" w:rsidRPr="00831F5A" w:rsidRDefault="007859E5" w:rsidP="00B63587">
            <w:pPr>
              <w:pStyle w:val="Plattetekst21"/>
              <w:spacing w:after="0"/>
              <w:ind w:left="0"/>
              <w:jc w:val="left"/>
              <w:rPr>
                <w:rFonts w:cs="Arial"/>
                <w:sz w:val="16"/>
                <w:szCs w:val="16"/>
                <w:lang w:val="nl-BE"/>
              </w:rPr>
            </w:pPr>
            <w:r w:rsidRPr="00831F5A">
              <w:rPr>
                <w:rFonts w:cs="Arial"/>
                <w:sz w:val="16"/>
                <w:szCs w:val="16"/>
                <w:lang w:val="nl-BE"/>
              </w:rPr>
              <w:t xml:space="preserve">Ziekteverlof bij statutairen </w:t>
            </w:r>
          </w:p>
          <w:p w14:paraId="3D3DB0BE" w14:textId="77777777" w:rsidR="007859E5" w:rsidRPr="00831F5A" w:rsidRDefault="007859E5" w:rsidP="007859E5">
            <w:pPr>
              <w:pStyle w:val="Plattetekst21"/>
              <w:numPr>
                <w:ilvl w:val="0"/>
                <w:numId w:val="119"/>
              </w:numPr>
              <w:spacing w:after="0"/>
              <w:jc w:val="left"/>
              <w:rPr>
                <w:rFonts w:cs="Arial"/>
                <w:sz w:val="16"/>
                <w:szCs w:val="16"/>
                <w:lang w:val="nl-BE"/>
              </w:rPr>
            </w:pPr>
            <w:r w:rsidRPr="00831F5A">
              <w:rPr>
                <w:rFonts w:cs="Arial"/>
                <w:sz w:val="16"/>
                <w:szCs w:val="16"/>
                <w:lang w:val="nl-BE"/>
              </w:rPr>
              <w:t xml:space="preserve">Deeltijds ziekteverlof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2317C" w14:textId="77777777" w:rsidR="007859E5" w:rsidRPr="00831F5A" w:rsidRDefault="007859E5" w:rsidP="00B63587">
            <w:pPr>
              <w:pStyle w:val="Plattetekst21"/>
              <w:spacing w:after="0"/>
              <w:ind w:left="0"/>
              <w:rPr>
                <w:rFonts w:cs="Arial"/>
                <w:sz w:val="16"/>
                <w:szCs w:val="16"/>
                <w:lang w:val="nl-BE"/>
              </w:rPr>
            </w:pPr>
          </w:p>
          <w:p w14:paraId="1092BECE" w14:textId="77777777" w:rsidR="007859E5" w:rsidRPr="00831F5A" w:rsidRDefault="007859E5" w:rsidP="00B63587">
            <w:pPr>
              <w:pStyle w:val="Plattetekst21"/>
              <w:spacing w:after="0"/>
              <w:ind w:left="0"/>
              <w:rPr>
                <w:rFonts w:cs="Arial"/>
                <w:sz w:val="16"/>
                <w:szCs w:val="16"/>
                <w:lang w:val="nl-BE"/>
              </w:rPr>
            </w:pPr>
            <w:r w:rsidRPr="00831F5A">
              <w:rPr>
                <w:rFonts w:cs="Arial"/>
                <w:sz w:val="16"/>
                <w:szCs w:val="16"/>
                <w:lang w:val="nl-BE"/>
              </w:rPr>
              <w:t xml:space="preserve">Dienstactiviteit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EA08D" w14:textId="77777777" w:rsidR="007859E5" w:rsidRPr="00831F5A" w:rsidRDefault="007859E5" w:rsidP="00B63587">
            <w:pPr>
              <w:pStyle w:val="Plattetekst21"/>
              <w:spacing w:after="0"/>
              <w:ind w:left="0"/>
              <w:rPr>
                <w:rFonts w:cs="Arial"/>
                <w:sz w:val="16"/>
                <w:szCs w:val="16"/>
                <w:lang w:val="nl-BE"/>
              </w:rPr>
            </w:pPr>
          </w:p>
          <w:p w14:paraId="14CBC493" w14:textId="77777777" w:rsidR="007859E5" w:rsidRPr="00831F5A" w:rsidRDefault="007859E5" w:rsidP="00B63587">
            <w:pPr>
              <w:pStyle w:val="Plattetekst21"/>
              <w:spacing w:after="0"/>
              <w:ind w:left="0"/>
              <w:rPr>
                <w:rFonts w:cs="Arial"/>
                <w:sz w:val="16"/>
                <w:szCs w:val="16"/>
                <w:lang w:val="nl-BE"/>
              </w:rPr>
            </w:pPr>
            <w:r w:rsidRPr="00831F5A">
              <w:rPr>
                <w:rFonts w:cs="Arial"/>
                <w:sz w:val="16"/>
                <w:szCs w:val="16"/>
                <w:lang w:val="nl-BE"/>
              </w:rPr>
              <w:t>Ziektekrediet: ja</w:t>
            </w:r>
          </w:p>
          <w:p w14:paraId="712A8DC7" w14:textId="1B4D0BA5" w:rsidR="007859E5" w:rsidRPr="00831F5A" w:rsidRDefault="007859E5" w:rsidP="00B63587">
            <w:pPr>
              <w:pStyle w:val="Plattetekst21"/>
              <w:spacing w:after="0"/>
              <w:ind w:left="0"/>
              <w:rPr>
                <w:rFonts w:cs="Arial"/>
                <w:sz w:val="16"/>
                <w:szCs w:val="16"/>
                <w:lang w:val="nl-BE"/>
              </w:rPr>
            </w:pPr>
            <w:r w:rsidRPr="00831F5A">
              <w:rPr>
                <w:rFonts w:cs="Arial"/>
                <w:sz w:val="16"/>
                <w:szCs w:val="16"/>
                <w:lang w:val="nl-BE"/>
              </w:rPr>
              <w:t>Zonder ziektekrediet: 37,5% van salaris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DF159" w14:textId="77777777" w:rsidR="007859E5" w:rsidRPr="00831F5A" w:rsidRDefault="007859E5" w:rsidP="00B63587">
            <w:pPr>
              <w:pStyle w:val="Plattetekst21"/>
              <w:spacing w:after="0"/>
              <w:ind w:left="0"/>
              <w:rPr>
                <w:rFonts w:cs="Arial"/>
                <w:sz w:val="16"/>
                <w:szCs w:val="16"/>
                <w:lang w:val="nl-BE"/>
              </w:rPr>
            </w:pPr>
          </w:p>
          <w:p w14:paraId="5D86E78E" w14:textId="77777777" w:rsidR="007859E5" w:rsidRPr="00831F5A" w:rsidRDefault="007859E5" w:rsidP="00B63587">
            <w:pPr>
              <w:pStyle w:val="Plattetekst21"/>
              <w:spacing w:after="0"/>
              <w:ind w:left="0"/>
              <w:rPr>
                <w:rFonts w:cs="Arial"/>
                <w:sz w:val="16"/>
                <w:szCs w:val="16"/>
                <w:lang w:val="nl-BE"/>
              </w:rPr>
            </w:pPr>
            <w:r w:rsidRPr="00831F5A">
              <w:rPr>
                <w:rFonts w:cs="Arial"/>
                <w:sz w:val="16"/>
                <w:szCs w:val="16"/>
                <w:lang w:val="nl-BE"/>
              </w:rPr>
              <w:t>Ja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E11F9" w14:textId="77777777" w:rsidR="007859E5" w:rsidRPr="00831F5A" w:rsidRDefault="007859E5" w:rsidP="00B63587">
            <w:pPr>
              <w:pStyle w:val="Plattetekst21"/>
              <w:spacing w:after="0"/>
              <w:ind w:left="0"/>
              <w:rPr>
                <w:rFonts w:cs="Arial"/>
                <w:sz w:val="16"/>
                <w:szCs w:val="16"/>
                <w:lang w:val="nl-BE"/>
              </w:rPr>
            </w:pPr>
          </w:p>
          <w:p w14:paraId="7AED9698" w14:textId="77777777" w:rsidR="007859E5" w:rsidRPr="00831F5A" w:rsidRDefault="007859E5" w:rsidP="00B63587">
            <w:pPr>
              <w:pStyle w:val="Plattetekst21"/>
              <w:spacing w:after="0"/>
              <w:ind w:left="0"/>
              <w:rPr>
                <w:rFonts w:cs="Arial"/>
                <w:sz w:val="16"/>
                <w:szCs w:val="16"/>
                <w:lang w:val="nl-BE"/>
              </w:rPr>
            </w:pPr>
            <w:r w:rsidRPr="00831F5A">
              <w:rPr>
                <w:rFonts w:cs="Arial"/>
                <w:sz w:val="16"/>
                <w:szCs w:val="16"/>
                <w:lang w:val="nl-BE"/>
              </w:rPr>
              <w:t xml:space="preserve">Ja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74114" w14:textId="77777777" w:rsidR="007859E5" w:rsidRPr="00831F5A" w:rsidRDefault="007859E5" w:rsidP="00B63587">
            <w:pPr>
              <w:pStyle w:val="Plattetekst21"/>
              <w:spacing w:after="0"/>
              <w:ind w:left="0"/>
              <w:rPr>
                <w:rFonts w:cs="Arial"/>
                <w:sz w:val="16"/>
                <w:szCs w:val="16"/>
                <w:lang w:val="nl-BE"/>
              </w:rPr>
            </w:pPr>
          </w:p>
          <w:p w14:paraId="5BEF49BD" w14:textId="77777777" w:rsidR="007859E5" w:rsidRPr="00831F5A" w:rsidRDefault="007859E5" w:rsidP="00B63587">
            <w:pPr>
              <w:pStyle w:val="Plattetekst21"/>
              <w:spacing w:after="0"/>
              <w:ind w:left="0"/>
              <w:rPr>
                <w:rFonts w:cs="Arial"/>
                <w:sz w:val="16"/>
                <w:szCs w:val="16"/>
                <w:lang w:val="nl-BE"/>
              </w:rPr>
            </w:pPr>
            <w:r w:rsidRPr="00831F5A">
              <w:rPr>
                <w:rFonts w:cs="Arial"/>
                <w:sz w:val="16"/>
                <w:szCs w:val="16"/>
                <w:lang w:val="nl-BE"/>
              </w:rPr>
              <w:t xml:space="preserve">Ja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CC5E2" w14:textId="77777777" w:rsidR="007859E5" w:rsidRPr="00831F5A" w:rsidRDefault="007859E5" w:rsidP="00B63587">
            <w:pPr>
              <w:pStyle w:val="Plattetekst21"/>
              <w:spacing w:after="0"/>
              <w:ind w:left="0"/>
              <w:rPr>
                <w:rFonts w:cs="Arial"/>
                <w:sz w:val="16"/>
                <w:szCs w:val="16"/>
                <w:lang w:val="nl-BE"/>
              </w:rPr>
            </w:pPr>
          </w:p>
          <w:p w14:paraId="0DB487C3" w14:textId="77777777" w:rsidR="007859E5" w:rsidRPr="00831F5A" w:rsidRDefault="007859E5" w:rsidP="00B63587">
            <w:pPr>
              <w:pStyle w:val="Plattetekst21"/>
              <w:spacing w:after="0"/>
              <w:ind w:left="0"/>
              <w:rPr>
                <w:rFonts w:cs="Arial"/>
                <w:sz w:val="16"/>
                <w:szCs w:val="16"/>
                <w:lang w:val="nl-BE"/>
              </w:rPr>
            </w:pPr>
            <w:r w:rsidRPr="00831F5A">
              <w:rPr>
                <w:rFonts w:cs="Arial"/>
                <w:sz w:val="16"/>
                <w:szCs w:val="16"/>
                <w:lang w:val="nl-BE"/>
              </w:rPr>
              <w:t xml:space="preserve">Ja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A56CE" w14:textId="087D0F3B" w:rsidR="007859E5" w:rsidRPr="00831F5A" w:rsidRDefault="007859E5" w:rsidP="00B63587">
            <w:pPr>
              <w:pStyle w:val="Plattetekst21"/>
              <w:spacing w:after="0"/>
              <w:ind w:left="0"/>
              <w:rPr>
                <w:rFonts w:cs="Arial"/>
                <w:sz w:val="16"/>
                <w:szCs w:val="16"/>
                <w:lang w:val="nl-BE"/>
              </w:rPr>
            </w:pPr>
          </w:p>
          <w:p w14:paraId="61C8F7FD" w14:textId="6EC62210" w:rsidR="007859E5" w:rsidRPr="00831F5A" w:rsidRDefault="007859E5" w:rsidP="00B63587">
            <w:pPr>
              <w:pStyle w:val="Plattetekst21"/>
              <w:spacing w:after="0"/>
              <w:ind w:left="0"/>
              <w:rPr>
                <w:rFonts w:cs="Arial"/>
                <w:sz w:val="16"/>
                <w:szCs w:val="16"/>
                <w:lang w:val="nl-BE"/>
              </w:rPr>
            </w:pPr>
            <w:r w:rsidRPr="00831F5A">
              <w:rPr>
                <w:rFonts w:cs="Arial"/>
                <w:sz w:val="16"/>
                <w:szCs w:val="16"/>
                <w:lang w:val="nl-BE"/>
              </w:rPr>
              <w:t>Ja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70554" w14:textId="77777777" w:rsidR="007859E5" w:rsidRPr="00831F5A" w:rsidRDefault="007859E5" w:rsidP="00B63587">
            <w:pPr>
              <w:pStyle w:val="Plattetekst21"/>
              <w:spacing w:after="0"/>
              <w:ind w:left="0"/>
              <w:rPr>
                <w:rFonts w:cs="Arial"/>
                <w:sz w:val="16"/>
                <w:szCs w:val="16"/>
                <w:lang w:val="nl-BE"/>
              </w:rPr>
            </w:pPr>
          </w:p>
          <w:p w14:paraId="75DE8EEE" w14:textId="478264EF" w:rsidR="007859E5" w:rsidRPr="00831F5A" w:rsidRDefault="007859E5" w:rsidP="00B63587">
            <w:pPr>
              <w:pStyle w:val="Plattetekst21"/>
              <w:spacing w:after="0"/>
              <w:ind w:left="0"/>
              <w:rPr>
                <w:rFonts w:cs="Arial"/>
                <w:sz w:val="16"/>
                <w:szCs w:val="16"/>
                <w:lang w:val="nl-BE"/>
              </w:rPr>
            </w:pPr>
            <w:r w:rsidRPr="00831F5A">
              <w:rPr>
                <w:rFonts w:cs="Arial"/>
                <w:sz w:val="16"/>
                <w:szCs w:val="16"/>
                <w:lang w:val="nl-BE"/>
              </w:rPr>
              <w:t>Ja</w:t>
            </w:r>
          </w:p>
        </w:tc>
      </w:tr>
      <w:tr w:rsidR="007859E5" w:rsidRPr="007859E5" w14:paraId="2DED6153" w14:textId="77777777" w:rsidTr="00DD039E">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676C93B1" w14:textId="7CE53001" w:rsidR="007859E5" w:rsidRPr="00831F5A" w:rsidRDefault="007859E5" w:rsidP="007859E5">
            <w:pPr>
              <w:pStyle w:val="Plattetekst21"/>
              <w:spacing w:after="0"/>
              <w:ind w:left="0"/>
              <w:jc w:val="left"/>
              <w:rPr>
                <w:rFonts w:cs="Arial"/>
                <w:sz w:val="16"/>
                <w:szCs w:val="16"/>
                <w:lang w:val="nl-BE"/>
              </w:rPr>
            </w:pPr>
            <w:r w:rsidRPr="00831F5A">
              <w:rPr>
                <w:rFonts w:cs="Arial"/>
                <w:sz w:val="16"/>
                <w:szCs w:val="16"/>
                <w:lang w:val="nl-BE"/>
              </w:rPr>
              <w:t>Arbeidsongeval/ beroepsziekte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AEA48" w14:textId="57897557"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Dienstactiviteit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AA518" w14:textId="4F6768DD"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Ja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C7ADD" w14:textId="4D2ED375"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Ja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22E67" w14:textId="1872FBEF"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Ja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AEF26" w14:textId="0E37BDCB"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Ja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55474" w14:textId="0B78D08B"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Ja</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5C333" w14:textId="514D21A3"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Ja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E6C4B" w14:textId="538AC07E"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Ja</w:t>
            </w:r>
          </w:p>
        </w:tc>
      </w:tr>
      <w:tr w:rsidR="007859E5" w:rsidRPr="00037A46" w14:paraId="15C57F49" w14:textId="77777777" w:rsidTr="00DD039E">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2350A03B" w14:textId="382D7891" w:rsidR="007859E5" w:rsidRPr="00831F5A" w:rsidRDefault="007859E5" w:rsidP="007859E5">
            <w:pPr>
              <w:pStyle w:val="Plattetekst21"/>
              <w:spacing w:after="0"/>
              <w:ind w:left="0"/>
              <w:jc w:val="left"/>
              <w:rPr>
                <w:rFonts w:cs="Arial"/>
                <w:sz w:val="16"/>
                <w:szCs w:val="16"/>
                <w:lang w:val="nl-BE"/>
              </w:rPr>
            </w:pPr>
            <w:r w:rsidRPr="00831F5A">
              <w:rPr>
                <w:rFonts w:cs="Arial"/>
                <w:sz w:val="16"/>
                <w:szCs w:val="16"/>
                <w:lang w:val="nl-BE"/>
              </w:rPr>
              <w:t>Deeltijds arbeidsongeval/ beroepsziekte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FC92E" w14:textId="0876D30C"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Dienstactiviteit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5CA12" w14:textId="518B2064"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Ja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5DEA5" w14:textId="61667C89"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Ja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B2C12" w14:textId="33C4764D"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Ja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676FF" w14:textId="6B5A4B03"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Ja, voor opbouw en opname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FE0EA" w14:textId="4B46C3AD"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Ja</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44767" w14:textId="69039CBE"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Ja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3FE74" w14:textId="15527945" w:rsidR="007859E5" w:rsidRPr="00831F5A" w:rsidRDefault="00831FC1" w:rsidP="007859E5">
            <w:pPr>
              <w:pStyle w:val="Plattetekst21"/>
              <w:spacing w:after="0"/>
              <w:ind w:left="0"/>
              <w:rPr>
                <w:rFonts w:cs="Arial"/>
                <w:sz w:val="16"/>
                <w:szCs w:val="16"/>
                <w:lang w:val="nl-BE"/>
              </w:rPr>
            </w:pPr>
            <w:r w:rsidRPr="00831F5A">
              <w:rPr>
                <w:rFonts w:cs="Arial"/>
                <w:sz w:val="16"/>
                <w:szCs w:val="16"/>
                <w:lang w:val="nl-BE"/>
              </w:rPr>
              <w:t>Ja</w:t>
            </w:r>
          </w:p>
        </w:tc>
      </w:tr>
      <w:tr w:rsidR="001F5D6B" w:rsidRPr="00037A46" w14:paraId="1F73D1EB" w14:textId="776E8BCF" w:rsidTr="00DD039E">
        <w:trPr>
          <w:trHeight w:val="300"/>
        </w:trPr>
        <w:tc>
          <w:tcPr>
            <w:tcW w:w="2263" w:type="dxa"/>
            <w:shd w:val="clear" w:color="auto" w:fill="D9D9D9" w:themeFill="background1" w:themeFillShade="D9"/>
          </w:tcPr>
          <w:p w14:paraId="620F9E07" w14:textId="77777777" w:rsidR="001F5D6B" w:rsidRPr="00831F5A" w:rsidRDefault="001F5D6B" w:rsidP="001F5D6B">
            <w:pPr>
              <w:pStyle w:val="Plattetekst21"/>
              <w:ind w:left="0"/>
              <w:jc w:val="left"/>
              <w:rPr>
                <w:rFonts w:cs="Arial"/>
                <w:sz w:val="16"/>
                <w:szCs w:val="16"/>
                <w:lang w:val="nl-BE"/>
              </w:rPr>
            </w:pPr>
            <w:r w:rsidRPr="00831F5A">
              <w:rPr>
                <w:rFonts w:cs="Arial"/>
                <w:sz w:val="16"/>
                <w:szCs w:val="16"/>
                <w:lang w:val="nl-BE"/>
              </w:rPr>
              <w:t xml:space="preserve">Disponibiliteit wegens ziekte of invaliditeit </w:t>
            </w:r>
          </w:p>
        </w:tc>
        <w:tc>
          <w:tcPr>
            <w:tcW w:w="1418" w:type="dxa"/>
          </w:tcPr>
          <w:p w14:paraId="0C2E615E" w14:textId="77777777" w:rsidR="001F5D6B" w:rsidRPr="00831F5A" w:rsidRDefault="001F5D6B" w:rsidP="001F5D6B">
            <w:pPr>
              <w:pStyle w:val="Plattetekst21"/>
              <w:ind w:left="0"/>
              <w:jc w:val="left"/>
              <w:rPr>
                <w:rFonts w:cs="Arial"/>
                <w:sz w:val="16"/>
                <w:szCs w:val="16"/>
                <w:lang w:val="nl-BE"/>
              </w:rPr>
            </w:pPr>
            <w:r w:rsidRPr="00831F5A">
              <w:rPr>
                <w:rFonts w:cs="Arial"/>
                <w:sz w:val="16"/>
                <w:szCs w:val="16"/>
                <w:lang w:val="nl-BE"/>
              </w:rPr>
              <w:t>Disponibiliteit</w:t>
            </w:r>
          </w:p>
        </w:tc>
        <w:tc>
          <w:tcPr>
            <w:tcW w:w="1276" w:type="dxa"/>
          </w:tcPr>
          <w:p w14:paraId="6A59F90F" w14:textId="604547B9" w:rsidR="001F5D6B" w:rsidRPr="00831F5A" w:rsidRDefault="001F5D6B" w:rsidP="001F5D6B">
            <w:pPr>
              <w:pStyle w:val="Plattetekst21"/>
              <w:ind w:left="0"/>
              <w:jc w:val="left"/>
              <w:rPr>
                <w:rFonts w:cs="Arial"/>
                <w:sz w:val="16"/>
                <w:szCs w:val="16"/>
                <w:lang w:val="nl-BE"/>
              </w:rPr>
            </w:pPr>
            <w:r w:rsidRPr="00831F5A">
              <w:rPr>
                <w:rFonts w:cs="Arial"/>
                <w:sz w:val="16"/>
                <w:szCs w:val="16"/>
                <w:lang w:val="nl-BE"/>
              </w:rPr>
              <w:t>Nee, wel wachtgeld</w:t>
            </w:r>
          </w:p>
        </w:tc>
        <w:tc>
          <w:tcPr>
            <w:tcW w:w="1701" w:type="dxa"/>
          </w:tcPr>
          <w:p w14:paraId="18B4B135" w14:textId="523D5618" w:rsidR="001F5D6B" w:rsidRPr="00831F5A" w:rsidRDefault="001F5D6B" w:rsidP="001F5D6B">
            <w:pPr>
              <w:pStyle w:val="Plattetekst21"/>
              <w:ind w:left="0"/>
              <w:jc w:val="left"/>
              <w:rPr>
                <w:rFonts w:cs="Arial"/>
                <w:sz w:val="16"/>
                <w:szCs w:val="16"/>
                <w:lang w:val="nl-BE"/>
              </w:rPr>
            </w:pPr>
            <w:r w:rsidRPr="00831F5A">
              <w:rPr>
                <w:rFonts w:cs="Arial"/>
                <w:sz w:val="16"/>
                <w:szCs w:val="16"/>
                <w:lang w:val="nl-BE"/>
              </w:rPr>
              <w:t xml:space="preserve">Ja, voor </w:t>
            </w:r>
            <w:r w:rsidR="009B270E" w:rsidRPr="00831F5A">
              <w:rPr>
                <w:rFonts w:cs="Arial"/>
                <w:sz w:val="16"/>
                <w:szCs w:val="16"/>
                <w:lang w:val="nl-BE"/>
              </w:rPr>
              <w:t>1</w:t>
            </w:r>
            <w:r w:rsidRPr="00831F5A">
              <w:rPr>
                <w:rFonts w:cs="Arial"/>
                <w:sz w:val="16"/>
                <w:szCs w:val="16"/>
                <w:lang w:val="nl-BE"/>
              </w:rPr>
              <w:t xml:space="preserve"> jaar</w:t>
            </w:r>
          </w:p>
        </w:tc>
        <w:tc>
          <w:tcPr>
            <w:tcW w:w="1842" w:type="dxa"/>
          </w:tcPr>
          <w:p w14:paraId="66FF0249" w14:textId="0680BE16" w:rsidR="001F5D6B" w:rsidRPr="00831F5A" w:rsidRDefault="001F5D6B" w:rsidP="001F5D6B">
            <w:pPr>
              <w:pStyle w:val="Plattetekst21"/>
              <w:ind w:left="0"/>
              <w:jc w:val="left"/>
              <w:rPr>
                <w:rFonts w:cs="Arial"/>
                <w:bCs/>
                <w:iCs/>
                <w:sz w:val="16"/>
                <w:szCs w:val="16"/>
                <w:lang w:val="nl-BE"/>
              </w:rPr>
            </w:pPr>
            <w:r w:rsidRPr="00831F5A">
              <w:rPr>
                <w:rFonts w:cs="Arial"/>
                <w:bCs/>
                <w:iCs/>
                <w:sz w:val="16"/>
                <w:szCs w:val="16"/>
                <w:lang w:val="nl-BE"/>
              </w:rPr>
              <w:t>Ja, voor</w:t>
            </w:r>
            <w:r w:rsidR="009B270E" w:rsidRPr="00831F5A">
              <w:rPr>
                <w:rFonts w:cs="Arial"/>
                <w:bCs/>
                <w:iCs/>
                <w:sz w:val="16"/>
                <w:szCs w:val="16"/>
                <w:lang w:val="nl-BE"/>
              </w:rPr>
              <w:t xml:space="preserve"> 1</w:t>
            </w:r>
            <w:r w:rsidRPr="00831F5A">
              <w:rPr>
                <w:rFonts w:cs="Arial"/>
                <w:bCs/>
                <w:iCs/>
                <w:sz w:val="16"/>
                <w:szCs w:val="16"/>
                <w:lang w:val="nl-BE"/>
              </w:rPr>
              <w:t xml:space="preserve"> jaar</w:t>
            </w:r>
          </w:p>
        </w:tc>
        <w:tc>
          <w:tcPr>
            <w:tcW w:w="1560" w:type="dxa"/>
          </w:tcPr>
          <w:p w14:paraId="20C5D189" w14:textId="253E9052" w:rsidR="001F5D6B" w:rsidRPr="00831F5A" w:rsidRDefault="001F5D6B" w:rsidP="001F5D6B">
            <w:pPr>
              <w:pStyle w:val="Plattetekst21"/>
              <w:ind w:left="0"/>
              <w:jc w:val="left"/>
              <w:rPr>
                <w:rFonts w:cs="Arial"/>
                <w:sz w:val="16"/>
                <w:szCs w:val="16"/>
                <w:lang w:val="nl-BE"/>
              </w:rPr>
            </w:pPr>
            <w:r w:rsidRPr="00831F5A">
              <w:rPr>
                <w:rFonts w:cs="Arial"/>
                <w:sz w:val="16"/>
                <w:szCs w:val="16"/>
                <w:lang w:val="nl-BE"/>
              </w:rPr>
              <w:t xml:space="preserve">Ja, voor </w:t>
            </w:r>
            <w:r w:rsidR="009B270E" w:rsidRPr="00831F5A">
              <w:rPr>
                <w:rFonts w:cs="Arial"/>
                <w:sz w:val="16"/>
                <w:szCs w:val="16"/>
                <w:lang w:val="nl-BE"/>
              </w:rPr>
              <w:t>1</w:t>
            </w:r>
            <w:r w:rsidRPr="00831F5A">
              <w:rPr>
                <w:rFonts w:cs="Arial"/>
                <w:sz w:val="16"/>
                <w:szCs w:val="16"/>
                <w:lang w:val="nl-BE"/>
              </w:rPr>
              <w:t xml:space="preserve"> jaar</w:t>
            </w:r>
          </w:p>
        </w:tc>
        <w:tc>
          <w:tcPr>
            <w:tcW w:w="1275" w:type="dxa"/>
          </w:tcPr>
          <w:p w14:paraId="60044910" w14:textId="16A6C85D" w:rsidR="001F5D6B" w:rsidRPr="00831F5A" w:rsidRDefault="001F5D6B" w:rsidP="001F5D6B">
            <w:pPr>
              <w:pStyle w:val="Plattetekst21"/>
              <w:ind w:left="0"/>
              <w:jc w:val="left"/>
              <w:rPr>
                <w:rFonts w:cs="Arial"/>
                <w:sz w:val="16"/>
                <w:szCs w:val="16"/>
                <w:lang w:val="nl-BE"/>
              </w:rPr>
            </w:pPr>
            <w:r w:rsidRPr="00831F5A">
              <w:rPr>
                <w:rFonts w:cs="Arial"/>
                <w:sz w:val="16"/>
                <w:szCs w:val="16"/>
                <w:lang w:val="nl-BE"/>
              </w:rPr>
              <w:t xml:space="preserve">Ja, voor </w:t>
            </w:r>
            <w:r w:rsidR="009B270E" w:rsidRPr="00831F5A">
              <w:rPr>
                <w:rFonts w:cs="Arial"/>
                <w:sz w:val="16"/>
                <w:szCs w:val="16"/>
                <w:lang w:val="nl-BE"/>
              </w:rPr>
              <w:t>1</w:t>
            </w:r>
            <w:r w:rsidRPr="00831F5A">
              <w:rPr>
                <w:rFonts w:cs="Arial"/>
                <w:sz w:val="16"/>
                <w:szCs w:val="16"/>
                <w:lang w:val="nl-BE"/>
              </w:rPr>
              <w:t xml:space="preserve"> jaar</w:t>
            </w:r>
          </w:p>
        </w:tc>
        <w:tc>
          <w:tcPr>
            <w:tcW w:w="993" w:type="dxa"/>
          </w:tcPr>
          <w:p w14:paraId="66F677F6" w14:textId="76487DF5" w:rsidR="001F5D6B" w:rsidRPr="00831F5A" w:rsidRDefault="001F5D6B" w:rsidP="001F5D6B">
            <w:pPr>
              <w:spacing w:before="0" w:after="0"/>
              <w:ind w:left="0"/>
              <w:jc w:val="left"/>
              <w:rPr>
                <w:sz w:val="16"/>
                <w:szCs w:val="16"/>
              </w:rPr>
            </w:pPr>
            <w:r w:rsidRPr="00831F5A">
              <w:rPr>
                <w:sz w:val="16"/>
                <w:szCs w:val="16"/>
              </w:rPr>
              <w:t>Ja; 1 jaar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50AA3" w14:textId="4E77A281" w:rsidR="001F5D6B" w:rsidRPr="00831F5A" w:rsidRDefault="001F5D6B" w:rsidP="001F5D6B">
            <w:pPr>
              <w:spacing w:before="0" w:after="0"/>
              <w:ind w:left="0"/>
              <w:jc w:val="left"/>
            </w:pPr>
            <w:r w:rsidRPr="00831F5A">
              <w:rPr>
                <w:sz w:val="16"/>
                <w:szCs w:val="16"/>
              </w:rPr>
              <w:t>Ja; 1 jaar</w:t>
            </w:r>
          </w:p>
        </w:tc>
      </w:tr>
      <w:tr w:rsidR="00DD039E" w:rsidRPr="00037A46" w14:paraId="727EDB07" w14:textId="1B5974A7" w:rsidTr="00DD039E">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572026B"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 xml:space="preserve">Omstandigheidsverlof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3ADA4"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Dienstactiviteit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96691"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07110"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E48FB"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4C259"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0D8ED" w14:textId="46E0AD2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 xml:space="preserve">Ja  </w:t>
            </w:r>
          </w:p>
        </w:tc>
        <w:tc>
          <w:tcPr>
            <w:tcW w:w="993" w:type="dxa"/>
          </w:tcPr>
          <w:p w14:paraId="51DCE27D" w14:textId="1A78DD77" w:rsidR="00DD039E" w:rsidRPr="00831F5A" w:rsidRDefault="00DD039E" w:rsidP="00DD039E">
            <w:pPr>
              <w:spacing w:before="0" w:after="0"/>
              <w:ind w:left="0"/>
              <w:jc w:val="left"/>
            </w:pPr>
            <w:r w:rsidRPr="00831F5A">
              <w:rPr>
                <w:rFonts w:cs="Arial"/>
                <w:sz w:val="16"/>
                <w:szCs w:val="16"/>
                <w:lang w:val="nl-BE"/>
              </w:rPr>
              <w:t>Ja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9BB9D" w14:textId="29D4CBDD" w:rsidR="00DD039E" w:rsidRPr="00831F5A" w:rsidRDefault="00DD039E" w:rsidP="00DD039E">
            <w:pPr>
              <w:spacing w:before="0" w:after="0"/>
              <w:ind w:left="0"/>
              <w:jc w:val="left"/>
            </w:pPr>
            <w:r w:rsidRPr="00831F5A">
              <w:rPr>
                <w:rFonts w:cs="Arial"/>
                <w:sz w:val="16"/>
                <w:szCs w:val="16"/>
                <w:lang w:val="nl-BE"/>
              </w:rPr>
              <w:t>Ja</w:t>
            </w:r>
          </w:p>
        </w:tc>
      </w:tr>
      <w:tr w:rsidR="001F5D6B" w:rsidRPr="00037A46" w14:paraId="2E4A1B42" w14:textId="41AEE5AF" w:rsidTr="00DD039E">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7A5A112" w14:textId="632FAA7D" w:rsidR="001F5D6B" w:rsidRPr="00831F5A" w:rsidRDefault="001F5D6B" w:rsidP="001F5D6B">
            <w:pPr>
              <w:pStyle w:val="Plattetekst21"/>
              <w:ind w:left="0"/>
              <w:rPr>
                <w:rFonts w:cs="Arial"/>
                <w:sz w:val="16"/>
                <w:szCs w:val="16"/>
                <w:lang w:val="nl-BE"/>
              </w:rPr>
            </w:pPr>
            <w:r w:rsidRPr="00831F5A">
              <w:rPr>
                <w:rFonts w:cs="Arial"/>
                <w:sz w:val="16"/>
                <w:szCs w:val="16"/>
                <w:lang w:val="nl-BE"/>
              </w:rPr>
              <w:t>Onbetaald verlof zoals voorzien in artikel 19</w:t>
            </w:r>
            <w:r w:rsidR="00831FC1" w:rsidRPr="00831F5A">
              <w:rPr>
                <w:rFonts w:cs="Arial"/>
                <w:sz w:val="16"/>
                <w:szCs w:val="16"/>
                <w:lang w:val="nl-BE"/>
              </w:rPr>
              <w:t>7</w:t>
            </w:r>
            <w:r w:rsidRPr="00831F5A">
              <w:rPr>
                <w:rFonts w:cs="Arial"/>
                <w:sz w:val="16"/>
                <w:szCs w:val="16"/>
                <w:lang w:val="nl-BE"/>
              </w:rPr>
              <w:t xml:space="preserve"> §1, 1° en 2° (gunst)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50A76" w14:textId="27BBA29C" w:rsidR="001F5D6B" w:rsidRPr="00831F5A" w:rsidRDefault="001F5D6B" w:rsidP="00831FC1">
            <w:pPr>
              <w:pStyle w:val="Plattetekst21"/>
              <w:ind w:left="0"/>
              <w:jc w:val="left"/>
              <w:rPr>
                <w:rFonts w:cs="Arial"/>
                <w:sz w:val="16"/>
                <w:szCs w:val="16"/>
                <w:lang w:val="nl-BE"/>
              </w:rPr>
            </w:pPr>
            <w:r w:rsidRPr="00831F5A">
              <w:rPr>
                <w:rFonts w:cs="Arial"/>
                <w:sz w:val="16"/>
                <w:szCs w:val="16"/>
                <w:lang w:val="nl-BE"/>
              </w:rPr>
              <w:t xml:space="preserve">Dienstactiviteit </w:t>
            </w:r>
            <w:r w:rsidR="00831FC1" w:rsidRPr="00831F5A">
              <w:rPr>
                <w:rFonts w:cs="Arial"/>
                <w:sz w:val="16"/>
                <w:szCs w:val="16"/>
                <w:lang w:val="nl-BE"/>
              </w:rPr>
              <w:t xml:space="preserve">bij minder dan 1 </w:t>
            </w:r>
            <w:proofErr w:type="spellStart"/>
            <w:r w:rsidR="00831FC1" w:rsidRPr="00831F5A">
              <w:rPr>
                <w:rFonts w:cs="Arial"/>
                <w:sz w:val="16"/>
                <w:szCs w:val="16"/>
                <w:lang w:val="nl-BE"/>
              </w:rPr>
              <w:t>mnd</w:t>
            </w:r>
            <w:proofErr w:type="spellEnd"/>
            <w:r w:rsidR="00831FC1" w:rsidRPr="00831F5A">
              <w:rPr>
                <w:rFonts w:cs="Arial"/>
                <w:sz w:val="16"/>
                <w:szCs w:val="16"/>
                <w:lang w:val="nl-BE"/>
              </w:rPr>
              <w:t xml:space="preserve"> of deeltijds</w:t>
            </w:r>
          </w:p>
          <w:p w14:paraId="7820D706" w14:textId="34C28F9C" w:rsidR="00831FC1" w:rsidRPr="00831F5A" w:rsidRDefault="00831FC1" w:rsidP="00831FC1">
            <w:pPr>
              <w:pStyle w:val="Plattetekst21"/>
              <w:ind w:left="0"/>
              <w:jc w:val="left"/>
              <w:rPr>
                <w:rFonts w:cs="Arial"/>
                <w:sz w:val="16"/>
                <w:szCs w:val="16"/>
                <w:lang w:val="nl-BE"/>
              </w:rPr>
            </w:pPr>
            <w:r w:rsidRPr="00831F5A">
              <w:rPr>
                <w:rFonts w:cs="Arial"/>
                <w:sz w:val="16"/>
                <w:szCs w:val="16"/>
                <w:lang w:val="nl-BE"/>
              </w:rPr>
              <w:t xml:space="preserve">Non-activiteit bij meer dan 1 </w:t>
            </w:r>
            <w:proofErr w:type="spellStart"/>
            <w:r w:rsidRPr="00831F5A">
              <w:rPr>
                <w:rFonts w:cs="Arial"/>
                <w:sz w:val="16"/>
                <w:szCs w:val="16"/>
                <w:lang w:val="nl-BE"/>
              </w:rPr>
              <w:t>mnd</w:t>
            </w:r>
            <w:proofErr w:type="spellEnd"/>
            <w:r w:rsidRPr="00831F5A">
              <w:rPr>
                <w:rFonts w:cs="Arial"/>
                <w:sz w:val="16"/>
                <w:szCs w:val="16"/>
                <w:lang w:val="nl-BE"/>
              </w:rPr>
              <w:t xml:space="preserve"> VT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5F6D2" w14:textId="77777777" w:rsidR="001F5D6B" w:rsidRPr="00831F5A" w:rsidRDefault="001F5D6B" w:rsidP="001F5D6B">
            <w:pPr>
              <w:pStyle w:val="Plattetekst21"/>
              <w:ind w:left="0"/>
              <w:rPr>
                <w:rFonts w:cs="Arial"/>
                <w:sz w:val="16"/>
                <w:szCs w:val="16"/>
                <w:lang w:val="nl-BE"/>
              </w:rPr>
            </w:pPr>
            <w:r w:rsidRPr="00831F5A">
              <w:rPr>
                <w:rFonts w:cs="Arial"/>
                <w:sz w:val="16"/>
                <w:szCs w:val="16"/>
                <w:lang w:val="nl-BE"/>
              </w:rPr>
              <w:t>Nee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710A6" w14:textId="77777777" w:rsidR="001F5D6B" w:rsidRPr="00831F5A" w:rsidRDefault="001F5D6B" w:rsidP="001F5D6B">
            <w:pPr>
              <w:pStyle w:val="Plattetekst21"/>
              <w:ind w:left="0"/>
              <w:rPr>
                <w:rFonts w:cs="Arial"/>
                <w:sz w:val="16"/>
                <w:szCs w:val="16"/>
                <w:lang w:val="nl-BE"/>
              </w:rPr>
            </w:pPr>
            <w:r w:rsidRPr="00831F5A">
              <w:rPr>
                <w:rFonts w:cs="Arial"/>
                <w:sz w:val="16"/>
                <w:szCs w:val="16"/>
                <w:lang w:val="nl-BE"/>
              </w:rPr>
              <w:t>Voltijds: nee</w:t>
            </w:r>
          </w:p>
          <w:p w14:paraId="773A90A8" w14:textId="59BB85BF" w:rsidR="001F5D6B" w:rsidRPr="00831F5A" w:rsidRDefault="001F5D6B" w:rsidP="001F5D6B">
            <w:pPr>
              <w:pStyle w:val="Plattetekst21"/>
              <w:ind w:left="0"/>
              <w:rPr>
                <w:rFonts w:cs="Arial"/>
                <w:sz w:val="16"/>
                <w:szCs w:val="16"/>
                <w:lang w:val="nl-BE"/>
              </w:rPr>
            </w:pPr>
            <w:r w:rsidRPr="00831F5A">
              <w:rPr>
                <w:rFonts w:cs="Arial"/>
                <w:sz w:val="16"/>
                <w:szCs w:val="16"/>
                <w:lang w:val="nl-BE"/>
              </w:rPr>
              <w:t>Deeltijds: Ja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9F5BB" w14:textId="77777777" w:rsidR="001F5D6B" w:rsidRPr="00831F5A" w:rsidRDefault="001F5D6B" w:rsidP="001F5D6B">
            <w:pPr>
              <w:pStyle w:val="Plattetekst21"/>
              <w:ind w:left="0"/>
              <w:rPr>
                <w:rFonts w:cs="Arial"/>
                <w:sz w:val="16"/>
                <w:szCs w:val="16"/>
                <w:lang w:val="nl-BE"/>
              </w:rPr>
            </w:pPr>
            <w:r w:rsidRPr="00831F5A">
              <w:rPr>
                <w:rFonts w:cs="Arial"/>
                <w:sz w:val="16"/>
                <w:szCs w:val="16"/>
                <w:lang w:val="nl-BE"/>
              </w:rPr>
              <w:t>Voltijds: nee</w:t>
            </w:r>
          </w:p>
          <w:p w14:paraId="1CCC69FB" w14:textId="5604CC8A" w:rsidR="001F5D6B" w:rsidRPr="00831F5A" w:rsidRDefault="001F5D6B" w:rsidP="001F5D6B">
            <w:pPr>
              <w:pStyle w:val="Plattetekst21"/>
              <w:ind w:left="0"/>
              <w:rPr>
                <w:rFonts w:cs="Arial"/>
                <w:sz w:val="16"/>
                <w:szCs w:val="16"/>
                <w:lang w:val="nl-BE"/>
              </w:rPr>
            </w:pPr>
            <w:r w:rsidRPr="00831F5A">
              <w:rPr>
                <w:rFonts w:cs="Arial"/>
                <w:sz w:val="16"/>
                <w:szCs w:val="16"/>
                <w:lang w:val="nl-BE"/>
              </w:rPr>
              <w:t>Deeltijds: Ja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19ED3" w14:textId="17D16788" w:rsidR="001F5D6B" w:rsidRPr="00831F5A" w:rsidRDefault="001F5D6B" w:rsidP="001F5D6B">
            <w:pPr>
              <w:pStyle w:val="Plattetekst21"/>
              <w:ind w:left="0"/>
              <w:rPr>
                <w:rFonts w:cs="Arial"/>
                <w:sz w:val="16"/>
                <w:szCs w:val="16"/>
                <w:lang w:val="nl-BE"/>
              </w:rPr>
            </w:pPr>
            <w:r w:rsidRPr="00831F5A">
              <w:rPr>
                <w:rFonts w:cs="Arial"/>
                <w:sz w:val="16"/>
                <w:szCs w:val="16"/>
                <w:lang w:val="nl-BE"/>
              </w:rPr>
              <w:t>Nee</w:t>
            </w:r>
            <w:r w:rsidR="0002100D" w:rsidRPr="00831F5A">
              <w:rPr>
                <w:rFonts w:cs="Arial"/>
                <w:sz w:val="16"/>
                <w:szCs w:val="16"/>
                <w:lang w:val="nl-BE"/>
              </w:rPr>
              <w:t>, tenzij 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6DD71" w14:textId="29525A27" w:rsidR="001F5D6B" w:rsidRPr="00831F5A" w:rsidRDefault="001F5D6B" w:rsidP="001F5D6B">
            <w:pPr>
              <w:pStyle w:val="Plattetekst21"/>
              <w:ind w:left="0"/>
              <w:rPr>
                <w:rFonts w:cs="Arial"/>
                <w:sz w:val="16"/>
                <w:szCs w:val="16"/>
                <w:lang w:val="nl-BE"/>
              </w:rPr>
            </w:pPr>
            <w:r w:rsidRPr="00831F5A">
              <w:rPr>
                <w:rFonts w:cs="Arial"/>
                <w:sz w:val="16"/>
                <w:szCs w:val="16"/>
                <w:lang w:val="nl-BE"/>
              </w:rPr>
              <w:t>Nee</w:t>
            </w:r>
            <w:r w:rsidR="0002100D" w:rsidRPr="00831F5A">
              <w:rPr>
                <w:rFonts w:cs="Arial"/>
                <w:sz w:val="16"/>
                <w:szCs w:val="16"/>
                <w:lang w:val="nl-BE"/>
              </w:rPr>
              <w:t>, tenzij 1°</w:t>
            </w:r>
          </w:p>
        </w:tc>
        <w:tc>
          <w:tcPr>
            <w:tcW w:w="993" w:type="dxa"/>
          </w:tcPr>
          <w:p w14:paraId="6DAE447C" w14:textId="0E509460" w:rsidR="001F5D6B" w:rsidRPr="00831F5A" w:rsidRDefault="0002100D" w:rsidP="001F5D6B">
            <w:pPr>
              <w:spacing w:before="0" w:after="0"/>
              <w:ind w:left="0"/>
              <w:jc w:val="left"/>
            </w:pPr>
            <w:r w:rsidRPr="00831F5A">
              <w:rPr>
                <w:rFonts w:cs="Arial"/>
                <w:sz w:val="16"/>
                <w:szCs w:val="16"/>
                <w:lang w:val="nl-BE"/>
              </w:rPr>
              <w:t>Nee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6480D" w14:textId="0F7C2002" w:rsidR="001F5D6B" w:rsidRPr="00831F5A" w:rsidRDefault="0002100D" w:rsidP="001F5D6B">
            <w:pPr>
              <w:spacing w:before="0" w:after="0"/>
              <w:ind w:left="0"/>
              <w:jc w:val="left"/>
            </w:pPr>
            <w:r w:rsidRPr="00831F5A">
              <w:rPr>
                <w:rFonts w:cs="Arial"/>
                <w:sz w:val="16"/>
                <w:szCs w:val="16"/>
                <w:lang w:val="nl-BE"/>
              </w:rPr>
              <w:t xml:space="preserve">Nee </w:t>
            </w:r>
          </w:p>
        </w:tc>
      </w:tr>
      <w:tr w:rsidR="001F5D6B" w:rsidRPr="00037A46" w14:paraId="6086EB53" w14:textId="442FA0EF" w:rsidTr="00DD039E">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C047955" w14:textId="0D4E3BE8" w:rsidR="001F5D6B" w:rsidRPr="00831F5A" w:rsidRDefault="001F5D6B" w:rsidP="001F5D6B">
            <w:pPr>
              <w:pStyle w:val="Plattetekst21"/>
              <w:ind w:left="0"/>
              <w:rPr>
                <w:rFonts w:cs="Arial"/>
                <w:sz w:val="16"/>
                <w:szCs w:val="16"/>
                <w:lang w:val="nl-BE"/>
              </w:rPr>
            </w:pPr>
            <w:r w:rsidRPr="00831F5A">
              <w:rPr>
                <w:rFonts w:cs="Arial"/>
                <w:sz w:val="16"/>
                <w:szCs w:val="16"/>
                <w:lang w:val="nl-BE"/>
              </w:rPr>
              <w:t>Onbetaald verlof zoals voorzien in artikel 19</w:t>
            </w:r>
            <w:r w:rsidR="00831FC1" w:rsidRPr="00831F5A">
              <w:rPr>
                <w:rFonts w:cs="Arial"/>
                <w:sz w:val="16"/>
                <w:szCs w:val="16"/>
                <w:lang w:val="nl-BE"/>
              </w:rPr>
              <w:t>7</w:t>
            </w:r>
            <w:r w:rsidRPr="00831F5A">
              <w:rPr>
                <w:rFonts w:cs="Arial"/>
                <w:sz w:val="16"/>
                <w:szCs w:val="16"/>
                <w:lang w:val="nl-BE"/>
              </w:rPr>
              <w:t xml:space="preserve"> §1, 3° en 4°(recht)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FA13A" w14:textId="77777777" w:rsidR="001F5D6B" w:rsidRPr="00831F5A" w:rsidRDefault="001F5D6B" w:rsidP="001F5D6B">
            <w:pPr>
              <w:pStyle w:val="Plattetekst21"/>
              <w:ind w:left="0"/>
              <w:rPr>
                <w:rFonts w:cs="Arial"/>
                <w:sz w:val="16"/>
                <w:szCs w:val="16"/>
                <w:lang w:val="nl-BE"/>
              </w:rPr>
            </w:pPr>
            <w:r w:rsidRPr="00831F5A">
              <w:rPr>
                <w:rFonts w:cs="Arial"/>
                <w:sz w:val="16"/>
                <w:szCs w:val="16"/>
                <w:lang w:val="nl-BE"/>
              </w:rPr>
              <w:t>Dienstactiviteit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8DE8D" w14:textId="77777777" w:rsidR="001F5D6B" w:rsidRPr="00831F5A" w:rsidRDefault="001F5D6B" w:rsidP="001F5D6B">
            <w:pPr>
              <w:pStyle w:val="Plattetekst21"/>
              <w:ind w:left="0"/>
              <w:rPr>
                <w:rFonts w:cs="Arial"/>
                <w:sz w:val="16"/>
                <w:szCs w:val="16"/>
                <w:lang w:val="nl-BE"/>
              </w:rPr>
            </w:pPr>
            <w:r w:rsidRPr="00831F5A">
              <w:rPr>
                <w:rFonts w:cs="Arial"/>
                <w:sz w:val="16"/>
                <w:szCs w:val="16"/>
                <w:lang w:val="nl-BE"/>
              </w:rPr>
              <w:t>Nee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19355" w14:textId="77777777" w:rsidR="001F5D6B" w:rsidRPr="00831F5A" w:rsidRDefault="001F5D6B" w:rsidP="001F5D6B">
            <w:pPr>
              <w:pStyle w:val="Plattetekst21"/>
              <w:ind w:left="0"/>
              <w:rPr>
                <w:rFonts w:cs="Arial"/>
                <w:sz w:val="16"/>
                <w:szCs w:val="16"/>
                <w:lang w:val="nl-BE"/>
              </w:rPr>
            </w:pPr>
            <w:r w:rsidRPr="00831F5A">
              <w:rPr>
                <w:rFonts w:cs="Arial"/>
                <w:sz w:val="16"/>
                <w:szCs w:val="16"/>
                <w:lang w:val="nl-BE"/>
              </w:rPr>
              <w:t>Voltijds: nee</w:t>
            </w:r>
          </w:p>
          <w:p w14:paraId="030E8EB6" w14:textId="21CDE059" w:rsidR="001F5D6B" w:rsidRPr="00831F5A" w:rsidRDefault="001F5D6B" w:rsidP="001F5D6B">
            <w:pPr>
              <w:pStyle w:val="Plattetekst21"/>
              <w:ind w:left="0"/>
              <w:rPr>
                <w:rFonts w:cs="Arial"/>
                <w:sz w:val="16"/>
                <w:szCs w:val="16"/>
                <w:lang w:val="nl-BE"/>
              </w:rPr>
            </w:pPr>
            <w:r w:rsidRPr="00831F5A">
              <w:rPr>
                <w:rFonts w:cs="Arial"/>
                <w:sz w:val="16"/>
                <w:szCs w:val="16"/>
                <w:lang w:val="nl-BE"/>
              </w:rPr>
              <w:t>Deeltijds: Ja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14BC8" w14:textId="77777777" w:rsidR="001F5D6B" w:rsidRPr="00831F5A" w:rsidRDefault="001F5D6B" w:rsidP="001F5D6B">
            <w:pPr>
              <w:pStyle w:val="Plattetekst21"/>
              <w:ind w:left="0"/>
              <w:rPr>
                <w:rFonts w:cs="Arial"/>
                <w:sz w:val="16"/>
                <w:szCs w:val="16"/>
                <w:lang w:val="nl-BE"/>
              </w:rPr>
            </w:pPr>
            <w:r w:rsidRPr="00831F5A">
              <w:rPr>
                <w:rFonts w:cs="Arial"/>
                <w:sz w:val="16"/>
                <w:szCs w:val="16"/>
                <w:lang w:val="nl-BE"/>
              </w:rPr>
              <w:t>Voltijds: nee</w:t>
            </w:r>
          </w:p>
          <w:p w14:paraId="60858B2C" w14:textId="2C851F82" w:rsidR="001F5D6B" w:rsidRPr="00831F5A" w:rsidRDefault="001F5D6B" w:rsidP="001F5D6B">
            <w:pPr>
              <w:pStyle w:val="Plattetekst21"/>
              <w:ind w:left="0"/>
              <w:rPr>
                <w:rFonts w:cs="Arial"/>
                <w:sz w:val="16"/>
                <w:szCs w:val="16"/>
                <w:lang w:val="nl-BE"/>
              </w:rPr>
            </w:pPr>
            <w:r w:rsidRPr="00831F5A">
              <w:rPr>
                <w:rFonts w:cs="Arial"/>
                <w:sz w:val="16"/>
                <w:szCs w:val="16"/>
                <w:lang w:val="nl-BE"/>
              </w:rPr>
              <w:t>Deeltijds: Ja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332AB" w14:textId="77777777" w:rsidR="001F5D6B" w:rsidRPr="00831F5A" w:rsidRDefault="001F5D6B" w:rsidP="001F5D6B">
            <w:pPr>
              <w:pStyle w:val="Plattetekst21"/>
              <w:ind w:left="0"/>
              <w:rPr>
                <w:rFonts w:cs="Arial"/>
                <w:sz w:val="16"/>
                <w:szCs w:val="16"/>
                <w:lang w:val="nl-BE"/>
              </w:rPr>
            </w:pPr>
            <w:r w:rsidRPr="00831F5A">
              <w:rPr>
                <w:rFonts w:cs="Arial"/>
                <w:sz w:val="16"/>
                <w:szCs w:val="16"/>
                <w:lang w:val="nl-BE"/>
              </w:rPr>
              <w:t>nee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BC5FA" w14:textId="3C1557D7" w:rsidR="001F5D6B" w:rsidRPr="00831F5A" w:rsidRDefault="00831FC1" w:rsidP="001F5D6B">
            <w:pPr>
              <w:pStyle w:val="Plattetekst21"/>
              <w:ind w:left="0"/>
              <w:rPr>
                <w:rFonts w:cs="Arial"/>
                <w:sz w:val="16"/>
                <w:szCs w:val="16"/>
                <w:lang w:val="nl-BE"/>
              </w:rPr>
            </w:pPr>
            <w:r w:rsidRPr="00831F5A">
              <w:rPr>
                <w:rFonts w:cs="Arial"/>
                <w:sz w:val="16"/>
                <w:szCs w:val="16"/>
                <w:lang w:val="nl-BE"/>
              </w:rPr>
              <w:t>Nee</w:t>
            </w:r>
          </w:p>
        </w:tc>
        <w:tc>
          <w:tcPr>
            <w:tcW w:w="993" w:type="dxa"/>
          </w:tcPr>
          <w:p w14:paraId="723DBDEC" w14:textId="7D2D6032" w:rsidR="001F5D6B" w:rsidRPr="00831F5A" w:rsidRDefault="00831FC1" w:rsidP="001F5D6B">
            <w:pPr>
              <w:spacing w:before="0" w:after="0"/>
              <w:ind w:left="0"/>
              <w:jc w:val="left"/>
            </w:pPr>
            <w:r w:rsidRPr="00831F5A">
              <w:rPr>
                <w:rFonts w:cs="Arial"/>
                <w:sz w:val="16"/>
                <w:szCs w:val="16"/>
                <w:lang w:val="nl-BE"/>
              </w:rPr>
              <w:t>Nee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C036A" w14:textId="7C841772" w:rsidR="001F5D6B" w:rsidRPr="00831F5A" w:rsidRDefault="00831FC1" w:rsidP="001F5D6B">
            <w:pPr>
              <w:spacing w:before="0" w:after="0"/>
              <w:ind w:left="0"/>
              <w:jc w:val="left"/>
            </w:pPr>
            <w:r w:rsidRPr="00831F5A">
              <w:rPr>
                <w:rFonts w:cs="Arial"/>
                <w:sz w:val="16"/>
                <w:szCs w:val="16"/>
                <w:lang w:val="nl-BE"/>
              </w:rPr>
              <w:t>Nee</w:t>
            </w:r>
          </w:p>
        </w:tc>
      </w:tr>
      <w:tr w:rsidR="007A71B9" w:rsidRPr="00037A46" w14:paraId="25B96A7D" w14:textId="77777777" w:rsidTr="00DD039E">
        <w:trPr>
          <w:trHeight w:val="682"/>
        </w:trPr>
        <w:tc>
          <w:tcPr>
            <w:tcW w:w="2263" w:type="dxa"/>
            <w:tcBorders>
              <w:bottom w:val="single" w:sz="4" w:space="0" w:color="000000" w:themeColor="text1"/>
            </w:tcBorders>
            <w:shd w:val="clear" w:color="auto" w:fill="D9D9D9" w:themeFill="background1" w:themeFillShade="D9"/>
          </w:tcPr>
          <w:p w14:paraId="5C1B84D9" w14:textId="77777777" w:rsidR="007A71B9" w:rsidRPr="00831F5A" w:rsidRDefault="007A71B9" w:rsidP="00B63587">
            <w:pPr>
              <w:pStyle w:val="Plattetekst21"/>
              <w:ind w:left="0"/>
              <w:jc w:val="left"/>
              <w:rPr>
                <w:rFonts w:cs="Arial"/>
                <w:b/>
                <w:sz w:val="16"/>
                <w:szCs w:val="16"/>
                <w:lang w:val="nl-BE"/>
              </w:rPr>
            </w:pPr>
            <w:r w:rsidRPr="00831F5A">
              <w:rPr>
                <w:rFonts w:cs="Arial"/>
                <w:b/>
                <w:sz w:val="16"/>
                <w:szCs w:val="16"/>
                <w:lang w:val="nl-BE"/>
              </w:rPr>
              <w:t>Benaming van het verlof of de afwezigheid</w:t>
            </w:r>
            <w:r w:rsidRPr="00831F5A">
              <w:rPr>
                <w:rStyle w:val="Voetnootmarkering"/>
                <w:rFonts w:cs="Arial"/>
                <w:b/>
                <w:sz w:val="16"/>
                <w:szCs w:val="16"/>
                <w:lang w:val="nl-BE"/>
              </w:rPr>
              <w:footnoteReference w:id="6"/>
            </w:r>
          </w:p>
        </w:tc>
        <w:tc>
          <w:tcPr>
            <w:tcW w:w="1418" w:type="dxa"/>
            <w:shd w:val="clear" w:color="auto" w:fill="D9D9D9" w:themeFill="background1" w:themeFillShade="D9"/>
          </w:tcPr>
          <w:p w14:paraId="26C46B2D" w14:textId="77777777" w:rsidR="007A71B9" w:rsidRPr="00831F5A" w:rsidRDefault="007A71B9" w:rsidP="00B63587">
            <w:pPr>
              <w:pStyle w:val="Plattetekst21"/>
              <w:ind w:left="0"/>
              <w:jc w:val="left"/>
              <w:rPr>
                <w:rFonts w:cs="Arial"/>
                <w:b/>
                <w:sz w:val="16"/>
                <w:szCs w:val="16"/>
                <w:lang w:val="nl-BE"/>
              </w:rPr>
            </w:pPr>
            <w:r w:rsidRPr="00831F5A">
              <w:rPr>
                <w:rFonts w:cs="Arial"/>
                <w:b/>
                <w:sz w:val="16"/>
                <w:szCs w:val="16"/>
                <w:lang w:val="nl-BE"/>
              </w:rPr>
              <w:t>Administratieve toestand</w:t>
            </w:r>
          </w:p>
        </w:tc>
        <w:tc>
          <w:tcPr>
            <w:tcW w:w="1276" w:type="dxa"/>
            <w:shd w:val="clear" w:color="auto" w:fill="D9D9D9" w:themeFill="background1" w:themeFillShade="D9"/>
          </w:tcPr>
          <w:p w14:paraId="585057DE" w14:textId="77777777" w:rsidR="007A71B9" w:rsidRPr="00831F5A" w:rsidRDefault="007A71B9" w:rsidP="00B63587">
            <w:pPr>
              <w:pStyle w:val="Plattetekst21"/>
              <w:ind w:left="0"/>
              <w:jc w:val="left"/>
              <w:rPr>
                <w:rFonts w:cs="Arial"/>
                <w:b/>
                <w:sz w:val="16"/>
                <w:szCs w:val="16"/>
                <w:lang w:val="nl-BE"/>
              </w:rPr>
            </w:pPr>
            <w:r w:rsidRPr="00831F5A">
              <w:rPr>
                <w:rFonts w:cs="Arial"/>
                <w:b/>
                <w:sz w:val="16"/>
                <w:szCs w:val="16"/>
                <w:lang w:val="nl-BE"/>
              </w:rPr>
              <w:t>Recht op salaris</w:t>
            </w:r>
          </w:p>
        </w:tc>
        <w:tc>
          <w:tcPr>
            <w:tcW w:w="1701" w:type="dxa"/>
            <w:shd w:val="clear" w:color="auto" w:fill="D9D9D9" w:themeFill="background1" w:themeFillShade="D9"/>
          </w:tcPr>
          <w:p w14:paraId="1D47B42C" w14:textId="77777777" w:rsidR="007A71B9" w:rsidRPr="00831F5A" w:rsidRDefault="007A71B9" w:rsidP="00B63587">
            <w:pPr>
              <w:pStyle w:val="Plattetekst21"/>
              <w:ind w:left="0"/>
              <w:jc w:val="left"/>
              <w:rPr>
                <w:rFonts w:cs="Arial"/>
                <w:b/>
                <w:sz w:val="16"/>
                <w:szCs w:val="16"/>
                <w:lang w:val="nl-BE"/>
              </w:rPr>
            </w:pPr>
            <w:r w:rsidRPr="00831F5A">
              <w:rPr>
                <w:rFonts w:cs="Arial"/>
                <w:b/>
                <w:sz w:val="16"/>
                <w:szCs w:val="16"/>
                <w:lang w:val="nl-BE"/>
              </w:rPr>
              <w:t>Recht op periodieke salarisverhoging</w:t>
            </w:r>
          </w:p>
        </w:tc>
        <w:tc>
          <w:tcPr>
            <w:tcW w:w="1842" w:type="dxa"/>
            <w:shd w:val="clear" w:color="auto" w:fill="D9D9D9" w:themeFill="background1" w:themeFillShade="D9"/>
          </w:tcPr>
          <w:p w14:paraId="62D7AB43" w14:textId="77777777" w:rsidR="007A71B9" w:rsidRPr="00831F5A" w:rsidRDefault="007A71B9" w:rsidP="00B63587">
            <w:pPr>
              <w:pStyle w:val="Plattetekst21"/>
              <w:ind w:left="0"/>
              <w:jc w:val="left"/>
              <w:rPr>
                <w:rFonts w:cs="Arial"/>
                <w:b/>
                <w:sz w:val="16"/>
                <w:szCs w:val="16"/>
                <w:lang w:val="nl-BE"/>
              </w:rPr>
            </w:pPr>
            <w:r w:rsidRPr="00831F5A">
              <w:rPr>
                <w:rFonts w:cs="Arial"/>
                <w:b/>
                <w:sz w:val="16"/>
                <w:szCs w:val="16"/>
                <w:lang w:val="nl-BE"/>
              </w:rPr>
              <w:t>Recht op schaalanciënniteit</w:t>
            </w:r>
          </w:p>
        </w:tc>
        <w:tc>
          <w:tcPr>
            <w:tcW w:w="1560" w:type="dxa"/>
            <w:shd w:val="clear" w:color="auto" w:fill="D9D9D9" w:themeFill="background1" w:themeFillShade="D9"/>
          </w:tcPr>
          <w:p w14:paraId="06D21AC9" w14:textId="77777777" w:rsidR="007A71B9" w:rsidRPr="00831F5A" w:rsidRDefault="007A71B9" w:rsidP="00B63587">
            <w:pPr>
              <w:pStyle w:val="Plattetekst21"/>
              <w:ind w:left="0"/>
              <w:jc w:val="left"/>
              <w:rPr>
                <w:rFonts w:cs="Arial"/>
                <w:b/>
                <w:sz w:val="16"/>
                <w:szCs w:val="16"/>
                <w:lang w:val="nl-BE"/>
              </w:rPr>
            </w:pPr>
            <w:r w:rsidRPr="00831F5A">
              <w:rPr>
                <w:rFonts w:cs="Arial"/>
                <w:b/>
                <w:sz w:val="16"/>
                <w:szCs w:val="16"/>
                <w:lang w:val="nl-BE"/>
              </w:rPr>
              <w:t>Opbouw vakantiedagen</w:t>
            </w:r>
          </w:p>
        </w:tc>
        <w:tc>
          <w:tcPr>
            <w:tcW w:w="1275" w:type="dxa"/>
            <w:shd w:val="clear" w:color="auto" w:fill="D9D9D9" w:themeFill="background1" w:themeFillShade="D9"/>
          </w:tcPr>
          <w:p w14:paraId="455A44A5" w14:textId="77777777" w:rsidR="007A71B9" w:rsidRPr="00831F5A" w:rsidRDefault="007A71B9" w:rsidP="00B63587">
            <w:pPr>
              <w:pStyle w:val="Plattetekst21"/>
              <w:ind w:left="0"/>
              <w:jc w:val="left"/>
              <w:rPr>
                <w:rFonts w:cs="Arial"/>
                <w:b/>
                <w:sz w:val="16"/>
                <w:szCs w:val="16"/>
                <w:lang w:val="nl-BE"/>
              </w:rPr>
            </w:pPr>
            <w:r w:rsidRPr="00831F5A">
              <w:rPr>
                <w:rFonts w:cs="Arial"/>
                <w:b/>
                <w:sz w:val="16"/>
                <w:szCs w:val="16"/>
                <w:lang w:val="nl-BE"/>
              </w:rPr>
              <w:t>Opbouw ziektekrediet</w:t>
            </w:r>
          </w:p>
        </w:tc>
        <w:tc>
          <w:tcPr>
            <w:tcW w:w="993" w:type="dxa"/>
          </w:tcPr>
          <w:p w14:paraId="33084D8D" w14:textId="77777777" w:rsidR="007A71B9" w:rsidRPr="00831F5A" w:rsidRDefault="007A71B9" w:rsidP="00B63587">
            <w:pPr>
              <w:pStyle w:val="Plattetekst21"/>
              <w:ind w:left="0"/>
              <w:jc w:val="left"/>
              <w:rPr>
                <w:rFonts w:cs="Arial"/>
                <w:b/>
                <w:sz w:val="16"/>
                <w:szCs w:val="16"/>
                <w:lang w:val="nl-BE"/>
              </w:rPr>
            </w:pPr>
            <w:proofErr w:type="spellStart"/>
            <w:r w:rsidRPr="00831F5A">
              <w:rPr>
                <w:rFonts w:cs="Arial"/>
                <w:b/>
                <w:sz w:val="16"/>
                <w:szCs w:val="16"/>
                <w:lang w:val="nl-BE"/>
              </w:rPr>
              <w:t>Vakantie-geld</w:t>
            </w:r>
            <w:proofErr w:type="spellEnd"/>
          </w:p>
        </w:tc>
        <w:tc>
          <w:tcPr>
            <w:tcW w:w="1134" w:type="dxa"/>
          </w:tcPr>
          <w:p w14:paraId="6093EB5E" w14:textId="77777777" w:rsidR="007A71B9" w:rsidRPr="00831F5A" w:rsidRDefault="007A71B9" w:rsidP="00B63587">
            <w:pPr>
              <w:pStyle w:val="Plattetekst21"/>
              <w:ind w:left="0"/>
              <w:jc w:val="left"/>
              <w:rPr>
                <w:rFonts w:cs="Arial"/>
                <w:b/>
                <w:sz w:val="16"/>
                <w:szCs w:val="16"/>
                <w:lang w:val="nl-BE"/>
              </w:rPr>
            </w:pPr>
            <w:proofErr w:type="spellStart"/>
            <w:r w:rsidRPr="00831F5A">
              <w:rPr>
                <w:rFonts w:cs="Arial"/>
                <w:b/>
                <w:sz w:val="16"/>
                <w:szCs w:val="16"/>
                <w:lang w:val="nl-BE"/>
              </w:rPr>
              <w:t>Eindejaars</w:t>
            </w:r>
            <w:proofErr w:type="spellEnd"/>
            <w:r w:rsidRPr="00831F5A">
              <w:rPr>
                <w:rFonts w:cs="Arial"/>
                <w:b/>
                <w:sz w:val="16"/>
                <w:szCs w:val="16"/>
                <w:lang w:val="nl-BE"/>
              </w:rPr>
              <w:t>-toelage</w:t>
            </w:r>
          </w:p>
        </w:tc>
      </w:tr>
      <w:tr w:rsidR="00DD039E" w:rsidRPr="00037A46" w14:paraId="76FC630B" w14:textId="264A394C" w:rsidTr="00DD039E">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D652A0"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lastRenderedPageBreak/>
              <w:t>Sollicitatieverlof</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CB365"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Dienstactiviteit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AF96A"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F3B89"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BE37E"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2BFCE"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521BE" w14:textId="2E5F28FC"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 xml:space="preserve">Ja  </w:t>
            </w:r>
          </w:p>
        </w:tc>
        <w:tc>
          <w:tcPr>
            <w:tcW w:w="993" w:type="dxa"/>
          </w:tcPr>
          <w:p w14:paraId="7C0A757E" w14:textId="77777777" w:rsidR="00DD039E" w:rsidRPr="00831F5A" w:rsidRDefault="00DD039E" w:rsidP="00485912">
            <w:pPr>
              <w:pStyle w:val="Plattetekst21"/>
              <w:spacing w:after="0"/>
              <w:ind w:left="0"/>
              <w:jc w:val="left"/>
              <w:rPr>
                <w:rFonts w:cs="Arial"/>
                <w:sz w:val="16"/>
                <w:szCs w:val="16"/>
                <w:lang w:val="nl-BE"/>
              </w:rPr>
            </w:pPr>
          </w:p>
          <w:p w14:paraId="0884D621" w14:textId="384A6347" w:rsidR="00DD039E" w:rsidRPr="00831F5A" w:rsidRDefault="00DD039E" w:rsidP="00485912">
            <w:pPr>
              <w:spacing w:before="0" w:after="0"/>
              <w:ind w:left="0"/>
              <w:jc w:val="left"/>
            </w:pPr>
            <w:r w:rsidRPr="00831F5A">
              <w:rPr>
                <w:rFonts w:cs="Arial"/>
                <w:sz w:val="16"/>
                <w:szCs w:val="16"/>
                <w:lang w:val="nl-BE"/>
              </w:rPr>
              <w:t>Ja</w:t>
            </w:r>
          </w:p>
        </w:tc>
        <w:tc>
          <w:tcPr>
            <w:tcW w:w="1134" w:type="dxa"/>
          </w:tcPr>
          <w:p w14:paraId="18CF620D" w14:textId="77777777" w:rsidR="00DD039E" w:rsidRPr="00831F5A" w:rsidRDefault="00DD039E" w:rsidP="00485912">
            <w:pPr>
              <w:pStyle w:val="Plattetekst21"/>
              <w:spacing w:after="0"/>
              <w:ind w:left="0"/>
              <w:jc w:val="left"/>
              <w:rPr>
                <w:rFonts w:cs="Arial"/>
                <w:sz w:val="16"/>
                <w:szCs w:val="16"/>
                <w:lang w:val="nl-BE"/>
              </w:rPr>
            </w:pPr>
          </w:p>
          <w:p w14:paraId="6B176855" w14:textId="66F15C98" w:rsidR="00DD039E" w:rsidRPr="00831F5A" w:rsidRDefault="00DD039E" w:rsidP="00485912">
            <w:pPr>
              <w:spacing w:before="0" w:after="0"/>
              <w:ind w:left="0"/>
              <w:jc w:val="left"/>
            </w:pPr>
            <w:r w:rsidRPr="00831F5A">
              <w:rPr>
                <w:rFonts w:cs="Arial"/>
                <w:sz w:val="16"/>
                <w:szCs w:val="16"/>
                <w:lang w:val="nl-BE"/>
              </w:rPr>
              <w:t>Ja</w:t>
            </w:r>
          </w:p>
        </w:tc>
      </w:tr>
      <w:tr w:rsidR="00DD039E" w:rsidRPr="00037A46" w14:paraId="11E75F37" w14:textId="547A252F" w:rsidTr="00DD039E">
        <w:trPr>
          <w:trHeight w:val="300"/>
        </w:trPr>
        <w:tc>
          <w:tcPr>
            <w:tcW w:w="2263" w:type="dxa"/>
            <w:shd w:val="clear" w:color="auto" w:fill="D9D9D9" w:themeFill="background1" w:themeFillShade="D9"/>
          </w:tcPr>
          <w:p w14:paraId="4B7081D9"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 xml:space="preserve">Dienstvrijstellingen </w:t>
            </w:r>
          </w:p>
        </w:tc>
        <w:tc>
          <w:tcPr>
            <w:tcW w:w="1418" w:type="dxa"/>
          </w:tcPr>
          <w:p w14:paraId="36324E8E"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Dienstactiviteit</w:t>
            </w:r>
          </w:p>
        </w:tc>
        <w:tc>
          <w:tcPr>
            <w:tcW w:w="1276" w:type="dxa"/>
          </w:tcPr>
          <w:p w14:paraId="42FC6691"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701" w:type="dxa"/>
          </w:tcPr>
          <w:p w14:paraId="67F79F5E"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842" w:type="dxa"/>
          </w:tcPr>
          <w:p w14:paraId="21A9B90F"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560" w:type="dxa"/>
          </w:tcPr>
          <w:p w14:paraId="6D415FA9"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275" w:type="dxa"/>
          </w:tcPr>
          <w:p w14:paraId="7FFFC2F6" w14:textId="051551AD"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 xml:space="preserve">Ja  </w:t>
            </w:r>
          </w:p>
        </w:tc>
        <w:tc>
          <w:tcPr>
            <w:tcW w:w="993" w:type="dxa"/>
          </w:tcPr>
          <w:p w14:paraId="6CF1607A" w14:textId="741D1642" w:rsidR="00DD039E" w:rsidRPr="00831F5A" w:rsidRDefault="00DD039E" w:rsidP="00DD039E">
            <w:pPr>
              <w:spacing w:before="0" w:after="0"/>
              <w:ind w:left="0"/>
              <w:jc w:val="left"/>
            </w:pPr>
            <w:r w:rsidRPr="00831F5A">
              <w:rPr>
                <w:rFonts w:cs="Arial"/>
                <w:sz w:val="16"/>
                <w:szCs w:val="16"/>
                <w:lang w:val="nl-BE"/>
              </w:rPr>
              <w:t>Ja</w:t>
            </w:r>
          </w:p>
        </w:tc>
        <w:tc>
          <w:tcPr>
            <w:tcW w:w="1134" w:type="dxa"/>
          </w:tcPr>
          <w:p w14:paraId="030F1173" w14:textId="1AEBC5A3" w:rsidR="00DD039E" w:rsidRPr="00831F5A" w:rsidRDefault="00DD039E" w:rsidP="00DD039E">
            <w:pPr>
              <w:spacing w:before="0" w:after="0"/>
              <w:ind w:left="0"/>
              <w:jc w:val="left"/>
            </w:pPr>
            <w:r w:rsidRPr="00831F5A">
              <w:rPr>
                <w:rFonts w:cs="Arial"/>
                <w:sz w:val="16"/>
                <w:szCs w:val="16"/>
                <w:lang w:val="nl-BE"/>
              </w:rPr>
              <w:t>Ja</w:t>
            </w:r>
          </w:p>
        </w:tc>
      </w:tr>
      <w:tr w:rsidR="007A71B9" w:rsidRPr="00037A46" w14:paraId="1CC92542" w14:textId="6209B8BB" w:rsidTr="00DD039E">
        <w:trPr>
          <w:trHeight w:val="300"/>
        </w:trPr>
        <w:tc>
          <w:tcPr>
            <w:tcW w:w="2263" w:type="dxa"/>
            <w:shd w:val="clear" w:color="auto" w:fill="D9D9D9" w:themeFill="background1" w:themeFillShade="D9"/>
          </w:tcPr>
          <w:p w14:paraId="743C8097" w14:textId="710AA4A8"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 xml:space="preserve">Afwezig zonder toestemming vooraf of kennisgeving </w:t>
            </w:r>
          </w:p>
        </w:tc>
        <w:tc>
          <w:tcPr>
            <w:tcW w:w="1418" w:type="dxa"/>
          </w:tcPr>
          <w:p w14:paraId="501E2939" w14:textId="77777777"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Non-activiteit</w:t>
            </w:r>
          </w:p>
        </w:tc>
        <w:tc>
          <w:tcPr>
            <w:tcW w:w="1276" w:type="dxa"/>
          </w:tcPr>
          <w:p w14:paraId="30206007" w14:textId="77777777"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Nee</w:t>
            </w:r>
          </w:p>
        </w:tc>
        <w:tc>
          <w:tcPr>
            <w:tcW w:w="1701" w:type="dxa"/>
          </w:tcPr>
          <w:p w14:paraId="6510AABB" w14:textId="77777777"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Nee</w:t>
            </w:r>
          </w:p>
        </w:tc>
        <w:tc>
          <w:tcPr>
            <w:tcW w:w="1842" w:type="dxa"/>
          </w:tcPr>
          <w:p w14:paraId="4B72BEFF" w14:textId="77777777"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Nee</w:t>
            </w:r>
          </w:p>
        </w:tc>
        <w:tc>
          <w:tcPr>
            <w:tcW w:w="1560" w:type="dxa"/>
          </w:tcPr>
          <w:p w14:paraId="444410B2" w14:textId="77777777"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Nee</w:t>
            </w:r>
          </w:p>
        </w:tc>
        <w:tc>
          <w:tcPr>
            <w:tcW w:w="1275" w:type="dxa"/>
          </w:tcPr>
          <w:p w14:paraId="0241438D" w14:textId="77777777"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Nee</w:t>
            </w:r>
          </w:p>
        </w:tc>
        <w:tc>
          <w:tcPr>
            <w:tcW w:w="993" w:type="dxa"/>
          </w:tcPr>
          <w:p w14:paraId="2A00D8D1" w14:textId="75AB35EF" w:rsidR="007A71B9" w:rsidRPr="00831F5A" w:rsidRDefault="007A71B9" w:rsidP="007A71B9">
            <w:pPr>
              <w:spacing w:before="0" w:after="0"/>
              <w:ind w:left="0"/>
              <w:jc w:val="left"/>
            </w:pPr>
            <w:r w:rsidRPr="00831F5A">
              <w:rPr>
                <w:rFonts w:cs="Arial"/>
                <w:sz w:val="16"/>
                <w:szCs w:val="16"/>
                <w:lang w:val="nl-BE"/>
              </w:rPr>
              <w:t xml:space="preserve">Nee </w:t>
            </w:r>
          </w:p>
        </w:tc>
        <w:tc>
          <w:tcPr>
            <w:tcW w:w="1134" w:type="dxa"/>
          </w:tcPr>
          <w:p w14:paraId="7D8A9F91" w14:textId="5F0D46C5" w:rsidR="007A71B9" w:rsidRPr="00831F5A" w:rsidRDefault="007A71B9" w:rsidP="007A71B9">
            <w:pPr>
              <w:spacing w:before="0" w:after="0"/>
              <w:ind w:left="0"/>
              <w:jc w:val="left"/>
            </w:pPr>
            <w:r w:rsidRPr="00831F5A">
              <w:rPr>
                <w:rFonts w:cs="Arial"/>
                <w:sz w:val="16"/>
                <w:szCs w:val="16"/>
                <w:lang w:val="nl-BE"/>
              </w:rPr>
              <w:t>Nee</w:t>
            </w:r>
          </w:p>
        </w:tc>
      </w:tr>
      <w:tr w:rsidR="00DD039E" w:rsidRPr="00037A46" w14:paraId="114327EC" w14:textId="0BB3C2D1" w:rsidTr="00DD039E">
        <w:trPr>
          <w:trHeight w:val="300"/>
        </w:trPr>
        <w:tc>
          <w:tcPr>
            <w:tcW w:w="2263" w:type="dxa"/>
            <w:shd w:val="clear" w:color="auto" w:fill="D9D9D9" w:themeFill="background1" w:themeFillShade="D9"/>
          </w:tcPr>
          <w:p w14:paraId="6BA70ED2" w14:textId="3BF7388E"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 xml:space="preserve">Afwezig zonder toestemming vooraf of kennisgeving met overmacht </w:t>
            </w:r>
          </w:p>
        </w:tc>
        <w:tc>
          <w:tcPr>
            <w:tcW w:w="1418" w:type="dxa"/>
          </w:tcPr>
          <w:p w14:paraId="02F087D4"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Dienstactiviteit</w:t>
            </w:r>
          </w:p>
        </w:tc>
        <w:tc>
          <w:tcPr>
            <w:tcW w:w="1276" w:type="dxa"/>
          </w:tcPr>
          <w:p w14:paraId="6097751A"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701" w:type="dxa"/>
          </w:tcPr>
          <w:p w14:paraId="2D746348"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842" w:type="dxa"/>
          </w:tcPr>
          <w:p w14:paraId="65117CCC"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560" w:type="dxa"/>
          </w:tcPr>
          <w:p w14:paraId="367DD027"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275" w:type="dxa"/>
          </w:tcPr>
          <w:p w14:paraId="13A73905" w14:textId="26FEEFD5"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 xml:space="preserve">Ja  </w:t>
            </w:r>
          </w:p>
        </w:tc>
        <w:tc>
          <w:tcPr>
            <w:tcW w:w="993" w:type="dxa"/>
          </w:tcPr>
          <w:p w14:paraId="0A4594D6" w14:textId="3DED31F5" w:rsidR="00DD039E" w:rsidRPr="00831F5A" w:rsidRDefault="00DD039E" w:rsidP="00DD039E">
            <w:pPr>
              <w:spacing w:before="0" w:after="0"/>
              <w:ind w:left="0"/>
              <w:jc w:val="left"/>
            </w:pPr>
            <w:r w:rsidRPr="00831F5A">
              <w:rPr>
                <w:rFonts w:cs="Arial"/>
                <w:sz w:val="16"/>
                <w:szCs w:val="16"/>
                <w:lang w:val="nl-BE"/>
              </w:rPr>
              <w:t>Ja</w:t>
            </w:r>
          </w:p>
        </w:tc>
        <w:tc>
          <w:tcPr>
            <w:tcW w:w="1134" w:type="dxa"/>
          </w:tcPr>
          <w:p w14:paraId="2A6B7F1B" w14:textId="22A96658" w:rsidR="00DD039E" w:rsidRPr="00831F5A" w:rsidRDefault="00DD039E" w:rsidP="00DD039E">
            <w:pPr>
              <w:spacing w:before="0" w:after="0"/>
              <w:ind w:left="0"/>
              <w:jc w:val="left"/>
            </w:pPr>
            <w:r w:rsidRPr="00831F5A">
              <w:rPr>
                <w:rFonts w:cs="Arial"/>
                <w:sz w:val="16"/>
                <w:szCs w:val="16"/>
                <w:lang w:val="nl-BE"/>
              </w:rPr>
              <w:t>Ja</w:t>
            </w:r>
          </w:p>
        </w:tc>
      </w:tr>
      <w:tr w:rsidR="00DD039E" w:rsidRPr="00037A46" w14:paraId="6F038AEB" w14:textId="29645E79" w:rsidTr="00DD039E">
        <w:trPr>
          <w:trHeight w:val="300"/>
        </w:trPr>
        <w:tc>
          <w:tcPr>
            <w:tcW w:w="2263" w:type="dxa"/>
            <w:shd w:val="clear" w:color="auto" w:fill="D9D9D9" w:themeFill="background1" w:themeFillShade="D9"/>
          </w:tcPr>
          <w:p w14:paraId="585F3790"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 xml:space="preserve">Georganiseerde werkonderbreking </w:t>
            </w:r>
          </w:p>
        </w:tc>
        <w:tc>
          <w:tcPr>
            <w:tcW w:w="1418" w:type="dxa"/>
          </w:tcPr>
          <w:p w14:paraId="57E37D4E"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Dienstactiviteit</w:t>
            </w:r>
          </w:p>
        </w:tc>
        <w:tc>
          <w:tcPr>
            <w:tcW w:w="1276" w:type="dxa"/>
          </w:tcPr>
          <w:p w14:paraId="4D4B0C0D"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Nee</w:t>
            </w:r>
          </w:p>
        </w:tc>
        <w:tc>
          <w:tcPr>
            <w:tcW w:w="1701" w:type="dxa"/>
          </w:tcPr>
          <w:p w14:paraId="531A2C15"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842" w:type="dxa"/>
          </w:tcPr>
          <w:p w14:paraId="2E1A07E8"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560" w:type="dxa"/>
          </w:tcPr>
          <w:p w14:paraId="2F133FF2"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275" w:type="dxa"/>
          </w:tcPr>
          <w:p w14:paraId="1088E69B" w14:textId="6FC21D3D"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 xml:space="preserve">Ja  </w:t>
            </w:r>
          </w:p>
        </w:tc>
        <w:tc>
          <w:tcPr>
            <w:tcW w:w="993" w:type="dxa"/>
          </w:tcPr>
          <w:p w14:paraId="0A890A59" w14:textId="47A992B9" w:rsidR="00DD039E" w:rsidRPr="00831F5A" w:rsidRDefault="00DD039E" w:rsidP="00DD039E">
            <w:pPr>
              <w:spacing w:before="0" w:after="0"/>
              <w:ind w:left="0"/>
              <w:jc w:val="left"/>
            </w:pPr>
            <w:r w:rsidRPr="00831F5A">
              <w:rPr>
                <w:rFonts w:cs="Arial"/>
                <w:sz w:val="16"/>
                <w:szCs w:val="16"/>
                <w:lang w:val="nl-BE"/>
              </w:rPr>
              <w:t>Nee</w:t>
            </w:r>
          </w:p>
        </w:tc>
        <w:tc>
          <w:tcPr>
            <w:tcW w:w="1134" w:type="dxa"/>
          </w:tcPr>
          <w:p w14:paraId="465EA943" w14:textId="4AFF9F17" w:rsidR="00DD039E" w:rsidRPr="00831F5A" w:rsidRDefault="00DD039E" w:rsidP="00DD039E">
            <w:pPr>
              <w:spacing w:before="0" w:after="0"/>
              <w:ind w:left="0"/>
              <w:jc w:val="left"/>
            </w:pPr>
            <w:r w:rsidRPr="00831F5A">
              <w:rPr>
                <w:rFonts w:cs="Arial"/>
                <w:sz w:val="16"/>
                <w:szCs w:val="16"/>
                <w:lang w:val="nl-BE"/>
              </w:rPr>
              <w:t xml:space="preserve">Nee </w:t>
            </w:r>
          </w:p>
        </w:tc>
      </w:tr>
      <w:tr w:rsidR="007A71B9" w:rsidRPr="00037A46" w14:paraId="19B7FDAA" w14:textId="339F92B5" w:rsidTr="00DD039E">
        <w:trPr>
          <w:trHeight w:val="300"/>
        </w:trPr>
        <w:tc>
          <w:tcPr>
            <w:tcW w:w="2263" w:type="dxa"/>
            <w:shd w:val="clear" w:color="auto" w:fill="D9D9D9" w:themeFill="background1" w:themeFillShade="D9"/>
          </w:tcPr>
          <w:p w14:paraId="1FAEF27E" w14:textId="6C937533"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Vrijwillige vierdagenweek</w:t>
            </w:r>
          </w:p>
        </w:tc>
        <w:tc>
          <w:tcPr>
            <w:tcW w:w="1418" w:type="dxa"/>
          </w:tcPr>
          <w:p w14:paraId="159992BC" w14:textId="77777777"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Dienstactiviteit</w:t>
            </w:r>
          </w:p>
        </w:tc>
        <w:tc>
          <w:tcPr>
            <w:tcW w:w="1276" w:type="dxa"/>
          </w:tcPr>
          <w:p w14:paraId="3F9EEA4C" w14:textId="0165A67A"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 xml:space="preserve">Nee, wel </w:t>
            </w:r>
            <w:proofErr w:type="spellStart"/>
            <w:r w:rsidRPr="00831F5A">
              <w:rPr>
                <w:rFonts w:cs="Arial"/>
                <w:sz w:val="16"/>
                <w:szCs w:val="16"/>
                <w:lang w:val="nl-BE"/>
              </w:rPr>
              <w:t>weddecomple</w:t>
            </w:r>
            <w:proofErr w:type="spellEnd"/>
            <w:r w:rsidRPr="00831F5A">
              <w:rPr>
                <w:rFonts w:cs="Arial"/>
                <w:sz w:val="16"/>
                <w:szCs w:val="16"/>
                <w:lang w:val="nl-BE"/>
              </w:rPr>
              <w:t>-ment</w:t>
            </w:r>
          </w:p>
        </w:tc>
        <w:tc>
          <w:tcPr>
            <w:tcW w:w="1701" w:type="dxa"/>
          </w:tcPr>
          <w:p w14:paraId="4E8F41B2" w14:textId="77777777"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Ja</w:t>
            </w:r>
          </w:p>
        </w:tc>
        <w:tc>
          <w:tcPr>
            <w:tcW w:w="1842" w:type="dxa"/>
          </w:tcPr>
          <w:p w14:paraId="68D82C91" w14:textId="77777777"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Ja</w:t>
            </w:r>
          </w:p>
        </w:tc>
        <w:tc>
          <w:tcPr>
            <w:tcW w:w="1560" w:type="dxa"/>
          </w:tcPr>
          <w:p w14:paraId="5B45B6EE" w14:textId="77777777"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Nee</w:t>
            </w:r>
          </w:p>
        </w:tc>
        <w:tc>
          <w:tcPr>
            <w:tcW w:w="1275" w:type="dxa"/>
          </w:tcPr>
          <w:p w14:paraId="1C879DA8" w14:textId="77777777"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Nee</w:t>
            </w:r>
          </w:p>
        </w:tc>
        <w:tc>
          <w:tcPr>
            <w:tcW w:w="993" w:type="dxa"/>
          </w:tcPr>
          <w:p w14:paraId="0BCBE673" w14:textId="505E0097" w:rsidR="007A71B9" w:rsidRPr="00831F5A" w:rsidRDefault="007A71B9" w:rsidP="007A71B9">
            <w:pPr>
              <w:spacing w:before="0" w:after="0"/>
              <w:ind w:left="0"/>
              <w:jc w:val="left"/>
            </w:pPr>
            <w:r w:rsidRPr="00831F5A">
              <w:rPr>
                <w:rFonts w:cs="Arial"/>
                <w:sz w:val="16"/>
                <w:szCs w:val="16"/>
                <w:lang w:val="nl-BE"/>
              </w:rPr>
              <w:t>Nee</w:t>
            </w:r>
          </w:p>
        </w:tc>
        <w:tc>
          <w:tcPr>
            <w:tcW w:w="1134" w:type="dxa"/>
          </w:tcPr>
          <w:p w14:paraId="28548233" w14:textId="3AE3911D" w:rsidR="007A71B9" w:rsidRPr="00831F5A" w:rsidRDefault="007A71B9" w:rsidP="007A71B9">
            <w:pPr>
              <w:spacing w:before="0" w:after="0"/>
              <w:ind w:left="0"/>
              <w:jc w:val="left"/>
            </w:pPr>
            <w:r w:rsidRPr="00831F5A">
              <w:rPr>
                <w:rFonts w:cs="Arial"/>
                <w:sz w:val="16"/>
                <w:szCs w:val="16"/>
                <w:lang w:val="nl-BE"/>
              </w:rPr>
              <w:t>Nee</w:t>
            </w:r>
          </w:p>
        </w:tc>
      </w:tr>
      <w:tr w:rsidR="007A71B9" w:rsidRPr="00037A46" w14:paraId="0202A7F3" w14:textId="0D1AE602" w:rsidTr="00DD039E">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28B2F1C" w14:textId="784F0EE6" w:rsidR="007A71B9" w:rsidRPr="00831F5A" w:rsidRDefault="007A71B9" w:rsidP="007A71B9">
            <w:pPr>
              <w:pStyle w:val="Plattetekst21"/>
              <w:ind w:left="0"/>
              <w:rPr>
                <w:rFonts w:cs="Arial"/>
                <w:sz w:val="16"/>
                <w:szCs w:val="16"/>
                <w:lang w:val="nl-BE"/>
              </w:rPr>
            </w:pPr>
            <w:r w:rsidRPr="00831F5A">
              <w:rPr>
                <w:rFonts w:cs="Arial"/>
                <w:sz w:val="16"/>
                <w:szCs w:val="16"/>
                <w:lang w:val="nl-BE"/>
              </w:rPr>
              <w:t>Zorgkrediet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B2288" w14:textId="3CB76E8A" w:rsidR="007A71B9" w:rsidRPr="00831F5A" w:rsidRDefault="007A71B9" w:rsidP="007A71B9">
            <w:pPr>
              <w:pStyle w:val="Plattetekst21"/>
              <w:ind w:left="0"/>
              <w:rPr>
                <w:rFonts w:cs="Arial"/>
                <w:sz w:val="16"/>
                <w:szCs w:val="16"/>
                <w:lang w:val="nl-BE"/>
              </w:rPr>
            </w:pPr>
            <w:r w:rsidRPr="00831F5A">
              <w:rPr>
                <w:rFonts w:cs="Arial"/>
                <w:sz w:val="16"/>
                <w:szCs w:val="16"/>
                <w:lang w:val="nl-BE"/>
              </w:rPr>
              <w:t>Dienstactiviteit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8A1B0" w14:textId="6C05D865"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Nee, wel uitkering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F8E2B" w14:textId="77777777" w:rsidR="007A71B9" w:rsidRPr="00831F5A" w:rsidRDefault="007A71B9" w:rsidP="007A71B9">
            <w:pPr>
              <w:pStyle w:val="Plattetekst21"/>
              <w:ind w:left="0"/>
              <w:rPr>
                <w:rFonts w:cs="Arial"/>
                <w:sz w:val="16"/>
                <w:szCs w:val="16"/>
                <w:lang w:val="nl-BE"/>
              </w:rPr>
            </w:pPr>
            <w:r w:rsidRPr="00831F5A">
              <w:rPr>
                <w:rFonts w:cs="Arial"/>
                <w:sz w:val="16"/>
                <w:szCs w:val="16"/>
                <w:lang w:val="nl-BE"/>
              </w:rPr>
              <w:t>Ja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DC810" w14:textId="26C9A529" w:rsidR="007A71B9" w:rsidRPr="00831F5A" w:rsidRDefault="007A71B9" w:rsidP="007A71B9">
            <w:pPr>
              <w:pStyle w:val="Plattetekst21"/>
              <w:ind w:left="0"/>
              <w:rPr>
                <w:rFonts w:cs="Arial"/>
                <w:sz w:val="16"/>
                <w:szCs w:val="16"/>
                <w:lang w:val="nl-BE"/>
              </w:rPr>
            </w:pPr>
            <w:r w:rsidRPr="00831F5A">
              <w:rPr>
                <w:rFonts w:cs="Arial"/>
                <w:sz w:val="16"/>
                <w:szCs w:val="16"/>
                <w:lang w:val="nl-BE"/>
              </w:rPr>
              <w:t>Ja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A7797" w14:textId="77777777" w:rsidR="007A71B9" w:rsidRPr="00831F5A" w:rsidRDefault="007A71B9" w:rsidP="007A71B9">
            <w:pPr>
              <w:pStyle w:val="Plattetekst21"/>
              <w:ind w:left="0"/>
              <w:rPr>
                <w:rFonts w:cs="Arial"/>
                <w:sz w:val="16"/>
                <w:szCs w:val="16"/>
                <w:lang w:val="nl-BE"/>
              </w:rPr>
            </w:pPr>
            <w:r w:rsidRPr="00831F5A">
              <w:rPr>
                <w:rFonts w:cs="Arial"/>
                <w:sz w:val="16"/>
                <w:szCs w:val="16"/>
                <w:lang w:val="nl-BE"/>
              </w:rPr>
              <w:t>Nee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A9E2B" w14:textId="77777777" w:rsidR="007A71B9" w:rsidRPr="00831F5A" w:rsidRDefault="007A71B9" w:rsidP="007A71B9">
            <w:pPr>
              <w:pStyle w:val="Plattetekst21"/>
              <w:ind w:left="0"/>
              <w:rPr>
                <w:rFonts w:cs="Arial"/>
                <w:sz w:val="16"/>
                <w:szCs w:val="16"/>
                <w:lang w:val="nl-BE"/>
              </w:rPr>
            </w:pPr>
            <w:r w:rsidRPr="00831F5A">
              <w:rPr>
                <w:rFonts w:cs="Arial"/>
                <w:sz w:val="16"/>
                <w:szCs w:val="16"/>
                <w:lang w:val="nl-BE"/>
              </w:rPr>
              <w:t>Nee</w:t>
            </w:r>
          </w:p>
        </w:tc>
        <w:tc>
          <w:tcPr>
            <w:tcW w:w="993" w:type="dxa"/>
          </w:tcPr>
          <w:p w14:paraId="5BF69DC9" w14:textId="0240FC38" w:rsidR="007A71B9" w:rsidRPr="00831F5A" w:rsidRDefault="007A71B9" w:rsidP="007A71B9">
            <w:pPr>
              <w:spacing w:before="0" w:after="0"/>
              <w:ind w:left="0"/>
              <w:jc w:val="left"/>
            </w:pPr>
            <w:r w:rsidRPr="00831F5A">
              <w:rPr>
                <w:rFonts w:cs="Arial"/>
                <w:sz w:val="16"/>
                <w:szCs w:val="16"/>
                <w:lang w:val="nl-BE"/>
              </w:rPr>
              <w:t>Nee</w:t>
            </w:r>
          </w:p>
        </w:tc>
        <w:tc>
          <w:tcPr>
            <w:tcW w:w="1134" w:type="dxa"/>
          </w:tcPr>
          <w:p w14:paraId="1F1017AA" w14:textId="301CD03D" w:rsidR="007A71B9" w:rsidRPr="00831F5A" w:rsidRDefault="007A71B9" w:rsidP="007A71B9">
            <w:pPr>
              <w:spacing w:before="0" w:after="0"/>
              <w:ind w:left="0"/>
              <w:jc w:val="left"/>
            </w:pPr>
            <w:r w:rsidRPr="00831F5A">
              <w:rPr>
                <w:rFonts w:cs="Arial"/>
                <w:sz w:val="16"/>
                <w:szCs w:val="16"/>
                <w:lang w:val="nl-BE"/>
              </w:rPr>
              <w:t>Nee</w:t>
            </w:r>
          </w:p>
        </w:tc>
      </w:tr>
      <w:tr w:rsidR="007A71B9" w:rsidRPr="00037A46" w14:paraId="11370A56" w14:textId="0B044FE8" w:rsidTr="00DD039E">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AF1BDF7" w14:textId="3CADF2F9" w:rsidR="007A71B9" w:rsidRPr="00831F5A" w:rsidRDefault="007A71B9" w:rsidP="007A71B9">
            <w:pPr>
              <w:pStyle w:val="Plattetekst21"/>
              <w:ind w:left="0"/>
              <w:rPr>
                <w:rFonts w:cs="Arial"/>
                <w:sz w:val="16"/>
                <w:szCs w:val="16"/>
                <w:lang w:val="nl-BE"/>
              </w:rPr>
            </w:pPr>
            <w:r w:rsidRPr="00831F5A">
              <w:rPr>
                <w:rFonts w:cs="Arial"/>
                <w:sz w:val="16"/>
                <w:szCs w:val="16"/>
                <w:lang w:val="nl-BE"/>
              </w:rPr>
              <w:t xml:space="preserve">Thematische verloven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17869" w14:textId="29A5122F" w:rsidR="007A71B9" w:rsidRPr="00831F5A" w:rsidRDefault="007A71B9" w:rsidP="007A71B9">
            <w:pPr>
              <w:pStyle w:val="Plattetekst21"/>
              <w:ind w:left="0"/>
              <w:rPr>
                <w:rFonts w:cs="Arial"/>
                <w:sz w:val="16"/>
                <w:szCs w:val="16"/>
                <w:lang w:val="nl-BE"/>
              </w:rPr>
            </w:pPr>
            <w:r w:rsidRPr="00831F5A">
              <w:rPr>
                <w:rFonts w:cs="Arial"/>
                <w:sz w:val="16"/>
                <w:szCs w:val="16"/>
                <w:lang w:val="nl-BE"/>
              </w:rPr>
              <w:t>Dienstactiviteit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53029" w14:textId="65B6AC15"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Nee, wel uitkering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54A79" w14:textId="77777777" w:rsidR="007A71B9" w:rsidRPr="00831F5A" w:rsidRDefault="007A71B9" w:rsidP="007A71B9">
            <w:pPr>
              <w:pStyle w:val="Plattetekst21"/>
              <w:ind w:left="0"/>
              <w:rPr>
                <w:rFonts w:cs="Arial"/>
                <w:sz w:val="16"/>
                <w:szCs w:val="16"/>
                <w:lang w:val="nl-BE"/>
              </w:rPr>
            </w:pPr>
            <w:r w:rsidRPr="00831F5A">
              <w:rPr>
                <w:rFonts w:cs="Arial"/>
                <w:sz w:val="16"/>
                <w:szCs w:val="16"/>
                <w:lang w:val="nl-BE"/>
              </w:rPr>
              <w:t>Ja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6B291" w14:textId="54053C53" w:rsidR="007A71B9" w:rsidRPr="00831F5A" w:rsidRDefault="007A71B9" w:rsidP="007A71B9">
            <w:pPr>
              <w:pStyle w:val="Plattetekst21"/>
              <w:ind w:left="0"/>
              <w:rPr>
                <w:rFonts w:cs="Arial"/>
                <w:sz w:val="16"/>
                <w:szCs w:val="16"/>
                <w:lang w:val="nl-BE"/>
              </w:rPr>
            </w:pPr>
            <w:r w:rsidRPr="00831F5A">
              <w:rPr>
                <w:rFonts w:cs="Arial"/>
                <w:sz w:val="16"/>
                <w:szCs w:val="16"/>
                <w:lang w:val="nl-BE"/>
              </w:rPr>
              <w:t>Ja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7A322" w14:textId="77777777" w:rsidR="007A71B9" w:rsidRPr="00831F5A" w:rsidRDefault="007A71B9" w:rsidP="007A71B9">
            <w:pPr>
              <w:pStyle w:val="Plattetekst21"/>
              <w:ind w:left="0"/>
              <w:rPr>
                <w:rFonts w:cs="Arial"/>
                <w:sz w:val="16"/>
                <w:szCs w:val="16"/>
                <w:lang w:val="nl-BE"/>
              </w:rPr>
            </w:pPr>
            <w:r w:rsidRPr="00831F5A">
              <w:rPr>
                <w:rFonts w:cs="Arial"/>
                <w:sz w:val="16"/>
                <w:szCs w:val="16"/>
                <w:lang w:val="nl-BE"/>
              </w:rPr>
              <w:t>Nee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A2B97" w14:textId="77777777" w:rsidR="007A71B9" w:rsidRPr="00831F5A" w:rsidRDefault="007A71B9" w:rsidP="007A71B9">
            <w:pPr>
              <w:pStyle w:val="Plattetekst21"/>
              <w:ind w:left="0"/>
              <w:rPr>
                <w:rFonts w:cs="Arial"/>
                <w:sz w:val="16"/>
                <w:szCs w:val="16"/>
                <w:lang w:val="nl-BE"/>
              </w:rPr>
            </w:pPr>
            <w:r w:rsidRPr="00831F5A">
              <w:rPr>
                <w:rFonts w:cs="Arial"/>
                <w:sz w:val="16"/>
                <w:szCs w:val="16"/>
                <w:lang w:val="nl-BE"/>
              </w:rPr>
              <w:t>Nee</w:t>
            </w:r>
          </w:p>
        </w:tc>
        <w:tc>
          <w:tcPr>
            <w:tcW w:w="993" w:type="dxa"/>
          </w:tcPr>
          <w:p w14:paraId="3F7A27AF" w14:textId="569C3D9A" w:rsidR="007A71B9" w:rsidRPr="00831F5A" w:rsidRDefault="007A71B9" w:rsidP="007A71B9">
            <w:pPr>
              <w:spacing w:before="0" w:after="0"/>
              <w:ind w:left="0"/>
              <w:jc w:val="left"/>
            </w:pPr>
            <w:r w:rsidRPr="00831F5A">
              <w:rPr>
                <w:rFonts w:cs="Arial"/>
                <w:sz w:val="16"/>
                <w:szCs w:val="16"/>
                <w:lang w:val="nl-BE"/>
              </w:rPr>
              <w:t>Nee</w:t>
            </w:r>
          </w:p>
        </w:tc>
        <w:tc>
          <w:tcPr>
            <w:tcW w:w="1134" w:type="dxa"/>
          </w:tcPr>
          <w:p w14:paraId="4C514B73" w14:textId="6DBD37E8" w:rsidR="007A71B9" w:rsidRPr="00831F5A" w:rsidRDefault="007A71B9" w:rsidP="007A71B9">
            <w:pPr>
              <w:spacing w:before="0" w:after="0"/>
              <w:ind w:left="0"/>
              <w:jc w:val="left"/>
            </w:pPr>
            <w:r w:rsidRPr="00831F5A">
              <w:rPr>
                <w:rFonts w:cs="Arial"/>
                <w:sz w:val="16"/>
                <w:szCs w:val="16"/>
                <w:lang w:val="nl-BE"/>
              </w:rPr>
              <w:t>Nee</w:t>
            </w:r>
          </w:p>
        </w:tc>
      </w:tr>
      <w:tr w:rsidR="00145D47" w:rsidRPr="00037A46" w14:paraId="395C99D7" w14:textId="73C2C6F3" w:rsidTr="00DD039E">
        <w:trPr>
          <w:trHeight w:val="300"/>
        </w:trPr>
        <w:tc>
          <w:tcPr>
            <w:tcW w:w="2263" w:type="dxa"/>
            <w:shd w:val="clear" w:color="auto" w:fill="D9D9D9" w:themeFill="background1" w:themeFillShade="D9"/>
          </w:tcPr>
          <w:p w14:paraId="07944DDA" w14:textId="77777777" w:rsidR="00145D47" w:rsidRPr="00831F5A" w:rsidRDefault="00145D47" w:rsidP="00145D47">
            <w:pPr>
              <w:pStyle w:val="Plattetekst21"/>
              <w:ind w:left="0"/>
              <w:jc w:val="left"/>
              <w:rPr>
                <w:rFonts w:cs="Arial"/>
                <w:sz w:val="16"/>
                <w:szCs w:val="16"/>
                <w:lang w:val="nl-BE"/>
              </w:rPr>
            </w:pPr>
            <w:r w:rsidRPr="00831F5A">
              <w:rPr>
                <w:rFonts w:cs="Arial"/>
                <w:sz w:val="16"/>
                <w:szCs w:val="16"/>
                <w:lang w:val="nl-BE"/>
              </w:rPr>
              <w:t>Politiek verlof</w:t>
            </w:r>
          </w:p>
          <w:p w14:paraId="5F7B580B" w14:textId="77777777" w:rsidR="00145D47" w:rsidRPr="00831F5A" w:rsidRDefault="00145D47" w:rsidP="00145D47">
            <w:pPr>
              <w:pStyle w:val="Plattetekst21"/>
              <w:ind w:left="0"/>
              <w:jc w:val="left"/>
              <w:rPr>
                <w:rFonts w:cs="Arial"/>
                <w:sz w:val="16"/>
                <w:szCs w:val="16"/>
                <w:lang w:val="nl-BE"/>
              </w:rPr>
            </w:pPr>
            <w:r w:rsidRPr="00831F5A">
              <w:rPr>
                <w:rFonts w:cs="Arial"/>
                <w:sz w:val="16"/>
                <w:szCs w:val="16"/>
                <w:lang w:val="nl-BE"/>
              </w:rPr>
              <w:t>1. Vrijstelling van dienst</w:t>
            </w:r>
          </w:p>
          <w:p w14:paraId="4A1A7060" w14:textId="6BE462D8" w:rsidR="00145D47" w:rsidRPr="00831F5A" w:rsidRDefault="00145D47" w:rsidP="00145D47">
            <w:pPr>
              <w:pStyle w:val="Plattetekst21"/>
              <w:ind w:left="0"/>
              <w:jc w:val="left"/>
              <w:rPr>
                <w:rFonts w:cs="Arial"/>
                <w:sz w:val="16"/>
                <w:szCs w:val="16"/>
                <w:lang w:val="nl-BE"/>
              </w:rPr>
            </w:pPr>
            <w:r w:rsidRPr="00831F5A">
              <w:rPr>
                <w:rFonts w:cs="Arial"/>
                <w:sz w:val="16"/>
                <w:szCs w:val="16"/>
                <w:lang w:val="nl-BE"/>
              </w:rPr>
              <w:t>2. Facultatief verlof of verlof van ambtswege</w:t>
            </w:r>
          </w:p>
        </w:tc>
        <w:tc>
          <w:tcPr>
            <w:tcW w:w="1418" w:type="dxa"/>
          </w:tcPr>
          <w:p w14:paraId="5A6C7255" w14:textId="77777777" w:rsidR="00145D47" w:rsidRPr="00831F5A" w:rsidRDefault="00145D47" w:rsidP="00145D47">
            <w:pPr>
              <w:pStyle w:val="Plattetekst21"/>
              <w:spacing w:before="0" w:after="0" w:line="360" w:lineRule="auto"/>
              <w:ind w:left="0"/>
              <w:jc w:val="left"/>
              <w:rPr>
                <w:rFonts w:cs="Arial"/>
                <w:sz w:val="16"/>
                <w:szCs w:val="16"/>
                <w:lang w:val="nl-BE"/>
              </w:rPr>
            </w:pPr>
          </w:p>
          <w:p w14:paraId="7355E2F8" w14:textId="09429575" w:rsidR="00145D47" w:rsidRPr="00831F5A" w:rsidRDefault="00145D47" w:rsidP="00145D47">
            <w:pPr>
              <w:pStyle w:val="Plattetekst21"/>
              <w:spacing w:before="0" w:after="0" w:line="360" w:lineRule="auto"/>
              <w:ind w:left="0"/>
              <w:jc w:val="left"/>
              <w:rPr>
                <w:rFonts w:cs="Arial"/>
                <w:sz w:val="16"/>
                <w:szCs w:val="16"/>
                <w:lang w:val="nl-BE"/>
              </w:rPr>
            </w:pPr>
            <w:r w:rsidRPr="00831F5A">
              <w:rPr>
                <w:rFonts w:cs="Arial"/>
                <w:sz w:val="16"/>
                <w:szCs w:val="16"/>
                <w:lang w:val="nl-BE"/>
              </w:rPr>
              <w:t>1 Dienstactiviteit</w:t>
            </w:r>
          </w:p>
          <w:p w14:paraId="40F14AF7" w14:textId="6A6229B5" w:rsidR="00145D47" w:rsidRPr="00831F5A" w:rsidRDefault="00145D47" w:rsidP="00145D47">
            <w:pPr>
              <w:pStyle w:val="Plattetekst21"/>
              <w:spacing w:before="0" w:after="0" w:line="360" w:lineRule="auto"/>
              <w:ind w:left="0"/>
              <w:jc w:val="left"/>
              <w:rPr>
                <w:rFonts w:cs="Arial"/>
                <w:sz w:val="16"/>
                <w:szCs w:val="16"/>
                <w:lang w:val="nl-BE"/>
              </w:rPr>
            </w:pPr>
            <w:r w:rsidRPr="00831F5A">
              <w:rPr>
                <w:rFonts w:cs="Arial"/>
                <w:sz w:val="16"/>
                <w:szCs w:val="16"/>
                <w:lang w:val="nl-BE"/>
              </w:rPr>
              <w:t>2 Dienstactiviteit</w:t>
            </w:r>
          </w:p>
          <w:p w14:paraId="39DE18D1" w14:textId="77777777" w:rsidR="00145D47" w:rsidRPr="00831F5A" w:rsidRDefault="00145D47" w:rsidP="00145D47">
            <w:pPr>
              <w:pStyle w:val="Plattetekst21"/>
              <w:spacing w:before="0" w:after="0"/>
              <w:ind w:left="0"/>
              <w:jc w:val="left"/>
              <w:rPr>
                <w:rFonts w:cs="Arial"/>
                <w:sz w:val="16"/>
                <w:szCs w:val="16"/>
                <w:lang w:val="nl-BE"/>
              </w:rPr>
            </w:pPr>
            <w:r w:rsidRPr="00831F5A">
              <w:rPr>
                <w:rFonts w:cs="Arial"/>
                <w:sz w:val="16"/>
                <w:szCs w:val="16"/>
                <w:lang w:val="nl-BE"/>
              </w:rPr>
              <w:t>Uitgezonderd art 6, 1ste lid, 4° t.e.m. 10° van het Decreet 14/3/03            = Non-activiteit:</w:t>
            </w:r>
          </w:p>
        </w:tc>
        <w:tc>
          <w:tcPr>
            <w:tcW w:w="1276" w:type="dxa"/>
          </w:tcPr>
          <w:p w14:paraId="472D23BC" w14:textId="77777777" w:rsidR="00145D47" w:rsidRPr="00831F5A" w:rsidRDefault="00145D47" w:rsidP="00145D47">
            <w:pPr>
              <w:pStyle w:val="Plattetekst21"/>
              <w:spacing w:before="0" w:after="0" w:line="360" w:lineRule="auto"/>
              <w:ind w:left="0"/>
              <w:jc w:val="left"/>
              <w:rPr>
                <w:rFonts w:cs="Arial"/>
                <w:sz w:val="16"/>
                <w:szCs w:val="16"/>
                <w:lang w:val="nl-BE"/>
              </w:rPr>
            </w:pPr>
          </w:p>
          <w:p w14:paraId="186AD322" w14:textId="5CC686C5" w:rsidR="00145D47" w:rsidRPr="00831F5A" w:rsidRDefault="00145D47" w:rsidP="00145D47">
            <w:pPr>
              <w:pStyle w:val="Plattetekst21"/>
              <w:spacing w:before="0" w:after="0" w:line="360" w:lineRule="auto"/>
              <w:ind w:left="0"/>
              <w:jc w:val="left"/>
              <w:rPr>
                <w:rFonts w:cs="Arial"/>
                <w:sz w:val="16"/>
                <w:szCs w:val="16"/>
                <w:lang w:val="nl-BE"/>
              </w:rPr>
            </w:pPr>
            <w:r w:rsidRPr="00831F5A">
              <w:rPr>
                <w:rFonts w:cs="Arial"/>
                <w:sz w:val="16"/>
                <w:szCs w:val="16"/>
                <w:lang w:val="nl-BE"/>
              </w:rPr>
              <w:t>1 Ja</w:t>
            </w:r>
          </w:p>
          <w:p w14:paraId="55328496" w14:textId="3BDD9CE0" w:rsidR="00145D47" w:rsidRPr="00831F5A" w:rsidRDefault="00145D47" w:rsidP="00145D47">
            <w:pPr>
              <w:pStyle w:val="Plattetekst21"/>
              <w:spacing w:before="0" w:after="0" w:line="360" w:lineRule="auto"/>
              <w:ind w:left="0"/>
              <w:jc w:val="left"/>
              <w:rPr>
                <w:rFonts w:cs="Arial"/>
                <w:sz w:val="16"/>
                <w:szCs w:val="16"/>
                <w:lang w:val="nl-BE"/>
              </w:rPr>
            </w:pPr>
            <w:r w:rsidRPr="00831F5A">
              <w:rPr>
                <w:rFonts w:cs="Arial"/>
                <w:sz w:val="16"/>
                <w:szCs w:val="16"/>
                <w:lang w:val="nl-BE"/>
              </w:rPr>
              <w:t>2 Neen</w:t>
            </w:r>
          </w:p>
          <w:p w14:paraId="0E15420A" w14:textId="3FD801B6" w:rsidR="00145D47" w:rsidRPr="00831F5A" w:rsidRDefault="00145D47" w:rsidP="00145D47">
            <w:pPr>
              <w:pStyle w:val="Plattetekst21"/>
              <w:spacing w:before="0" w:after="0" w:line="360" w:lineRule="auto"/>
              <w:ind w:left="0"/>
              <w:jc w:val="left"/>
              <w:rPr>
                <w:rFonts w:cs="Arial"/>
                <w:sz w:val="16"/>
                <w:szCs w:val="16"/>
                <w:lang w:val="nl-BE"/>
              </w:rPr>
            </w:pPr>
          </w:p>
        </w:tc>
        <w:tc>
          <w:tcPr>
            <w:tcW w:w="1701" w:type="dxa"/>
          </w:tcPr>
          <w:p w14:paraId="51FB7295" w14:textId="77777777" w:rsidR="00145D47" w:rsidRPr="00831F5A" w:rsidRDefault="00145D47" w:rsidP="00145D47">
            <w:pPr>
              <w:pStyle w:val="Plattetekst21"/>
              <w:ind w:left="0"/>
              <w:jc w:val="left"/>
              <w:rPr>
                <w:rFonts w:cs="Arial"/>
                <w:sz w:val="16"/>
                <w:szCs w:val="16"/>
                <w:lang w:val="nl-BE"/>
              </w:rPr>
            </w:pPr>
          </w:p>
          <w:p w14:paraId="3E97AB4D" w14:textId="77777777" w:rsidR="00F939CC" w:rsidRPr="00831F5A" w:rsidRDefault="00145D47" w:rsidP="00145D47">
            <w:pPr>
              <w:pStyle w:val="Plattetekst21"/>
              <w:ind w:left="0"/>
              <w:jc w:val="left"/>
              <w:rPr>
                <w:rFonts w:cs="Arial"/>
                <w:sz w:val="16"/>
                <w:szCs w:val="16"/>
                <w:lang w:val="nl-BE"/>
              </w:rPr>
            </w:pPr>
            <w:r w:rsidRPr="00831F5A">
              <w:rPr>
                <w:rFonts w:cs="Arial"/>
                <w:sz w:val="16"/>
                <w:szCs w:val="16"/>
                <w:lang w:val="nl-BE"/>
              </w:rPr>
              <w:t>1 Ja indien recht op salaris</w:t>
            </w:r>
          </w:p>
          <w:p w14:paraId="6093416A" w14:textId="47D4824D" w:rsidR="00145D47" w:rsidRPr="00831F5A" w:rsidRDefault="00145D47" w:rsidP="00145D47">
            <w:pPr>
              <w:pStyle w:val="Plattetekst21"/>
              <w:ind w:left="0"/>
              <w:jc w:val="left"/>
              <w:rPr>
                <w:rFonts w:cs="Arial"/>
                <w:sz w:val="16"/>
                <w:szCs w:val="16"/>
                <w:lang w:val="nl-BE"/>
              </w:rPr>
            </w:pPr>
            <w:r w:rsidRPr="00831F5A">
              <w:rPr>
                <w:rFonts w:cs="Arial"/>
                <w:sz w:val="16"/>
                <w:szCs w:val="16"/>
                <w:lang w:val="nl-BE"/>
              </w:rPr>
              <w:t>2 Nee, indien voltijds; ja, indien deeltijds</w:t>
            </w:r>
          </w:p>
        </w:tc>
        <w:tc>
          <w:tcPr>
            <w:tcW w:w="1842" w:type="dxa"/>
          </w:tcPr>
          <w:p w14:paraId="6BCEC391" w14:textId="77777777" w:rsidR="00145D47" w:rsidRPr="00831F5A" w:rsidRDefault="00145D47" w:rsidP="00145D47">
            <w:pPr>
              <w:pStyle w:val="Plattetekst21"/>
              <w:ind w:left="0"/>
              <w:jc w:val="left"/>
              <w:rPr>
                <w:rFonts w:cs="Arial"/>
                <w:sz w:val="16"/>
                <w:szCs w:val="16"/>
                <w:lang w:val="nl-BE"/>
              </w:rPr>
            </w:pPr>
          </w:p>
          <w:p w14:paraId="76319193" w14:textId="77777777" w:rsidR="00145D47" w:rsidRPr="00831F5A" w:rsidRDefault="00145D47" w:rsidP="00145D47">
            <w:pPr>
              <w:pStyle w:val="Plattetekst21"/>
              <w:ind w:left="0"/>
              <w:jc w:val="left"/>
              <w:rPr>
                <w:rFonts w:cs="Arial"/>
                <w:sz w:val="16"/>
                <w:szCs w:val="16"/>
                <w:lang w:val="nl-BE"/>
              </w:rPr>
            </w:pPr>
            <w:r w:rsidRPr="00831F5A">
              <w:rPr>
                <w:rFonts w:cs="Arial"/>
                <w:sz w:val="16"/>
                <w:szCs w:val="16"/>
                <w:lang w:val="nl-BE"/>
              </w:rPr>
              <w:t>1 Ja indien recht op salaris</w:t>
            </w:r>
          </w:p>
          <w:p w14:paraId="421EBC3A" w14:textId="66AAB700" w:rsidR="00145D47" w:rsidRPr="00831F5A" w:rsidRDefault="00145D47" w:rsidP="00145D47">
            <w:pPr>
              <w:pStyle w:val="Plattetekst21"/>
              <w:spacing w:after="60"/>
              <w:ind w:left="0"/>
              <w:jc w:val="left"/>
              <w:rPr>
                <w:rFonts w:cs="Arial"/>
                <w:sz w:val="16"/>
                <w:szCs w:val="16"/>
                <w:lang w:val="nl-BE"/>
              </w:rPr>
            </w:pPr>
            <w:r w:rsidRPr="00831F5A">
              <w:rPr>
                <w:rFonts w:cs="Arial"/>
                <w:sz w:val="16"/>
                <w:szCs w:val="16"/>
                <w:lang w:val="nl-BE"/>
              </w:rPr>
              <w:t>2 Nee, indien voltijds; ja, indien deeltijds</w:t>
            </w:r>
          </w:p>
        </w:tc>
        <w:tc>
          <w:tcPr>
            <w:tcW w:w="1560" w:type="dxa"/>
          </w:tcPr>
          <w:p w14:paraId="17309692" w14:textId="77777777" w:rsidR="00145D47" w:rsidRPr="00831F5A" w:rsidRDefault="00145D47" w:rsidP="00145D47">
            <w:pPr>
              <w:pStyle w:val="Plattetekst21"/>
              <w:spacing w:before="0" w:after="0" w:line="360" w:lineRule="auto"/>
              <w:ind w:left="0"/>
              <w:jc w:val="left"/>
              <w:rPr>
                <w:rFonts w:cs="Arial"/>
                <w:sz w:val="16"/>
                <w:szCs w:val="16"/>
                <w:lang w:val="nl-BE"/>
              </w:rPr>
            </w:pPr>
          </w:p>
          <w:p w14:paraId="3E0D24F3" w14:textId="77777777" w:rsidR="00145D47" w:rsidRPr="00831F5A" w:rsidRDefault="00145D47" w:rsidP="00145D47">
            <w:pPr>
              <w:pStyle w:val="Plattetekst21"/>
              <w:spacing w:before="0" w:after="0" w:line="360" w:lineRule="auto"/>
              <w:ind w:left="0"/>
              <w:jc w:val="left"/>
              <w:rPr>
                <w:rFonts w:cs="Arial"/>
                <w:sz w:val="16"/>
                <w:szCs w:val="16"/>
                <w:lang w:val="nl-BE"/>
              </w:rPr>
            </w:pPr>
            <w:r w:rsidRPr="00831F5A">
              <w:rPr>
                <w:rFonts w:cs="Arial"/>
                <w:sz w:val="16"/>
                <w:szCs w:val="16"/>
                <w:lang w:val="nl-BE"/>
              </w:rPr>
              <w:t>1 Ja</w:t>
            </w:r>
          </w:p>
          <w:p w14:paraId="194F43D0" w14:textId="77777777" w:rsidR="00145D47" w:rsidRPr="00831F5A" w:rsidRDefault="00145D47" w:rsidP="00145D47">
            <w:pPr>
              <w:pStyle w:val="Plattetekst21"/>
              <w:spacing w:before="0" w:after="0" w:line="360" w:lineRule="auto"/>
              <w:ind w:left="0"/>
              <w:jc w:val="left"/>
              <w:rPr>
                <w:rFonts w:cs="Arial"/>
                <w:sz w:val="16"/>
                <w:szCs w:val="16"/>
                <w:lang w:val="nl-BE"/>
              </w:rPr>
            </w:pPr>
            <w:r w:rsidRPr="00831F5A">
              <w:rPr>
                <w:rFonts w:cs="Arial"/>
                <w:sz w:val="16"/>
                <w:szCs w:val="16"/>
                <w:lang w:val="nl-BE"/>
              </w:rPr>
              <w:t>2 Neen</w:t>
            </w:r>
          </w:p>
          <w:p w14:paraId="0566638F" w14:textId="18C34B68" w:rsidR="00145D47" w:rsidRPr="00831F5A" w:rsidRDefault="00145D47" w:rsidP="00145D47">
            <w:pPr>
              <w:pStyle w:val="Plattetekst21"/>
              <w:ind w:left="0"/>
              <w:jc w:val="left"/>
              <w:rPr>
                <w:rFonts w:cs="Arial"/>
                <w:sz w:val="16"/>
                <w:szCs w:val="16"/>
                <w:lang w:val="nl-BE"/>
              </w:rPr>
            </w:pPr>
          </w:p>
        </w:tc>
        <w:tc>
          <w:tcPr>
            <w:tcW w:w="1275" w:type="dxa"/>
          </w:tcPr>
          <w:p w14:paraId="463ADFF5" w14:textId="77777777" w:rsidR="00145D47" w:rsidRPr="00831F5A" w:rsidRDefault="00145D47" w:rsidP="00145D47">
            <w:pPr>
              <w:pStyle w:val="Plattetekst21"/>
              <w:spacing w:before="0" w:after="0" w:line="360" w:lineRule="auto"/>
              <w:ind w:left="0"/>
              <w:jc w:val="left"/>
              <w:rPr>
                <w:rFonts w:cs="Arial"/>
                <w:sz w:val="16"/>
                <w:szCs w:val="16"/>
                <w:lang w:val="nl-BE"/>
              </w:rPr>
            </w:pPr>
          </w:p>
          <w:p w14:paraId="5BAE99B0" w14:textId="77777777" w:rsidR="00145D47" w:rsidRPr="00831F5A" w:rsidRDefault="00145D47" w:rsidP="00145D47">
            <w:pPr>
              <w:pStyle w:val="Plattetekst21"/>
              <w:spacing w:before="0" w:after="0" w:line="360" w:lineRule="auto"/>
              <w:ind w:left="0"/>
              <w:jc w:val="left"/>
              <w:rPr>
                <w:rFonts w:cs="Arial"/>
                <w:sz w:val="16"/>
                <w:szCs w:val="16"/>
                <w:lang w:val="nl-BE"/>
              </w:rPr>
            </w:pPr>
            <w:r w:rsidRPr="00831F5A">
              <w:rPr>
                <w:rFonts w:cs="Arial"/>
                <w:sz w:val="16"/>
                <w:szCs w:val="16"/>
                <w:lang w:val="nl-BE"/>
              </w:rPr>
              <w:t>1 Ja</w:t>
            </w:r>
          </w:p>
          <w:p w14:paraId="544ACD0D" w14:textId="77777777" w:rsidR="00145D47" w:rsidRPr="00831F5A" w:rsidRDefault="00145D47" w:rsidP="00145D47">
            <w:pPr>
              <w:pStyle w:val="Plattetekst21"/>
              <w:spacing w:before="0" w:after="0" w:line="360" w:lineRule="auto"/>
              <w:ind w:left="0"/>
              <w:jc w:val="left"/>
              <w:rPr>
                <w:rFonts w:cs="Arial"/>
                <w:sz w:val="16"/>
                <w:szCs w:val="16"/>
                <w:lang w:val="nl-BE"/>
              </w:rPr>
            </w:pPr>
            <w:r w:rsidRPr="00831F5A">
              <w:rPr>
                <w:rFonts w:cs="Arial"/>
                <w:sz w:val="16"/>
                <w:szCs w:val="16"/>
                <w:lang w:val="nl-BE"/>
              </w:rPr>
              <w:t>2 Neen</w:t>
            </w:r>
          </w:p>
          <w:p w14:paraId="44061B92" w14:textId="5854BF47" w:rsidR="00145D47" w:rsidRPr="00831F5A" w:rsidRDefault="00145D47" w:rsidP="00145D47">
            <w:pPr>
              <w:pStyle w:val="Plattetekst21"/>
              <w:ind w:left="0"/>
              <w:jc w:val="left"/>
              <w:rPr>
                <w:rFonts w:cs="Arial"/>
                <w:sz w:val="16"/>
                <w:szCs w:val="16"/>
                <w:lang w:val="nl-BE"/>
              </w:rPr>
            </w:pPr>
          </w:p>
        </w:tc>
        <w:tc>
          <w:tcPr>
            <w:tcW w:w="993" w:type="dxa"/>
          </w:tcPr>
          <w:p w14:paraId="3FD62E5A" w14:textId="77777777" w:rsidR="00145D47" w:rsidRPr="00831F5A" w:rsidRDefault="00145D47" w:rsidP="00145D47">
            <w:pPr>
              <w:pStyle w:val="Plattetekst21"/>
              <w:spacing w:before="0" w:after="0" w:line="360" w:lineRule="auto"/>
              <w:ind w:left="0"/>
              <w:jc w:val="left"/>
              <w:rPr>
                <w:rFonts w:cs="Arial"/>
                <w:sz w:val="16"/>
                <w:szCs w:val="16"/>
                <w:lang w:val="nl-BE"/>
              </w:rPr>
            </w:pPr>
          </w:p>
          <w:p w14:paraId="16BD1A79" w14:textId="77777777" w:rsidR="00145D47" w:rsidRPr="00831F5A" w:rsidRDefault="00145D47" w:rsidP="00145D47">
            <w:pPr>
              <w:pStyle w:val="Plattetekst21"/>
              <w:spacing w:before="0" w:after="0" w:line="360" w:lineRule="auto"/>
              <w:ind w:left="0"/>
              <w:jc w:val="left"/>
              <w:rPr>
                <w:rFonts w:cs="Arial"/>
                <w:sz w:val="16"/>
                <w:szCs w:val="16"/>
                <w:lang w:val="nl-BE"/>
              </w:rPr>
            </w:pPr>
            <w:r w:rsidRPr="00831F5A">
              <w:rPr>
                <w:rFonts w:cs="Arial"/>
                <w:sz w:val="16"/>
                <w:szCs w:val="16"/>
                <w:lang w:val="nl-BE"/>
              </w:rPr>
              <w:t>1 Ja</w:t>
            </w:r>
          </w:p>
          <w:p w14:paraId="6FAD5D62" w14:textId="77777777" w:rsidR="00145D47" w:rsidRPr="00831F5A" w:rsidRDefault="00145D47" w:rsidP="00145D47">
            <w:pPr>
              <w:pStyle w:val="Plattetekst21"/>
              <w:spacing w:before="0" w:after="0" w:line="360" w:lineRule="auto"/>
              <w:ind w:left="0"/>
              <w:jc w:val="left"/>
              <w:rPr>
                <w:rFonts w:cs="Arial"/>
                <w:sz w:val="16"/>
                <w:szCs w:val="16"/>
                <w:lang w:val="nl-BE"/>
              </w:rPr>
            </w:pPr>
            <w:r w:rsidRPr="00831F5A">
              <w:rPr>
                <w:rFonts w:cs="Arial"/>
                <w:sz w:val="16"/>
                <w:szCs w:val="16"/>
                <w:lang w:val="nl-BE"/>
              </w:rPr>
              <w:t>2 Neen</w:t>
            </w:r>
          </w:p>
          <w:p w14:paraId="12574B72" w14:textId="481A9BC2" w:rsidR="00145D47" w:rsidRPr="00831F5A" w:rsidRDefault="00145D47" w:rsidP="00145D47">
            <w:pPr>
              <w:spacing w:before="0" w:after="0"/>
              <w:ind w:left="0"/>
              <w:jc w:val="left"/>
            </w:pPr>
          </w:p>
        </w:tc>
        <w:tc>
          <w:tcPr>
            <w:tcW w:w="1134" w:type="dxa"/>
          </w:tcPr>
          <w:p w14:paraId="5E8DB8F6" w14:textId="77777777" w:rsidR="00145D47" w:rsidRPr="00831F5A" w:rsidRDefault="00145D47" w:rsidP="00145D47">
            <w:pPr>
              <w:pStyle w:val="Plattetekst21"/>
              <w:spacing w:before="0" w:after="0" w:line="360" w:lineRule="auto"/>
              <w:ind w:left="0"/>
              <w:jc w:val="left"/>
              <w:rPr>
                <w:rFonts w:cs="Arial"/>
                <w:sz w:val="16"/>
                <w:szCs w:val="16"/>
                <w:lang w:val="nl-BE"/>
              </w:rPr>
            </w:pPr>
          </w:p>
          <w:p w14:paraId="7DFDA8D4" w14:textId="77777777" w:rsidR="00145D47" w:rsidRPr="00831F5A" w:rsidRDefault="00145D47" w:rsidP="00145D47">
            <w:pPr>
              <w:pStyle w:val="Plattetekst21"/>
              <w:spacing w:before="0" w:after="0" w:line="360" w:lineRule="auto"/>
              <w:ind w:left="0"/>
              <w:jc w:val="left"/>
              <w:rPr>
                <w:rFonts w:cs="Arial"/>
                <w:sz w:val="16"/>
                <w:szCs w:val="16"/>
                <w:lang w:val="nl-BE"/>
              </w:rPr>
            </w:pPr>
            <w:r w:rsidRPr="00831F5A">
              <w:rPr>
                <w:rFonts w:cs="Arial"/>
                <w:sz w:val="16"/>
                <w:szCs w:val="16"/>
                <w:lang w:val="nl-BE"/>
              </w:rPr>
              <w:t>1 Ja</w:t>
            </w:r>
          </w:p>
          <w:p w14:paraId="0742C9B3" w14:textId="77777777" w:rsidR="00145D47" w:rsidRPr="00831F5A" w:rsidRDefault="00145D47" w:rsidP="00145D47">
            <w:pPr>
              <w:pStyle w:val="Plattetekst21"/>
              <w:spacing w:before="0" w:after="0" w:line="360" w:lineRule="auto"/>
              <w:ind w:left="0"/>
              <w:jc w:val="left"/>
              <w:rPr>
                <w:rFonts w:cs="Arial"/>
                <w:sz w:val="16"/>
                <w:szCs w:val="16"/>
                <w:lang w:val="nl-BE"/>
              </w:rPr>
            </w:pPr>
            <w:r w:rsidRPr="00831F5A">
              <w:rPr>
                <w:rFonts w:cs="Arial"/>
                <w:sz w:val="16"/>
                <w:szCs w:val="16"/>
                <w:lang w:val="nl-BE"/>
              </w:rPr>
              <w:t>2 Neen</w:t>
            </w:r>
          </w:p>
          <w:p w14:paraId="39F60EEF" w14:textId="49C9D218" w:rsidR="00145D47" w:rsidRPr="00831F5A" w:rsidRDefault="00145D47" w:rsidP="00145D47">
            <w:pPr>
              <w:spacing w:before="0" w:after="0"/>
              <w:ind w:left="0"/>
              <w:jc w:val="left"/>
            </w:pPr>
          </w:p>
        </w:tc>
      </w:tr>
      <w:tr w:rsidR="00DD039E" w:rsidRPr="00037A46" w14:paraId="6D36294C" w14:textId="1516F61E" w:rsidTr="00DD039E">
        <w:trPr>
          <w:trHeight w:val="300"/>
        </w:trPr>
        <w:tc>
          <w:tcPr>
            <w:tcW w:w="2263" w:type="dxa"/>
            <w:shd w:val="clear" w:color="auto" w:fill="D9D9D9" w:themeFill="background1" w:themeFillShade="D9"/>
          </w:tcPr>
          <w:p w14:paraId="308692DD"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Vakbondsverlof</w:t>
            </w:r>
          </w:p>
        </w:tc>
        <w:tc>
          <w:tcPr>
            <w:tcW w:w="1418" w:type="dxa"/>
          </w:tcPr>
          <w:p w14:paraId="35BD063F" w14:textId="77777777" w:rsidR="00DD039E" w:rsidRPr="00831F5A" w:rsidRDefault="00DD039E" w:rsidP="00DD039E">
            <w:pPr>
              <w:pStyle w:val="Plattetekst21"/>
              <w:spacing w:before="0"/>
              <w:ind w:left="0"/>
              <w:jc w:val="left"/>
              <w:rPr>
                <w:rFonts w:cs="Arial"/>
                <w:sz w:val="16"/>
                <w:szCs w:val="16"/>
                <w:lang w:val="nl-BE"/>
              </w:rPr>
            </w:pPr>
            <w:r w:rsidRPr="00831F5A">
              <w:rPr>
                <w:rFonts w:cs="Arial"/>
                <w:sz w:val="16"/>
                <w:szCs w:val="16"/>
                <w:lang w:val="nl-BE"/>
              </w:rPr>
              <w:t>Dienstactiviteit</w:t>
            </w:r>
          </w:p>
        </w:tc>
        <w:tc>
          <w:tcPr>
            <w:tcW w:w="1276" w:type="dxa"/>
          </w:tcPr>
          <w:p w14:paraId="2FA5702F"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701" w:type="dxa"/>
          </w:tcPr>
          <w:p w14:paraId="78CD97FB"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842" w:type="dxa"/>
          </w:tcPr>
          <w:p w14:paraId="024C8162"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560" w:type="dxa"/>
          </w:tcPr>
          <w:p w14:paraId="0AA1AC5C"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275" w:type="dxa"/>
          </w:tcPr>
          <w:p w14:paraId="775E06C2"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993" w:type="dxa"/>
          </w:tcPr>
          <w:p w14:paraId="2CEC9087" w14:textId="1193C638" w:rsidR="00DD039E" w:rsidRPr="00831F5A" w:rsidRDefault="00DD039E" w:rsidP="00DD039E">
            <w:pPr>
              <w:spacing w:before="0" w:after="0"/>
              <w:ind w:left="0"/>
              <w:jc w:val="left"/>
            </w:pPr>
            <w:r w:rsidRPr="00831F5A">
              <w:rPr>
                <w:rFonts w:cs="Arial"/>
                <w:sz w:val="16"/>
                <w:szCs w:val="16"/>
                <w:lang w:val="nl-BE"/>
              </w:rPr>
              <w:t xml:space="preserve">Ja  </w:t>
            </w:r>
          </w:p>
        </w:tc>
        <w:tc>
          <w:tcPr>
            <w:tcW w:w="1134" w:type="dxa"/>
          </w:tcPr>
          <w:p w14:paraId="0A71444B" w14:textId="5F481122" w:rsidR="00DD039E" w:rsidRPr="00831F5A" w:rsidRDefault="00DD039E" w:rsidP="00DD039E">
            <w:pPr>
              <w:spacing w:before="0" w:after="0"/>
              <w:ind w:left="0"/>
              <w:jc w:val="left"/>
            </w:pPr>
            <w:r w:rsidRPr="00831F5A">
              <w:rPr>
                <w:rFonts w:cs="Arial"/>
                <w:sz w:val="16"/>
                <w:szCs w:val="16"/>
                <w:lang w:val="nl-BE"/>
              </w:rPr>
              <w:t xml:space="preserve">Ja  </w:t>
            </w:r>
          </w:p>
        </w:tc>
      </w:tr>
      <w:tr w:rsidR="00DD039E" w:rsidRPr="00037A46" w14:paraId="6F8E57C5" w14:textId="198183DE" w:rsidTr="00DD039E">
        <w:trPr>
          <w:trHeight w:val="300"/>
        </w:trPr>
        <w:tc>
          <w:tcPr>
            <w:tcW w:w="2263" w:type="dxa"/>
            <w:shd w:val="clear" w:color="auto" w:fill="D9D9D9" w:themeFill="background1" w:themeFillShade="D9"/>
          </w:tcPr>
          <w:p w14:paraId="51DB4D4E"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 xml:space="preserve">Vormingsverlof  </w:t>
            </w:r>
          </w:p>
        </w:tc>
        <w:tc>
          <w:tcPr>
            <w:tcW w:w="1418" w:type="dxa"/>
          </w:tcPr>
          <w:p w14:paraId="65319D8C" w14:textId="77777777" w:rsidR="00DD039E" w:rsidRPr="00831F5A" w:rsidRDefault="00DD039E" w:rsidP="00DD039E">
            <w:pPr>
              <w:pStyle w:val="Plattetekst21"/>
              <w:spacing w:before="0"/>
              <w:ind w:left="0"/>
              <w:jc w:val="left"/>
              <w:rPr>
                <w:rFonts w:cs="Arial"/>
                <w:sz w:val="16"/>
                <w:szCs w:val="16"/>
                <w:lang w:val="nl-BE"/>
              </w:rPr>
            </w:pPr>
            <w:r w:rsidRPr="00831F5A">
              <w:rPr>
                <w:rFonts w:cs="Arial"/>
                <w:sz w:val="16"/>
                <w:szCs w:val="16"/>
                <w:lang w:val="nl-BE"/>
              </w:rPr>
              <w:t>Dienstactiviteit</w:t>
            </w:r>
          </w:p>
        </w:tc>
        <w:tc>
          <w:tcPr>
            <w:tcW w:w="1276" w:type="dxa"/>
          </w:tcPr>
          <w:p w14:paraId="3B75F97F"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701" w:type="dxa"/>
          </w:tcPr>
          <w:p w14:paraId="37F15DB8"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842" w:type="dxa"/>
          </w:tcPr>
          <w:p w14:paraId="41A53ADA"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560" w:type="dxa"/>
          </w:tcPr>
          <w:p w14:paraId="0AB970BC"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275" w:type="dxa"/>
          </w:tcPr>
          <w:p w14:paraId="07269E2A"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993" w:type="dxa"/>
          </w:tcPr>
          <w:p w14:paraId="18AC98A5" w14:textId="23F378BA" w:rsidR="00DD039E" w:rsidRPr="00831F5A" w:rsidRDefault="00DD039E" w:rsidP="00DD039E">
            <w:pPr>
              <w:spacing w:before="0" w:after="0"/>
              <w:ind w:left="0"/>
              <w:jc w:val="left"/>
            </w:pPr>
            <w:r w:rsidRPr="00831F5A">
              <w:rPr>
                <w:rFonts w:cs="Arial"/>
                <w:sz w:val="16"/>
                <w:szCs w:val="16"/>
                <w:lang w:val="nl-BE"/>
              </w:rPr>
              <w:t xml:space="preserve">Ja  </w:t>
            </w:r>
          </w:p>
        </w:tc>
        <w:tc>
          <w:tcPr>
            <w:tcW w:w="1134" w:type="dxa"/>
          </w:tcPr>
          <w:p w14:paraId="30689FE0" w14:textId="0B2C918E" w:rsidR="00DD039E" w:rsidRPr="00831F5A" w:rsidRDefault="00DD039E" w:rsidP="00DD039E">
            <w:pPr>
              <w:spacing w:before="0" w:after="0"/>
              <w:ind w:left="0"/>
              <w:jc w:val="left"/>
            </w:pPr>
            <w:r w:rsidRPr="00831F5A">
              <w:rPr>
                <w:rFonts w:cs="Arial"/>
                <w:sz w:val="16"/>
                <w:szCs w:val="16"/>
                <w:lang w:val="nl-BE"/>
              </w:rPr>
              <w:t xml:space="preserve">Ja  </w:t>
            </w:r>
          </w:p>
        </w:tc>
      </w:tr>
      <w:tr w:rsidR="00DD039E" w:rsidRPr="00037A46" w14:paraId="33FB632C" w14:textId="01F9BB7F" w:rsidTr="00DD039E">
        <w:trPr>
          <w:trHeight w:val="300"/>
        </w:trPr>
        <w:tc>
          <w:tcPr>
            <w:tcW w:w="2263" w:type="dxa"/>
            <w:shd w:val="clear" w:color="auto" w:fill="D9D9D9" w:themeFill="background1" w:themeFillShade="D9"/>
          </w:tcPr>
          <w:p w14:paraId="6296A507" w14:textId="3CDB9373"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Verlof dwingende reden</w:t>
            </w:r>
          </w:p>
        </w:tc>
        <w:tc>
          <w:tcPr>
            <w:tcW w:w="1418" w:type="dxa"/>
          </w:tcPr>
          <w:p w14:paraId="4845EFCF" w14:textId="06EE8B0D" w:rsidR="00DD039E" w:rsidRPr="00831F5A" w:rsidRDefault="00DD039E" w:rsidP="00DD039E">
            <w:pPr>
              <w:pStyle w:val="Plattetekst21"/>
              <w:spacing w:before="0"/>
              <w:ind w:left="0"/>
              <w:jc w:val="left"/>
              <w:rPr>
                <w:rFonts w:cs="Arial"/>
                <w:sz w:val="16"/>
                <w:szCs w:val="16"/>
                <w:lang w:val="nl-BE"/>
              </w:rPr>
            </w:pPr>
            <w:r w:rsidRPr="00831F5A">
              <w:rPr>
                <w:rFonts w:cs="Arial"/>
                <w:sz w:val="16"/>
                <w:szCs w:val="16"/>
                <w:lang w:val="nl-BE"/>
              </w:rPr>
              <w:t>Dienstactiviteit</w:t>
            </w:r>
          </w:p>
        </w:tc>
        <w:tc>
          <w:tcPr>
            <w:tcW w:w="1276" w:type="dxa"/>
          </w:tcPr>
          <w:p w14:paraId="3E0DB21D" w14:textId="0949D4A5"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Neen</w:t>
            </w:r>
          </w:p>
        </w:tc>
        <w:tc>
          <w:tcPr>
            <w:tcW w:w="1701" w:type="dxa"/>
          </w:tcPr>
          <w:p w14:paraId="2E76DB2D" w14:textId="19583E41"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842" w:type="dxa"/>
          </w:tcPr>
          <w:p w14:paraId="20C3229E" w14:textId="21412565"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560" w:type="dxa"/>
          </w:tcPr>
          <w:p w14:paraId="7913D5FF" w14:textId="6221E8A5"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275" w:type="dxa"/>
          </w:tcPr>
          <w:p w14:paraId="0905863C" w14:textId="7B4225C1"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r w:rsidR="00546739" w:rsidRPr="00831F5A">
              <w:rPr>
                <w:rFonts w:cs="Arial"/>
                <w:sz w:val="16"/>
                <w:szCs w:val="16"/>
                <w:lang w:val="nl-BE"/>
              </w:rPr>
              <w:t xml:space="preserve"> </w:t>
            </w:r>
          </w:p>
        </w:tc>
        <w:tc>
          <w:tcPr>
            <w:tcW w:w="993" w:type="dxa"/>
          </w:tcPr>
          <w:p w14:paraId="649AA9F0" w14:textId="7EE3C920" w:rsidR="00DD039E" w:rsidRPr="00831F5A" w:rsidRDefault="00DD039E" w:rsidP="00DD039E">
            <w:pPr>
              <w:spacing w:before="0" w:after="0"/>
              <w:ind w:left="0"/>
              <w:jc w:val="left"/>
            </w:pPr>
            <w:r w:rsidRPr="00831F5A">
              <w:rPr>
                <w:rFonts w:cs="Arial"/>
                <w:sz w:val="16"/>
                <w:szCs w:val="16"/>
                <w:lang w:val="nl-BE"/>
              </w:rPr>
              <w:t>Nee</w:t>
            </w:r>
          </w:p>
        </w:tc>
        <w:tc>
          <w:tcPr>
            <w:tcW w:w="1134" w:type="dxa"/>
          </w:tcPr>
          <w:p w14:paraId="1C763BE0" w14:textId="03A7DF25" w:rsidR="00DD039E" w:rsidRPr="00831F5A" w:rsidRDefault="00DD039E" w:rsidP="00DD039E">
            <w:pPr>
              <w:spacing w:before="0" w:after="0"/>
              <w:ind w:left="0"/>
              <w:jc w:val="left"/>
            </w:pPr>
            <w:r w:rsidRPr="00831F5A">
              <w:rPr>
                <w:rFonts w:cs="Arial"/>
                <w:sz w:val="16"/>
                <w:szCs w:val="16"/>
                <w:lang w:val="nl-BE"/>
              </w:rPr>
              <w:t xml:space="preserve">Nee </w:t>
            </w:r>
          </w:p>
        </w:tc>
      </w:tr>
      <w:tr w:rsidR="00DD039E" w:rsidRPr="00037A46" w14:paraId="23B9FC83" w14:textId="183FB75A" w:rsidTr="00DD039E">
        <w:trPr>
          <w:trHeight w:val="300"/>
        </w:trPr>
        <w:tc>
          <w:tcPr>
            <w:tcW w:w="2263" w:type="dxa"/>
            <w:shd w:val="clear" w:color="auto" w:fill="D9D9D9" w:themeFill="background1" w:themeFillShade="D9"/>
          </w:tcPr>
          <w:p w14:paraId="59971DDF" w14:textId="58F6E0AC"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 xml:space="preserve">Vrijstelling arbeidsprestaties </w:t>
            </w:r>
            <w:proofErr w:type="spellStart"/>
            <w:r w:rsidRPr="00831F5A">
              <w:rPr>
                <w:rFonts w:cs="Arial"/>
                <w:sz w:val="16"/>
                <w:szCs w:val="16"/>
                <w:lang w:val="nl-BE"/>
              </w:rPr>
              <w:t>ikv</w:t>
            </w:r>
            <w:proofErr w:type="spellEnd"/>
            <w:r w:rsidRPr="00831F5A">
              <w:rPr>
                <w:rFonts w:cs="Arial"/>
                <w:sz w:val="16"/>
                <w:szCs w:val="16"/>
                <w:lang w:val="nl-BE"/>
              </w:rPr>
              <w:t xml:space="preserve"> </w:t>
            </w:r>
            <w:proofErr w:type="spellStart"/>
            <w:r w:rsidRPr="00831F5A">
              <w:rPr>
                <w:rFonts w:cs="Arial"/>
                <w:sz w:val="16"/>
                <w:szCs w:val="16"/>
                <w:lang w:val="nl-BE"/>
              </w:rPr>
              <w:lastRenderedPageBreak/>
              <w:t>eindeloopbaanprboblematiek</w:t>
            </w:r>
            <w:proofErr w:type="spellEnd"/>
          </w:p>
        </w:tc>
        <w:tc>
          <w:tcPr>
            <w:tcW w:w="1418" w:type="dxa"/>
          </w:tcPr>
          <w:p w14:paraId="1561CAEE" w14:textId="3F3B1C37" w:rsidR="00DD039E" w:rsidRPr="00831F5A" w:rsidRDefault="00DD039E" w:rsidP="00DD039E">
            <w:pPr>
              <w:pStyle w:val="Plattetekst21"/>
              <w:spacing w:before="0"/>
              <w:ind w:left="0"/>
              <w:jc w:val="left"/>
              <w:rPr>
                <w:rFonts w:cs="Arial"/>
                <w:sz w:val="16"/>
                <w:szCs w:val="16"/>
                <w:lang w:val="nl-BE"/>
              </w:rPr>
            </w:pPr>
            <w:r w:rsidRPr="00831F5A">
              <w:rPr>
                <w:rFonts w:cs="Arial"/>
                <w:sz w:val="16"/>
                <w:szCs w:val="16"/>
                <w:lang w:val="nl-BE"/>
              </w:rPr>
              <w:lastRenderedPageBreak/>
              <w:t>Dienstactiviteit</w:t>
            </w:r>
          </w:p>
        </w:tc>
        <w:tc>
          <w:tcPr>
            <w:tcW w:w="1276" w:type="dxa"/>
          </w:tcPr>
          <w:p w14:paraId="63B2DAE9" w14:textId="3CF647C2"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701" w:type="dxa"/>
          </w:tcPr>
          <w:p w14:paraId="5F84FD4D" w14:textId="5C60A1DF"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842" w:type="dxa"/>
          </w:tcPr>
          <w:p w14:paraId="0BF658F4" w14:textId="57CC8E7C"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560" w:type="dxa"/>
          </w:tcPr>
          <w:p w14:paraId="04BF444A" w14:textId="0972FDB5"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275" w:type="dxa"/>
          </w:tcPr>
          <w:p w14:paraId="38AB6E79" w14:textId="76C58006"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993" w:type="dxa"/>
          </w:tcPr>
          <w:p w14:paraId="5F69C8B1" w14:textId="7ECABEB8" w:rsidR="00DD039E" w:rsidRPr="00831F5A" w:rsidRDefault="00DD039E" w:rsidP="00DD039E">
            <w:pPr>
              <w:spacing w:before="0" w:after="0"/>
              <w:ind w:left="0"/>
              <w:jc w:val="left"/>
            </w:pPr>
            <w:r w:rsidRPr="00831F5A">
              <w:rPr>
                <w:rFonts w:cs="Arial"/>
                <w:sz w:val="16"/>
                <w:szCs w:val="16"/>
                <w:lang w:val="nl-BE"/>
              </w:rPr>
              <w:t xml:space="preserve">Ja  </w:t>
            </w:r>
          </w:p>
        </w:tc>
        <w:tc>
          <w:tcPr>
            <w:tcW w:w="1134" w:type="dxa"/>
          </w:tcPr>
          <w:p w14:paraId="784515B3" w14:textId="14A6B3F2" w:rsidR="00DD039E" w:rsidRPr="00831F5A" w:rsidRDefault="00DD039E" w:rsidP="00DD039E">
            <w:pPr>
              <w:spacing w:before="0" w:after="0"/>
              <w:ind w:left="0"/>
              <w:jc w:val="left"/>
            </w:pPr>
            <w:r w:rsidRPr="00831F5A">
              <w:rPr>
                <w:rFonts w:cs="Arial"/>
                <w:sz w:val="16"/>
                <w:szCs w:val="16"/>
                <w:lang w:val="nl-BE"/>
              </w:rPr>
              <w:t xml:space="preserve">Ja  </w:t>
            </w:r>
          </w:p>
        </w:tc>
      </w:tr>
    </w:tbl>
    <w:p w14:paraId="42CA0858" w14:textId="77777777" w:rsidR="00BD2DCA" w:rsidRPr="00037A46" w:rsidRDefault="00BD2DCA" w:rsidP="00306DE2">
      <w:pPr>
        <w:ind w:left="0"/>
        <w:rPr>
          <w:rFonts w:cs="Arial"/>
          <w:sz w:val="16"/>
          <w:szCs w:val="16"/>
        </w:rPr>
        <w:sectPr w:rsidR="00BD2DCA" w:rsidRPr="00037A46" w:rsidSect="00BD2DCA">
          <w:headerReference w:type="default" r:id="rId19"/>
          <w:footerReference w:type="default" r:id="rId20"/>
          <w:pgSz w:w="16840" w:h="11907" w:orient="landscape" w:code="9"/>
          <w:pgMar w:top="1440" w:right="1701" w:bottom="1440" w:left="1701" w:header="794" w:footer="794" w:gutter="0"/>
          <w:cols w:space="708"/>
          <w:noEndnote/>
          <w:docGrid w:linePitch="272"/>
        </w:sectPr>
      </w:pPr>
    </w:p>
    <w:p w14:paraId="38B5D317" w14:textId="2AB1D6F8" w:rsidR="00AA08B3" w:rsidRPr="00037A46" w:rsidRDefault="00B40EFC" w:rsidP="00AA08B3">
      <w:pPr>
        <w:pStyle w:val="Kop1"/>
      </w:pPr>
      <w:bookmarkStart w:id="306" w:name="_Toc291754469"/>
      <w:bookmarkStart w:id="307" w:name="_Toc110948266"/>
      <w:bookmarkStart w:id="308" w:name="_Toc215739063"/>
      <w:r w:rsidRPr="00037A46">
        <w:lastRenderedPageBreak/>
        <w:t>B</w:t>
      </w:r>
      <w:r w:rsidR="00AA08B3" w:rsidRPr="00037A46">
        <w:t xml:space="preserve">ijlage </w:t>
      </w:r>
      <w:r w:rsidR="00D350B6">
        <w:t>III</w:t>
      </w:r>
      <w:r w:rsidR="00535B5A">
        <w:t>.</w:t>
      </w:r>
      <w:r w:rsidR="00AA08B3" w:rsidRPr="00037A46">
        <w:t xml:space="preserve"> overzicht functies per Graad </w:t>
      </w:r>
      <w:bookmarkEnd w:id="306"/>
      <w:r w:rsidR="00AA08B3" w:rsidRPr="00037A46">
        <w:t>en rang</w:t>
      </w:r>
      <w:bookmarkEnd w:id="307"/>
      <w:bookmarkEnd w:id="308"/>
    </w:p>
    <w:p w14:paraId="41523026" w14:textId="77777777" w:rsidR="00D350B6" w:rsidRPr="00037A46" w:rsidRDefault="00D350B6" w:rsidP="009D4C40">
      <w:pPr>
        <w:pStyle w:val="Kop3"/>
        <w:numPr>
          <w:ilvl w:val="0"/>
          <w:numId w:val="41"/>
        </w:numPr>
        <w:tabs>
          <w:tab w:val="num" w:pos="644"/>
        </w:tabs>
        <w:ind w:left="426" w:hanging="426"/>
      </w:pPr>
      <w:bookmarkStart w:id="309" w:name="_Toc110948267"/>
      <w:bookmarkStart w:id="310" w:name="_Toc152937482"/>
      <w:bookmarkStart w:id="311" w:name="_Toc177724313"/>
      <w:bookmarkStart w:id="312" w:name="_Toc177724980"/>
      <w:bookmarkStart w:id="313" w:name="_Toc215739064"/>
      <w:r w:rsidRPr="00037A46">
        <w:t xml:space="preserve">Volgens </w:t>
      </w:r>
      <w:proofErr w:type="spellStart"/>
      <w:r w:rsidRPr="00037A46">
        <w:t>ocmw</w:t>
      </w:r>
      <w:proofErr w:type="spellEnd"/>
      <w:r w:rsidRPr="00037A46">
        <w:t>-personeelcategorie</w:t>
      </w:r>
      <w:bookmarkEnd w:id="309"/>
      <w:bookmarkEnd w:id="310"/>
      <w:bookmarkEnd w:id="311"/>
      <w:bookmarkEnd w:id="312"/>
      <w:bookmarkEnd w:id="313"/>
    </w:p>
    <w:p w14:paraId="090E08E9" w14:textId="77777777" w:rsidR="00D350B6" w:rsidRPr="00037A46" w:rsidRDefault="00D350B6" w:rsidP="00D350B6"/>
    <w:tbl>
      <w:tblPr>
        <w:tblW w:w="9240" w:type="dxa"/>
        <w:tblInd w:w="70" w:type="dxa"/>
        <w:tblCellMar>
          <w:left w:w="70" w:type="dxa"/>
          <w:right w:w="70" w:type="dxa"/>
        </w:tblCellMar>
        <w:tblLook w:val="04A0" w:firstRow="1" w:lastRow="0" w:firstColumn="1" w:lastColumn="0" w:noHBand="0" w:noVBand="1"/>
      </w:tblPr>
      <w:tblGrid>
        <w:gridCol w:w="3947"/>
        <w:gridCol w:w="2949"/>
        <w:gridCol w:w="1001"/>
        <w:gridCol w:w="1343"/>
      </w:tblGrid>
      <w:tr w:rsidR="00D350B6" w:rsidRPr="00037A46" w14:paraId="7C622912" w14:textId="77777777" w:rsidTr="009972EF">
        <w:trPr>
          <w:trHeight w:val="300"/>
        </w:trPr>
        <w:tc>
          <w:tcPr>
            <w:tcW w:w="9240" w:type="dxa"/>
            <w:gridSpan w:val="4"/>
            <w:tcBorders>
              <w:top w:val="nil"/>
              <w:left w:val="nil"/>
              <w:bottom w:val="nil"/>
              <w:right w:val="nil"/>
            </w:tcBorders>
            <w:noWrap/>
            <w:vAlign w:val="center"/>
          </w:tcPr>
          <w:tbl>
            <w:tblPr>
              <w:tblW w:w="8807" w:type="dxa"/>
              <w:tblInd w:w="70" w:type="dxa"/>
              <w:tblCellMar>
                <w:left w:w="70" w:type="dxa"/>
                <w:right w:w="70" w:type="dxa"/>
              </w:tblCellMar>
              <w:tblLook w:val="04A0" w:firstRow="1" w:lastRow="0" w:firstColumn="1" w:lastColumn="0" w:noHBand="0" w:noVBand="1"/>
            </w:tblPr>
            <w:tblGrid>
              <w:gridCol w:w="3690"/>
              <w:gridCol w:w="2777"/>
              <w:gridCol w:w="938"/>
              <w:gridCol w:w="1080"/>
              <w:gridCol w:w="322"/>
            </w:tblGrid>
            <w:tr w:rsidR="009972EF" w:rsidRPr="00037A46" w14:paraId="7F37E065" w14:textId="77777777" w:rsidTr="003B2E38">
              <w:trPr>
                <w:trHeight w:val="300"/>
              </w:trPr>
              <w:tc>
                <w:tcPr>
                  <w:tcW w:w="8807" w:type="dxa"/>
                  <w:gridSpan w:val="5"/>
                  <w:tcBorders>
                    <w:top w:val="nil"/>
                    <w:left w:val="nil"/>
                    <w:bottom w:val="nil"/>
                    <w:right w:val="nil"/>
                  </w:tcBorders>
                  <w:noWrap/>
                  <w:vAlign w:val="center"/>
                  <w:hideMark/>
                </w:tcPr>
                <w:p w14:paraId="45984FBD" w14:textId="77777777" w:rsidR="009972EF" w:rsidRPr="00037A46" w:rsidRDefault="009972EF" w:rsidP="009972EF">
                  <w:pPr>
                    <w:spacing w:before="0" w:after="0"/>
                    <w:ind w:left="0"/>
                    <w:jc w:val="left"/>
                    <w:rPr>
                      <w:rFonts w:cs="Arial"/>
                      <w:b/>
                      <w:bCs/>
                      <w:color w:val="000000"/>
                      <w:lang w:val="nl-BE" w:eastAsia="nl-BE"/>
                    </w:rPr>
                  </w:pPr>
                  <w:r w:rsidRPr="00037A46">
                    <w:rPr>
                      <w:rFonts w:cs="Arial"/>
                      <w:b/>
                      <w:bCs/>
                      <w:color w:val="000000"/>
                      <w:lang w:val="nl-BE" w:eastAsia="nl-BE"/>
                    </w:rPr>
                    <w:t>Artikel 1, punt 3 (personeelcategorie 1)</w:t>
                  </w:r>
                </w:p>
              </w:tc>
            </w:tr>
            <w:tr w:rsidR="009972EF" w:rsidRPr="00037A46" w14:paraId="53F53268"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noWrap/>
                  <w:vAlign w:val="center"/>
                  <w:hideMark/>
                </w:tcPr>
                <w:p w14:paraId="1DA8819F" w14:textId="77777777" w:rsidR="009972EF" w:rsidRPr="00037A46" w:rsidRDefault="009972EF" w:rsidP="009972EF">
                  <w:pPr>
                    <w:spacing w:before="0" w:after="0"/>
                    <w:ind w:left="0"/>
                    <w:jc w:val="left"/>
                    <w:rPr>
                      <w:rFonts w:cs="Arial"/>
                      <w:b/>
                      <w:bCs/>
                      <w:color w:val="000000"/>
                      <w:lang w:val="nl-BE" w:eastAsia="nl-BE"/>
                    </w:rPr>
                  </w:pPr>
                  <w:r w:rsidRPr="00037A46">
                    <w:rPr>
                      <w:rFonts w:cs="Arial"/>
                      <w:b/>
                      <w:bCs/>
                      <w:color w:val="000000"/>
                      <w:lang w:val="nl-BE" w:eastAsia="nl-BE"/>
                    </w:rPr>
                    <w:t>Functies</w:t>
                  </w:r>
                </w:p>
              </w:tc>
              <w:tc>
                <w:tcPr>
                  <w:tcW w:w="2777" w:type="dxa"/>
                  <w:tcBorders>
                    <w:top w:val="single" w:sz="4" w:space="0" w:color="auto"/>
                    <w:left w:val="nil"/>
                    <w:bottom w:val="single" w:sz="4" w:space="0" w:color="auto"/>
                    <w:right w:val="single" w:sz="4" w:space="0" w:color="auto"/>
                  </w:tcBorders>
                  <w:vAlign w:val="center"/>
                  <w:hideMark/>
                </w:tcPr>
                <w:p w14:paraId="64817F36" w14:textId="77777777" w:rsidR="009972EF" w:rsidRPr="00037A46" w:rsidRDefault="009972EF" w:rsidP="009972EF">
                  <w:pPr>
                    <w:spacing w:before="0" w:after="0"/>
                    <w:ind w:left="0"/>
                    <w:jc w:val="center"/>
                    <w:rPr>
                      <w:rFonts w:cs="Arial"/>
                      <w:b/>
                      <w:bCs/>
                      <w:color w:val="000000"/>
                      <w:lang w:val="nl-BE" w:eastAsia="nl-BE"/>
                    </w:rPr>
                  </w:pPr>
                  <w:r w:rsidRPr="00037A46">
                    <w:rPr>
                      <w:rFonts w:cs="Arial"/>
                      <w:b/>
                      <w:bCs/>
                      <w:color w:val="000000"/>
                      <w:lang w:val="nl-BE" w:eastAsia="nl-BE"/>
                    </w:rPr>
                    <w:t>Graden</w:t>
                  </w:r>
                </w:p>
              </w:tc>
              <w:tc>
                <w:tcPr>
                  <w:tcW w:w="2018" w:type="dxa"/>
                  <w:gridSpan w:val="2"/>
                  <w:tcBorders>
                    <w:top w:val="single" w:sz="4" w:space="0" w:color="auto"/>
                    <w:left w:val="nil"/>
                    <w:bottom w:val="single" w:sz="4" w:space="0" w:color="auto"/>
                    <w:right w:val="single" w:sz="4" w:space="0" w:color="auto"/>
                  </w:tcBorders>
                  <w:vAlign w:val="center"/>
                  <w:hideMark/>
                </w:tcPr>
                <w:p w14:paraId="56FA1B46" w14:textId="77777777" w:rsidR="009972EF" w:rsidRPr="00037A46" w:rsidRDefault="009972EF" w:rsidP="009972EF">
                  <w:pPr>
                    <w:spacing w:before="0" w:after="0"/>
                    <w:ind w:left="0"/>
                    <w:jc w:val="center"/>
                    <w:rPr>
                      <w:rFonts w:cs="Arial"/>
                      <w:b/>
                      <w:bCs/>
                      <w:color w:val="000000"/>
                      <w:lang w:val="nl-BE" w:eastAsia="nl-BE"/>
                    </w:rPr>
                  </w:pPr>
                  <w:r w:rsidRPr="00037A46">
                    <w:rPr>
                      <w:rFonts w:cs="Arial"/>
                      <w:b/>
                      <w:bCs/>
                      <w:color w:val="000000"/>
                      <w:lang w:val="nl-BE" w:eastAsia="nl-BE"/>
                    </w:rPr>
                    <w:t>Niveau</w:t>
                  </w:r>
                </w:p>
              </w:tc>
            </w:tr>
            <w:tr w:rsidR="009972EF" w:rsidRPr="00037A46" w14:paraId="62C6A558"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009BA1CB" w14:textId="77777777" w:rsidR="009972EF" w:rsidRPr="00037A46" w:rsidRDefault="009972EF" w:rsidP="009972EF">
                  <w:pPr>
                    <w:spacing w:before="0" w:after="0"/>
                    <w:ind w:left="0"/>
                    <w:jc w:val="left"/>
                    <w:rPr>
                      <w:rFonts w:cs="Arial"/>
                      <w:lang w:val="nl-BE" w:eastAsia="nl-BE"/>
                    </w:rPr>
                  </w:pPr>
                  <w:r w:rsidRPr="00037A46">
                    <w:rPr>
                      <w:rFonts w:cs="Arial"/>
                      <w:lang w:val="nl-BE" w:eastAsia="nl-BE"/>
                    </w:rPr>
                    <w:t>Stafmedewerker preventie en aankoop</w:t>
                  </w:r>
                </w:p>
              </w:tc>
              <w:tc>
                <w:tcPr>
                  <w:tcW w:w="2777" w:type="dxa"/>
                  <w:tcBorders>
                    <w:top w:val="nil"/>
                    <w:left w:val="nil"/>
                    <w:bottom w:val="single" w:sz="4" w:space="0" w:color="auto"/>
                    <w:right w:val="single" w:sz="4" w:space="0" w:color="auto"/>
                  </w:tcBorders>
                  <w:hideMark/>
                </w:tcPr>
                <w:p w14:paraId="6D9A8C56" w14:textId="77777777" w:rsidR="009972EF" w:rsidRPr="00037A46" w:rsidRDefault="009972EF" w:rsidP="009972EF">
                  <w:pPr>
                    <w:spacing w:before="0" w:after="0"/>
                    <w:ind w:left="0"/>
                    <w:jc w:val="left"/>
                    <w:rPr>
                      <w:rFonts w:cs="Arial"/>
                      <w:lang w:val="nl-BE" w:eastAsia="nl-BE"/>
                    </w:rPr>
                  </w:pPr>
                  <w:r w:rsidRPr="3D49E98B">
                    <w:rPr>
                      <w:rFonts w:cs="Arial"/>
                      <w:lang w:val="nl-BE" w:eastAsia="nl-BE"/>
                    </w:rPr>
                    <w:t>Beleidsadviseur</w:t>
                  </w:r>
                </w:p>
              </w:tc>
              <w:tc>
                <w:tcPr>
                  <w:tcW w:w="2018" w:type="dxa"/>
                  <w:gridSpan w:val="2"/>
                  <w:tcBorders>
                    <w:top w:val="nil"/>
                    <w:left w:val="nil"/>
                    <w:bottom w:val="single" w:sz="4" w:space="0" w:color="auto"/>
                    <w:right w:val="single" w:sz="4" w:space="0" w:color="auto"/>
                  </w:tcBorders>
                  <w:vAlign w:val="center"/>
                  <w:hideMark/>
                </w:tcPr>
                <w:p w14:paraId="5D06A3CC" w14:textId="77777777" w:rsidR="009972EF" w:rsidRPr="00037A46" w:rsidRDefault="009972EF" w:rsidP="009972EF">
                  <w:pPr>
                    <w:spacing w:before="0" w:after="0"/>
                    <w:ind w:left="0"/>
                    <w:rPr>
                      <w:rFonts w:cs="Arial"/>
                      <w:lang w:val="nl-BE" w:eastAsia="nl-BE"/>
                    </w:rPr>
                  </w:pPr>
                  <w:r w:rsidRPr="00037A46">
                    <w:rPr>
                      <w:rFonts w:cs="Arial"/>
                      <w:lang w:val="nl-BE" w:eastAsia="nl-BE"/>
                    </w:rPr>
                    <w:t>A1a-A3a</w:t>
                  </w:r>
                </w:p>
              </w:tc>
            </w:tr>
            <w:tr w:rsidR="009972EF" w14:paraId="240CE7C4"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tcPr>
                <w:p w14:paraId="79C211CF" w14:textId="77777777" w:rsidR="009972EF" w:rsidRPr="00831F5A" w:rsidRDefault="009972EF" w:rsidP="009972EF">
                  <w:pPr>
                    <w:spacing w:before="0" w:after="0"/>
                    <w:ind w:left="0"/>
                    <w:jc w:val="left"/>
                    <w:rPr>
                      <w:rFonts w:cs="Arial"/>
                      <w:color w:val="000000" w:themeColor="text1"/>
                      <w:lang w:val="nl-BE" w:eastAsia="nl-BE"/>
                    </w:rPr>
                  </w:pPr>
                  <w:r w:rsidRPr="00831F5A">
                    <w:rPr>
                      <w:rFonts w:cs="Arial"/>
                      <w:color w:val="000000"/>
                      <w:lang w:val="nl-BE" w:eastAsia="nl-BE"/>
                    </w:rPr>
                    <w:t>Deskundige Informatiebeheer</w:t>
                  </w:r>
                </w:p>
              </w:tc>
              <w:tc>
                <w:tcPr>
                  <w:tcW w:w="2777" w:type="dxa"/>
                  <w:tcBorders>
                    <w:top w:val="nil"/>
                    <w:left w:val="nil"/>
                    <w:bottom w:val="single" w:sz="4" w:space="0" w:color="auto"/>
                    <w:right w:val="single" w:sz="4" w:space="0" w:color="auto"/>
                  </w:tcBorders>
                </w:tcPr>
                <w:p w14:paraId="2532212C" w14:textId="77777777" w:rsidR="009972EF" w:rsidRPr="3D49E98B" w:rsidRDefault="009972EF" w:rsidP="009972EF">
                  <w:pPr>
                    <w:spacing w:before="0" w:after="0"/>
                    <w:ind w:left="0"/>
                    <w:jc w:val="left"/>
                    <w:rPr>
                      <w:rFonts w:cs="Arial"/>
                      <w:color w:val="000000" w:themeColor="text1"/>
                      <w:lang w:val="nl-BE" w:eastAsia="nl-BE"/>
                    </w:rPr>
                  </w:pPr>
                  <w:r>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tcPr>
                <w:p w14:paraId="0F2F48EA" w14:textId="77777777" w:rsidR="009972EF" w:rsidRPr="3D49E98B" w:rsidRDefault="009972EF" w:rsidP="009972EF">
                  <w:pPr>
                    <w:spacing w:before="0" w:after="0"/>
                    <w:ind w:left="0"/>
                    <w:rPr>
                      <w:rFonts w:cs="Arial"/>
                      <w:color w:val="000000" w:themeColor="text1"/>
                      <w:lang w:val="nl-BE" w:eastAsia="nl-BE"/>
                    </w:rPr>
                  </w:pPr>
                  <w:r>
                    <w:rPr>
                      <w:rFonts w:cs="Arial"/>
                      <w:color w:val="000000" w:themeColor="text1"/>
                      <w:lang w:val="nl-BE" w:eastAsia="nl-BE"/>
                    </w:rPr>
                    <w:t>A1a-A3a</w:t>
                  </w:r>
                </w:p>
              </w:tc>
            </w:tr>
            <w:tr w:rsidR="009972EF" w14:paraId="0DF243B0"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1E240ADE" w14:textId="77777777" w:rsidR="009972EF" w:rsidRPr="00831F5A" w:rsidRDefault="009972EF" w:rsidP="009972EF">
                  <w:pPr>
                    <w:spacing w:before="0" w:after="0"/>
                    <w:ind w:left="0"/>
                    <w:jc w:val="left"/>
                    <w:rPr>
                      <w:rFonts w:cs="Arial"/>
                      <w:color w:val="000000" w:themeColor="text1"/>
                      <w:lang w:val="nl-BE" w:eastAsia="nl-BE"/>
                    </w:rPr>
                  </w:pPr>
                  <w:r w:rsidRPr="00831F5A">
                    <w:rPr>
                      <w:rFonts w:cs="Arial"/>
                      <w:color w:val="000000" w:themeColor="text1"/>
                      <w:lang w:val="nl-BE" w:eastAsia="nl-BE"/>
                    </w:rPr>
                    <w:t>Boekhouder</w:t>
                  </w:r>
                </w:p>
              </w:tc>
              <w:tc>
                <w:tcPr>
                  <w:tcW w:w="2777" w:type="dxa"/>
                  <w:tcBorders>
                    <w:top w:val="nil"/>
                    <w:left w:val="nil"/>
                    <w:bottom w:val="single" w:sz="4" w:space="0" w:color="auto"/>
                    <w:right w:val="single" w:sz="4" w:space="0" w:color="auto"/>
                  </w:tcBorders>
                  <w:hideMark/>
                </w:tcPr>
                <w:p w14:paraId="67C1B71F"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0D9AFD40" w14:textId="77777777" w:rsidR="009972EF" w:rsidRDefault="009972EF" w:rsidP="009972EF">
                  <w:pPr>
                    <w:spacing w:before="0" w:after="0"/>
                    <w:ind w:left="0"/>
                    <w:rPr>
                      <w:rFonts w:cs="Arial"/>
                      <w:color w:val="000000" w:themeColor="text1"/>
                      <w:lang w:val="nl-BE" w:eastAsia="nl-BE"/>
                    </w:rPr>
                  </w:pPr>
                  <w:r w:rsidRPr="3D49E98B">
                    <w:rPr>
                      <w:rFonts w:cs="Arial"/>
                      <w:color w:val="000000" w:themeColor="text1"/>
                      <w:lang w:val="nl-BE" w:eastAsia="nl-BE"/>
                    </w:rPr>
                    <w:t>B1-B3</w:t>
                  </w:r>
                </w:p>
              </w:tc>
            </w:tr>
            <w:tr w:rsidR="009972EF" w:rsidRPr="00037A46" w14:paraId="3DF39125"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221B7CB3"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Deskundige personeel</w:t>
                  </w:r>
                </w:p>
              </w:tc>
              <w:tc>
                <w:tcPr>
                  <w:tcW w:w="2777" w:type="dxa"/>
                  <w:tcBorders>
                    <w:top w:val="nil"/>
                    <w:left w:val="nil"/>
                    <w:bottom w:val="single" w:sz="4" w:space="0" w:color="auto"/>
                    <w:right w:val="single" w:sz="4" w:space="0" w:color="auto"/>
                  </w:tcBorders>
                  <w:hideMark/>
                </w:tcPr>
                <w:p w14:paraId="138B96A1"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6D1E496B" w14:textId="77777777" w:rsidR="009972EF" w:rsidRPr="00037A46" w:rsidRDefault="009972EF" w:rsidP="009972EF">
                  <w:pPr>
                    <w:spacing w:before="0" w:after="0"/>
                    <w:ind w:left="0"/>
                    <w:rPr>
                      <w:rFonts w:cs="Arial"/>
                      <w:color w:val="000000"/>
                      <w:lang w:val="nl-BE" w:eastAsia="nl-BE"/>
                    </w:rPr>
                  </w:pPr>
                  <w:r w:rsidRPr="00037A46">
                    <w:rPr>
                      <w:rFonts w:cs="Arial"/>
                      <w:color w:val="000000"/>
                      <w:lang w:val="nl-BE" w:eastAsia="nl-BE"/>
                    </w:rPr>
                    <w:t>B1-B3</w:t>
                  </w:r>
                </w:p>
              </w:tc>
            </w:tr>
            <w:tr w:rsidR="009972EF" w14:paraId="55F76F56"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44141B46" w14:textId="77777777" w:rsidR="009972EF" w:rsidRPr="00831F5A" w:rsidRDefault="009972EF" w:rsidP="009972EF">
                  <w:pPr>
                    <w:ind w:left="0"/>
                    <w:jc w:val="left"/>
                    <w:rPr>
                      <w:rFonts w:cs="Arial"/>
                      <w:color w:val="000000" w:themeColor="text1"/>
                      <w:lang w:val="nl-BE" w:eastAsia="nl-BE"/>
                    </w:rPr>
                  </w:pPr>
                  <w:r w:rsidRPr="00831F5A">
                    <w:rPr>
                      <w:rFonts w:cs="Arial"/>
                      <w:color w:val="000000" w:themeColor="text1"/>
                      <w:lang w:val="nl-BE" w:eastAsia="nl-BE"/>
                    </w:rPr>
                    <w:t>Integratiecoach</w:t>
                  </w:r>
                </w:p>
              </w:tc>
              <w:tc>
                <w:tcPr>
                  <w:tcW w:w="2777" w:type="dxa"/>
                  <w:tcBorders>
                    <w:top w:val="nil"/>
                    <w:left w:val="nil"/>
                    <w:bottom w:val="single" w:sz="4" w:space="0" w:color="auto"/>
                    <w:right w:val="single" w:sz="4" w:space="0" w:color="auto"/>
                  </w:tcBorders>
                  <w:hideMark/>
                </w:tcPr>
                <w:p w14:paraId="5267164F"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57CFB249" w14:textId="77777777" w:rsidR="009972EF" w:rsidRDefault="009972EF" w:rsidP="009972EF">
                  <w:pPr>
                    <w:ind w:left="0"/>
                    <w:rPr>
                      <w:rFonts w:cs="Arial"/>
                      <w:color w:val="000000" w:themeColor="text1"/>
                      <w:lang w:val="nl-BE" w:eastAsia="nl-BE"/>
                    </w:rPr>
                  </w:pPr>
                  <w:r w:rsidRPr="3D49E98B">
                    <w:rPr>
                      <w:rFonts w:cs="Arial"/>
                      <w:color w:val="000000" w:themeColor="text1"/>
                      <w:lang w:val="nl-BE" w:eastAsia="nl-BE"/>
                    </w:rPr>
                    <w:t>B1-B3</w:t>
                  </w:r>
                </w:p>
              </w:tc>
            </w:tr>
            <w:tr w:rsidR="009972EF" w14:paraId="7C92F415"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107727C3" w14:textId="77777777" w:rsidR="009972EF" w:rsidRPr="00831F5A" w:rsidRDefault="009972EF" w:rsidP="009972EF">
                  <w:pPr>
                    <w:ind w:left="0"/>
                    <w:jc w:val="left"/>
                    <w:rPr>
                      <w:rFonts w:cs="Arial"/>
                      <w:color w:val="000000" w:themeColor="text1"/>
                      <w:lang w:val="nl-BE" w:eastAsia="nl-BE"/>
                    </w:rPr>
                  </w:pPr>
                  <w:r w:rsidRPr="00831F5A">
                    <w:rPr>
                      <w:rFonts w:cs="Arial"/>
                      <w:color w:val="000000" w:themeColor="text1"/>
                      <w:lang w:val="nl-BE" w:eastAsia="nl-BE"/>
                    </w:rPr>
                    <w:t>Deskundige woonbeleid</w:t>
                  </w:r>
                </w:p>
              </w:tc>
              <w:tc>
                <w:tcPr>
                  <w:tcW w:w="2777" w:type="dxa"/>
                  <w:tcBorders>
                    <w:top w:val="nil"/>
                    <w:left w:val="nil"/>
                    <w:bottom w:val="single" w:sz="4" w:space="0" w:color="auto"/>
                    <w:right w:val="single" w:sz="4" w:space="0" w:color="auto"/>
                  </w:tcBorders>
                  <w:hideMark/>
                </w:tcPr>
                <w:p w14:paraId="463D1E6F"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31C563D0" w14:textId="77777777" w:rsidR="009972EF" w:rsidRDefault="009972EF" w:rsidP="009972EF">
                  <w:pPr>
                    <w:ind w:left="0"/>
                    <w:rPr>
                      <w:rFonts w:cs="Arial"/>
                      <w:color w:val="000000" w:themeColor="text1"/>
                      <w:lang w:val="nl-BE" w:eastAsia="nl-BE"/>
                    </w:rPr>
                  </w:pPr>
                  <w:r w:rsidRPr="3D49E98B">
                    <w:rPr>
                      <w:rFonts w:cs="Arial"/>
                      <w:color w:val="000000" w:themeColor="text1"/>
                      <w:lang w:val="nl-BE" w:eastAsia="nl-BE"/>
                    </w:rPr>
                    <w:t>B1-B3</w:t>
                  </w:r>
                </w:p>
              </w:tc>
            </w:tr>
            <w:tr w:rsidR="009972EF" w14:paraId="6ECAD7B8"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tcPr>
                <w:p w14:paraId="2CAABB72" w14:textId="77777777" w:rsidR="009972EF" w:rsidRPr="00831F5A" w:rsidRDefault="009972EF" w:rsidP="009972EF">
                  <w:pPr>
                    <w:ind w:left="0"/>
                    <w:jc w:val="left"/>
                    <w:rPr>
                      <w:rFonts w:cs="Arial"/>
                      <w:color w:val="000000" w:themeColor="text1"/>
                      <w:lang w:val="nl-BE" w:eastAsia="nl-BE"/>
                    </w:rPr>
                  </w:pPr>
                  <w:r w:rsidRPr="00831F5A">
                    <w:rPr>
                      <w:rFonts w:cs="Arial"/>
                      <w:color w:val="000000" w:themeColor="text1"/>
                      <w:lang w:val="nl-BE" w:eastAsia="nl-BE"/>
                    </w:rPr>
                    <w:t>Deskundige Taalondersteuning</w:t>
                  </w:r>
                </w:p>
              </w:tc>
              <w:tc>
                <w:tcPr>
                  <w:tcW w:w="2777" w:type="dxa"/>
                  <w:tcBorders>
                    <w:top w:val="nil"/>
                    <w:left w:val="nil"/>
                    <w:bottom w:val="single" w:sz="4" w:space="0" w:color="auto"/>
                    <w:right w:val="single" w:sz="4" w:space="0" w:color="auto"/>
                  </w:tcBorders>
                </w:tcPr>
                <w:p w14:paraId="2CE5DAF5" w14:textId="77777777" w:rsidR="009972EF" w:rsidRPr="3D49E98B" w:rsidRDefault="009972EF" w:rsidP="009972EF">
                  <w:pPr>
                    <w:ind w:left="0"/>
                    <w:jc w:val="left"/>
                    <w:rPr>
                      <w:rFonts w:cs="Arial"/>
                      <w:color w:val="000000" w:themeColor="text1"/>
                      <w:lang w:val="nl-BE" w:eastAsia="nl-BE"/>
                    </w:rPr>
                  </w:pPr>
                  <w:r>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vAlign w:val="center"/>
                </w:tcPr>
                <w:p w14:paraId="090DBAFB" w14:textId="77777777" w:rsidR="009972EF" w:rsidRPr="3D49E98B" w:rsidRDefault="009972EF" w:rsidP="009972EF">
                  <w:pPr>
                    <w:ind w:left="0"/>
                    <w:rPr>
                      <w:rFonts w:cs="Arial"/>
                      <w:color w:val="000000" w:themeColor="text1"/>
                      <w:lang w:val="nl-BE" w:eastAsia="nl-BE"/>
                    </w:rPr>
                  </w:pPr>
                  <w:r>
                    <w:rPr>
                      <w:rFonts w:cs="Arial"/>
                      <w:color w:val="000000" w:themeColor="text1"/>
                      <w:lang w:val="nl-BE" w:eastAsia="nl-BE"/>
                    </w:rPr>
                    <w:t>B1-B3</w:t>
                  </w:r>
                </w:p>
              </w:tc>
            </w:tr>
            <w:tr w:rsidR="009972EF" w14:paraId="6F1165AA"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tcPr>
                <w:p w14:paraId="76C291F2" w14:textId="77777777" w:rsidR="009972EF" w:rsidRPr="00831F5A" w:rsidRDefault="009972EF" w:rsidP="009972EF">
                  <w:pPr>
                    <w:ind w:left="0"/>
                    <w:jc w:val="left"/>
                    <w:rPr>
                      <w:rFonts w:cs="Arial"/>
                      <w:color w:val="000000" w:themeColor="text1"/>
                      <w:lang w:val="nl-BE" w:eastAsia="nl-BE"/>
                    </w:rPr>
                  </w:pPr>
                  <w:r w:rsidRPr="00831F5A">
                    <w:rPr>
                      <w:rFonts w:cs="Arial"/>
                      <w:color w:val="000000" w:themeColor="text1"/>
                      <w:lang w:val="nl-BE" w:eastAsia="nl-BE"/>
                    </w:rPr>
                    <w:t>Deskundige Kind</w:t>
                  </w:r>
                </w:p>
              </w:tc>
              <w:tc>
                <w:tcPr>
                  <w:tcW w:w="2777" w:type="dxa"/>
                  <w:tcBorders>
                    <w:top w:val="nil"/>
                    <w:left w:val="nil"/>
                    <w:bottom w:val="single" w:sz="4" w:space="0" w:color="auto"/>
                    <w:right w:val="single" w:sz="4" w:space="0" w:color="auto"/>
                  </w:tcBorders>
                </w:tcPr>
                <w:p w14:paraId="2165E488" w14:textId="77777777" w:rsidR="009972EF" w:rsidRDefault="009972EF" w:rsidP="009972EF">
                  <w:pPr>
                    <w:ind w:left="0"/>
                    <w:jc w:val="left"/>
                    <w:rPr>
                      <w:rFonts w:cs="Arial"/>
                      <w:color w:val="000000" w:themeColor="text1"/>
                      <w:lang w:val="nl-BE" w:eastAsia="nl-BE"/>
                    </w:rPr>
                  </w:pPr>
                  <w:r>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vAlign w:val="center"/>
                </w:tcPr>
                <w:p w14:paraId="5CFCF35F" w14:textId="77777777" w:rsidR="009972EF" w:rsidRDefault="009972EF" w:rsidP="009972EF">
                  <w:pPr>
                    <w:ind w:left="0"/>
                    <w:rPr>
                      <w:rFonts w:cs="Arial"/>
                      <w:color w:val="000000" w:themeColor="text1"/>
                      <w:lang w:val="nl-BE" w:eastAsia="nl-BE"/>
                    </w:rPr>
                  </w:pPr>
                  <w:r>
                    <w:rPr>
                      <w:rFonts w:cs="Arial"/>
                      <w:color w:val="000000" w:themeColor="text1"/>
                      <w:lang w:val="nl-BE" w:eastAsia="nl-BE"/>
                    </w:rPr>
                    <w:t>B1-B3</w:t>
                  </w:r>
                </w:p>
              </w:tc>
            </w:tr>
            <w:tr w:rsidR="009972EF" w:rsidRPr="00037A46" w14:paraId="60548706"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noWrap/>
                  <w:vAlign w:val="center"/>
                  <w:hideMark/>
                </w:tcPr>
                <w:p w14:paraId="09762904"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Personeelsmedewerker</w:t>
                  </w:r>
                </w:p>
              </w:tc>
              <w:tc>
                <w:tcPr>
                  <w:tcW w:w="2777" w:type="dxa"/>
                  <w:tcBorders>
                    <w:top w:val="nil"/>
                    <w:left w:val="nil"/>
                    <w:bottom w:val="single" w:sz="4" w:space="0" w:color="auto"/>
                    <w:right w:val="single" w:sz="4" w:space="0" w:color="auto"/>
                  </w:tcBorders>
                  <w:hideMark/>
                </w:tcPr>
                <w:p w14:paraId="1510347B"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Administratief medewerker</w:t>
                  </w:r>
                </w:p>
              </w:tc>
              <w:tc>
                <w:tcPr>
                  <w:tcW w:w="2018" w:type="dxa"/>
                  <w:gridSpan w:val="2"/>
                  <w:tcBorders>
                    <w:top w:val="nil"/>
                    <w:left w:val="nil"/>
                    <w:bottom w:val="single" w:sz="4" w:space="0" w:color="auto"/>
                    <w:right w:val="single" w:sz="4" w:space="0" w:color="auto"/>
                  </w:tcBorders>
                  <w:vAlign w:val="center"/>
                  <w:hideMark/>
                </w:tcPr>
                <w:p w14:paraId="29BA04BD" w14:textId="77777777" w:rsidR="009972EF" w:rsidRPr="00037A46" w:rsidRDefault="009972EF" w:rsidP="009972EF">
                  <w:pPr>
                    <w:spacing w:before="0" w:after="0"/>
                    <w:ind w:left="0"/>
                    <w:rPr>
                      <w:rFonts w:cs="Arial"/>
                      <w:color w:val="000000"/>
                      <w:lang w:val="nl-BE" w:eastAsia="nl-BE"/>
                    </w:rPr>
                  </w:pPr>
                  <w:r w:rsidRPr="00037A46">
                    <w:rPr>
                      <w:rFonts w:cs="Arial"/>
                      <w:color w:val="000000"/>
                      <w:lang w:val="nl-BE" w:eastAsia="nl-BE"/>
                    </w:rPr>
                    <w:t>C1-C3</w:t>
                  </w:r>
                </w:p>
              </w:tc>
            </w:tr>
            <w:tr w:rsidR="009972EF" w:rsidRPr="00037A46" w14:paraId="5460CDBD"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noWrap/>
                  <w:vAlign w:val="center"/>
                  <w:hideMark/>
                </w:tcPr>
                <w:p w14:paraId="25CCCC25"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Administratief medewerker financiën</w:t>
                  </w:r>
                </w:p>
              </w:tc>
              <w:tc>
                <w:tcPr>
                  <w:tcW w:w="2777" w:type="dxa"/>
                  <w:tcBorders>
                    <w:top w:val="nil"/>
                    <w:left w:val="nil"/>
                    <w:bottom w:val="single" w:sz="4" w:space="0" w:color="auto"/>
                    <w:right w:val="single" w:sz="4" w:space="0" w:color="auto"/>
                  </w:tcBorders>
                  <w:hideMark/>
                </w:tcPr>
                <w:p w14:paraId="3CC06E8D"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Administratief medewerker</w:t>
                  </w:r>
                </w:p>
              </w:tc>
              <w:tc>
                <w:tcPr>
                  <w:tcW w:w="2018" w:type="dxa"/>
                  <w:gridSpan w:val="2"/>
                  <w:tcBorders>
                    <w:top w:val="nil"/>
                    <w:left w:val="nil"/>
                    <w:bottom w:val="single" w:sz="4" w:space="0" w:color="auto"/>
                    <w:right w:val="single" w:sz="4" w:space="0" w:color="auto"/>
                  </w:tcBorders>
                  <w:vAlign w:val="center"/>
                  <w:hideMark/>
                </w:tcPr>
                <w:p w14:paraId="3D5DD929" w14:textId="77777777" w:rsidR="009972EF" w:rsidRPr="00037A46" w:rsidRDefault="009972EF" w:rsidP="009972EF">
                  <w:pPr>
                    <w:spacing w:before="0" w:after="0"/>
                    <w:ind w:left="0"/>
                    <w:rPr>
                      <w:rFonts w:cs="Arial"/>
                      <w:color w:val="000000"/>
                      <w:lang w:val="nl-BE" w:eastAsia="nl-BE"/>
                    </w:rPr>
                  </w:pPr>
                  <w:r w:rsidRPr="00037A46">
                    <w:rPr>
                      <w:rFonts w:cs="Arial"/>
                      <w:color w:val="000000"/>
                      <w:lang w:val="nl-BE" w:eastAsia="nl-BE"/>
                    </w:rPr>
                    <w:t>C1-C3</w:t>
                  </w:r>
                </w:p>
              </w:tc>
            </w:tr>
            <w:tr w:rsidR="009972EF" w14:paraId="5BCE81A9"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noWrap/>
                  <w:vAlign w:val="center"/>
                  <w:hideMark/>
                </w:tcPr>
                <w:p w14:paraId="20C1AF51"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Administratief medewerker</w:t>
                  </w:r>
                </w:p>
              </w:tc>
              <w:tc>
                <w:tcPr>
                  <w:tcW w:w="2777" w:type="dxa"/>
                  <w:tcBorders>
                    <w:top w:val="nil"/>
                    <w:left w:val="nil"/>
                    <w:bottom w:val="single" w:sz="4" w:space="0" w:color="auto"/>
                    <w:right w:val="single" w:sz="4" w:space="0" w:color="auto"/>
                  </w:tcBorders>
                  <w:hideMark/>
                </w:tcPr>
                <w:p w14:paraId="416F803B"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Administratief medewerker</w:t>
                  </w:r>
                </w:p>
              </w:tc>
              <w:tc>
                <w:tcPr>
                  <w:tcW w:w="2018" w:type="dxa"/>
                  <w:gridSpan w:val="2"/>
                  <w:tcBorders>
                    <w:top w:val="nil"/>
                    <w:left w:val="nil"/>
                    <w:bottom w:val="single" w:sz="4" w:space="0" w:color="auto"/>
                    <w:right w:val="single" w:sz="4" w:space="0" w:color="auto"/>
                  </w:tcBorders>
                  <w:vAlign w:val="center"/>
                  <w:hideMark/>
                </w:tcPr>
                <w:p w14:paraId="6D972E0C" w14:textId="77777777" w:rsidR="009972EF" w:rsidRDefault="009972EF" w:rsidP="009972EF">
                  <w:pPr>
                    <w:spacing w:before="0" w:after="0"/>
                    <w:ind w:left="0"/>
                    <w:rPr>
                      <w:rFonts w:cs="Arial"/>
                      <w:color w:val="000000" w:themeColor="text1"/>
                      <w:lang w:val="nl-BE" w:eastAsia="nl-BE"/>
                    </w:rPr>
                  </w:pPr>
                  <w:r w:rsidRPr="3D49E98B">
                    <w:rPr>
                      <w:rFonts w:cs="Arial"/>
                      <w:color w:val="000000" w:themeColor="text1"/>
                      <w:lang w:val="nl-BE" w:eastAsia="nl-BE"/>
                    </w:rPr>
                    <w:t>C1-C3</w:t>
                  </w:r>
                </w:p>
              </w:tc>
            </w:tr>
            <w:tr w:rsidR="009972EF" w14:paraId="78370E1B"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noWrap/>
                  <w:vAlign w:val="center"/>
                  <w:hideMark/>
                </w:tcPr>
                <w:p w14:paraId="1C51219D" w14:textId="77777777" w:rsidR="009972EF" w:rsidRDefault="009972EF" w:rsidP="009972EF">
                  <w:pPr>
                    <w:spacing w:before="0" w:after="0"/>
                    <w:ind w:left="0"/>
                    <w:jc w:val="left"/>
                    <w:rPr>
                      <w:rFonts w:cs="Arial"/>
                      <w:color w:val="000000" w:themeColor="text1"/>
                      <w:lang w:val="nl-BE" w:eastAsia="nl-BE"/>
                    </w:rPr>
                  </w:pPr>
                  <w:proofErr w:type="spellStart"/>
                  <w:r w:rsidRPr="3D49E98B">
                    <w:rPr>
                      <w:rFonts w:cs="Arial"/>
                      <w:color w:val="000000" w:themeColor="text1"/>
                      <w:lang w:val="nl-BE" w:eastAsia="nl-BE"/>
                    </w:rPr>
                    <w:t>Schoonma</w:t>
                  </w:r>
                  <w:proofErr w:type="spellEnd"/>
                  <w:r w:rsidRPr="3D49E98B">
                    <w:rPr>
                      <w:rFonts w:cs="Arial"/>
                      <w:color w:val="000000" w:themeColor="text1"/>
                      <w:lang w:val="nl-BE" w:eastAsia="nl-BE"/>
                    </w:rPr>
                    <w:t>(a)k(st)er</w:t>
                  </w:r>
                </w:p>
              </w:tc>
              <w:tc>
                <w:tcPr>
                  <w:tcW w:w="2777" w:type="dxa"/>
                  <w:tcBorders>
                    <w:top w:val="nil"/>
                    <w:left w:val="nil"/>
                    <w:bottom w:val="single" w:sz="4" w:space="0" w:color="auto"/>
                    <w:right w:val="single" w:sz="4" w:space="0" w:color="auto"/>
                  </w:tcBorders>
                  <w:hideMark/>
                </w:tcPr>
                <w:p w14:paraId="6F83491E"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Logistieke hulp</w:t>
                  </w:r>
                </w:p>
              </w:tc>
              <w:tc>
                <w:tcPr>
                  <w:tcW w:w="2018" w:type="dxa"/>
                  <w:gridSpan w:val="2"/>
                  <w:tcBorders>
                    <w:top w:val="nil"/>
                    <w:left w:val="nil"/>
                    <w:bottom w:val="single" w:sz="4" w:space="0" w:color="auto"/>
                    <w:right w:val="single" w:sz="4" w:space="0" w:color="auto"/>
                  </w:tcBorders>
                  <w:vAlign w:val="center"/>
                  <w:hideMark/>
                </w:tcPr>
                <w:p w14:paraId="1A98EFDF" w14:textId="77777777" w:rsidR="009972EF" w:rsidRDefault="009972EF" w:rsidP="009972EF">
                  <w:pPr>
                    <w:spacing w:before="0" w:after="0"/>
                    <w:ind w:left="0"/>
                    <w:rPr>
                      <w:rFonts w:cs="Arial"/>
                      <w:i/>
                      <w:iCs/>
                      <w:color w:val="000000" w:themeColor="text1"/>
                      <w:lang w:val="nl-BE" w:eastAsia="nl-BE"/>
                    </w:rPr>
                  </w:pPr>
                  <w:r w:rsidRPr="3D49E98B">
                    <w:rPr>
                      <w:rFonts w:cs="Arial"/>
                      <w:i/>
                      <w:iCs/>
                      <w:color w:val="000000" w:themeColor="text1"/>
                      <w:lang w:val="nl-BE" w:eastAsia="nl-BE"/>
                    </w:rPr>
                    <w:t>D1-D3</w:t>
                  </w:r>
                </w:p>
              </w:tc>
            </w:tr>
            <w:tr w:rsidR="009972EF" w:rsidRPr="00037A46" w14:paraId="586871D3" w14:textId="77777777" w:rsidTr="003B2E38">
              <w:trPr>
                <w:trHeight w:val="300"/>
              </w:trPr>
              <w:tc>
                <w:tcPr>
                  <w:tcW w:w="3690" w:type="dxa"/>
                  <w:tcBorders>
                    <w:top w:val="nil"/>
                    <w:left w:val="nil"/>
                    <w:bottom w:val="nil"/>
                    <w:right w:val="nil"/>
                  </w:tcBorders>
                  <w:noWrap/>
                  <w:vAlign w:val="bottom"/>
                  <w:hideMark/>
                </w:tcPr>
                <w:p w14:paraId="732528AD" w14:textId="77777777" w:rsidR="009972EF" w:rsidRPr="00037A46" w:rsidRDefault="009972EF" w:rsidP="009972EF">
                  <w:pPr>
                    <w:spacing w:before="0" w:after="0"/>
                    <w:ind w:left="0"/>
                    <w:rPr>
                      <w:rFonts w:cs="Arial"/>
                      <w:color w:val="000000"/>
                      <w:lang w:val="nl-BE" w:eastAsia="nl-BE"/>
                    </w:rPr>
                  </w:pPr>
                </w:p>
              </w:tc>
              <w:tc>
                <w:tcPr>
                  <w:tcW w:w="2777" w:type="dxa"/>
                  <w:tcBorders>
                    <w:top w:val="nil"/>
                    <w:left w:val="nil"/>
                    <w:bottom w:val="nil"/>
                    <w:right w:val="nil"/>
                  </w:tcBorders>
                  <w:noWrap/>
                  <w:vAlign w:val="bottom"/>
                  <w:hideMark/>
                </w:tcPr>
                <w:p w14:paraId="73967340" w14:textId="77777777" w:rsidR="009972EF" w:rsidRPr="00037A46" w:rsidRDefault="009972EF" w:rsidP="009972EF">
                  <w:pPr>
                    <w:spacing w:before="0" w:after="0"/>
                    <w:ind w:left="0"/>
                    <w:jc w:val="left"/>
                    <w:rPr>
                      <w:rFonts w:ascii="Times New Roman" w:hAnsi="Times New Roman"/>
                      <w:lang w:val="nl-BE" w:eastAsia="nl-BE"/>
                    </w:rPr>
                  </w:pPr>
                </w:p>
              </w:tc>
              <w:tc>
                <w:tcPr>
                  <w:tcW w:w="938" w:type="dxa"/>
                  <w:tcBorders>
                    <w:top w:val="nil"/>
                    <w:left w:val="nil"/>
                    <w:bottom w:val="nil"/>
                    <w:right w:val="nil"/>
                  </w:tcBorders>
                  <w:noWrap/>
                  <w:vAlign w:val="bottom"/>
                  <w:hideMark/>
                </w:tcPr>
                <w:p w14:paraId="6DD04892" w14:textId="77777777" w:rsidR="009972EF" w:rsidRPr="00037A46" w:rsidRDefault="009972EF" w:rsidP="009972EF">
                  <w:pPr>
                    <w:spacing w:before="0" w:after="0"/>
                    <w:ind w:left="0"/>
                    <w:jc w:val="center"/>
                    <w:rPr>
                      <w:rFonts w:ascii="Times New Roman" w:hAnsi="Times New Roman"/>
                      <w:lang w:val="nl-BE" w:eastAsia="nl-BE"/>
                    </w:rPr>
                  </w:pPr>
                </w:p>
              </w:tc>
              <w:tc>
                <w:tcPr>
                  <w:tcW w:w="1402" w:type="dxa"/>
                  <w:gridSpan w:val="2"/>
                  <w:tcBorders>
                    <w:top w:val="nil"/>
                    <w:left w:val="nil"/>
                    <w:bottom w:val="nil"/>
                    <w:right w:val="nil"/>
                  </w:tcBorders>
                  <w:noWrap/>
                  <w:vAlign w:val="bottom"/>
                  <w:hideMark/>
                </w:tcPr>
                <w:p w14:paraId="6A7CFFA6" w14:textId="77777777" w:rsidR="009972EF" w:rsidRPr="00037A46" w:rsidRDefault="009972EF" w:rsidP="009972EF">
                  <w:pPr>
                    <w:spacing w:before="0" w:after="0"/>
                    <w:ind w:left="0"/>
                    <w:jc w:val="left"/>
                    <w:rPr>
                      <w:rFonts w:ascii="Times New Roman" w:hAnsi="Times New Roman"/>
                      <w:lang w:val="nl-BE" w:eastAsia="nl-BE"/>
                    </w:rPr>
                  </w:pPr>
                </w:p>
              </w:tc>
            </w:tr>
            <w:tr w:rsidR="009972EF" w:rsidRPr="00037A46" w14:paraId="680F29BF" w14:textId="77777777" w:rsidTr="003B2E38">
              <w:trPr>
                <w:trHeight w:val="300"/>
              </w:trPr>
              <w:tc>
                <w:tcPr>
                  <w:tcW w:w="8807" w:type="dxa"/>
                  <w:gridSpan w:val="5"/>
                  <w:tcBorders>
                    <w:top w:val="nil"/>
                    <w:left w:val="nil"/>
                    <w:bottom w:val="nil"/>
                    <w:right w:val="nil"/>
                  </w:tcBorders>
                  <w:noWrap/>
                  <w:vAlign w:val="center"/>
                  <w:hideMark/>
                </w:tcPr>
                <w:p w14:paraId="39E3826C" w14:textId="77777777" w:rsidR="009972EF" w:rsidRPr="00037A46" w:rsidRDefault="009972EF" w:rsidP="009972EF">
                  <w:pPr>
                    <w:spacing w:before="0" w:after="0"/>
                    <w:ind w:left="0"/>
                    <w:rPr>
                      <w:rFonts w:cs="Arial"/>
                      <w:b/>
                      <w:bCs/>
                      <w:color w:val="000000"/>
                      <w:lang w:val="nl-BE" w:eastAsia="nl-BE"/>
                    </w:rPr>
                  </w:pPr>
                  <w:r w:rsidRPr="00037A46">
                    <w:rPr>
                      <w:rFonts w:cs="Arial"/>
                      <w:b/>
                      <w:bCs/>
                      <w:color w:val="000000"/>
                      <w:lang w:val="nl-BE" w:eastAsia="nl-BE"/>
                    </w:rPr>
                    <w:t>Artikel 1, punt 4 (personeelcategorie 2)</w:t>
                  </w:r>
                </w:p>
              </w:tc>
            </w:tr>
            <w:tr w:rsidR="009972EF" w:rsidRPr="00037A46" w14:paraId="2C4A5B7E"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noWrap/>
                  <w:vAlign w:val="center"/>
                  <w:hideMark/>
                </w:tcPr>
                <w:p w14:paraId="28C16D4A" w14:textId="77777777" w:rsidR="009972EF" w:rsidRPr="00037A46" w:rsidRDefault="009972EF" w:rsidP="009972EF">
                  <w:pPr>
                    <w:spacing w:before="0" w:after="0"/>
                    <w:ind w:left="0"/>
                    <w:jc w:val="left"/>
                    <w:rPr>
                      <w:rFonts w:cs="Arial"/>
                      <w:b/>
                      <w:bCs/>
                      <w:color w:val="000000"/>
                      <w:lang w:val="nl-BE" w:eastAsia="nl-BE"/>
                    </w:rPr>
                  </w:pPr>
                  <w:r w:rsidRPr="00037A46">
                    <w:rPr>
                      <w:rFonts w:cs="Arial"/>
                      <w:b/>
                      <w:bCs/>
                      <w:color w:val="000000"/>
                      <w:lang w:val="nl-BE" w:eastAsia="nl-BE"/>
                    </w:rPr>
                    <w:t>Functies</w:t>
                  </w:r>
                </w:p>
              </w:tc>
              <w:tc>
                <w:tcPr>
                  <w:tcW w:w="2777" w:type="dxa"/>
                  <w:tcBorders>
                    <w:top w:val="single" w:sz="4" w:space="0" w:color="auto"/>
                    <w:left w:val="nil"/>
                    <w:bottom w:val="single" w:sz="4" w:space="0" w:color="auto"/>
                    <w:right w:val="single" w:sz="4" w:space="0" w:color="auto"/>
                  </w:tcBorders>
                  <w:vAlign w:val="center"/>
                  <w:hideMark/>
                </w:tcPr>
                <w:p w14:paraId="1F8A6EC0" w14:textId="77777777" w:rsidR="009972EF" w:rsidRPr="00037A46" w:rsidRDefault="009972EF" w:rsidP="009972EF">
                  <w:pPr>
                    <w:spacing w:before="0" w:after="0"/>
                    <w:ind w:left="0"/>
                    <w:jc w:val="center"/>
                    <w:rPr>
                      <w:rFonts w:cs="Arial"/>
                      <w:b/>
                      <w:bCs/>
                      <w:color w:val="000000"/>
                      <w:lang w:val="nl-BE" w:eastAsia="nl-BE"/>
                    </w:rPr>
                  </w:pPr>
                  <w:r w:rsidRPr="00037A46">
                    <w:rPr>
                      <w:rFonts w:cs="Arial"/>
                      <w:b/>
                      <w:bCs/>
                      <w:color w:val="000000"/>
                      <w:lang w:val="nl-BE" w:eastAsia="nl-BE"/>
                    </w:rPr>
                    <w:t>Graden</w:t>
                  </w:r>
                </w:p>
              </w:tc>
              <w:tc>
                <w:tcPr>
                  <w:tcW w:w="2018" w:type="dxa"/>
                  <w:gridSpan w:val="2"/>
                  <w:tcBorders>
                    <w:top w:val="single" w:sz="4" w:space="0" w:color="auto"/>
                    <w:left w:val="nil"/>
                    <w:bottom w:val="single" w:sz="4" w:space="0" w:color="auto"/>
                    <w:right w:val="single" w:sz="4" w:space="0" w:color="auto"/>
                  </w:tcBorders>
                  <w:vAlign w:val="center"/>
                  <w:hideMark/>
                </w:tcPr>
                <w:p w14:paraId="1CC77E70" w14:textId="77777777" w:rsidR="009972EF" w:rsidRPr="00037A46" w:rsidRDefault="009972EF" w:rsidP="009972EF">
                  <w:pPr>
                    <w:spacing w:before="0" w:after="0"/>
                    <w:ind w:left="0"/>
                    <w:rPr>
                      <w:rFonts w:cs="Arial"/>
                      <w:b/>
                      <w:bCs/>
                      <w:color w:val="000000"/>
                      <w:lang w:val="nl-BE" w:eastAsia="nl-BE"/>
                    </w:rPr>
                  </w:pPr>
                  <w:r w:rsidRPr="00037A46">
                    <w:rPr>
                      <w:rFonts w:cs="Arial"/>
                      <w:b/>
                      <w:bCs/>
                      <w:color w:val="000000"/>
                      <w:lang w:val="nl-BE" w:eastAsia="nl-BE"/>
                    </w:rPr>
                    <w:t>Niveau</w:t>
                  </w:r>
                </w:p>
              </w:tc>
            </w:tr>
            <w:tr w:rsidR="009972EF" w:rsidRPr="00037A46" w14:paraId="342F93B5"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noWrap/>
                  <w:vAlign w:val="center"/>
                  <w:hideMark/>
                </w:tcPr>
                <w:p w14:paraId="3BA4AB38"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Algemeen directeur</w:t>
                  </w:r>
                </w:p>
              </w:tc>
              <w:tc>
                <w:tcPr>
                  <w:tcW w:w="2777" w:type="dxa"/>
                  <w:tcBorders>
                    <w:top w:val="nil"/>
                    <w:left w:val="nil"/>
                    <w:bottom w:val="single" w:sz="4" w:space="0" w:color="auto"/>
                    <w:right w:val="single" w:sz="4" w:space="0" w:color="auto"/>
                  </w:tcBorders>
                  <w:hideMark/>
                </w:tcPr>
                <w:p w14:paraId="374950E5"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Decretale graad</w:t>
                  </w:r>
                </w:p>
              </w:tc>
              <w:tc>
                <w:tcPr>
                  <w:tcW w:w="2018" w:type="dxa"/>
                  <w:gridSpan w:val="2"/>
                  <w:tcBorders>
                    <w:top w:val="nil"/>
                    <w:left w:val="nil"/>
                    <w:bottom w:val="single" w:sz="4" w:space="0" w:color="auto"/>
                    <w:right w:val="single" w:sz="4" w:space="0" w:color="auto"/>
                  </w:tcBorders>
                  <w:vAlign w:val="center"/>
                  <w:hideMark/>
                </w:tcPr>
                <w:p w14:paraId="12B13AF5" w14:textId="77777777" w:rsidR="009972EF" w:rsidRPr="00037A46" w:rsidRDefault="009972EF" w:rsidP="009972EF">
                  <w:pPr>
                    <w:spacing w:before="0" w:after="0"/>
                    <w:ind w:left="0"/>
                    <w:rPr>
                      <w:rFonts w:cs="Arial"/>
                      <w:color w:val="000000"/>
                      <w:lang w:val="nl-BE" w:eastAsia="nl-BE"/>
                    </w:rPr>
                  </w:pPr>
                  <w:r w:rsidRPr="00037A46">
                    <w:rPr>
                      <w:rFonts w:cs="Arial"/>
                      <w:color w:val="000000"/>
                      <w:lang w:val="nl-BE" w:eastAsia="nl-BE"/>
                    </w:rPr>
                    <w:t>-</w:t>
                  </w:r>
                </w:p>
              </w:tc>
            </w:tr>
            <w:tr w:rsidR="009972EF" w:rsidRPr="00037A46" w14:paraId="31D33881"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noWrap/>
                  <w:vAlign w:val="center"/>
                  <w:hideMark/>
                </w:tcPr>
                <w:p w14:paraId="20426444"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Financieel directeur</w:t>
                  </w:r>
                </w:p>
              </w:tc>
              <w:tc>
                <w:tcPr>
                  <w:tcW w:w="2777" w:type="dxa"/>
                  <w:tcBorders>
                    <w:top w:val="nil"/>
                    <w:left w:val="nil"/>
                    <w:bottom w:val="single" w:sz="4" w:space="0" w:color="auto"/>
                    <w:right w:val="single" w:sz="4" w:space="0" w:color="auto"/>
                  </w:tcBorders>
                  <w:hideMark/>
                </w:tcPr>
                <w:p w14:paraId="2E0D528E"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Decretale graad</w:t>
                  </w:r>
                </w:p>
              </w:tc>
              <w:tc>
                <w:tcPr>
                  <w:tcW w:w="2018" w:type="dxa"/>
                  <w:gridSpan w:val="2"/>
                  <w:tcBorders>
                    <w:top w:val="nil"/>
                    <w:left w:val="nil"/>
                    <w:bottom w:val="single" w:sz="4" w:space="0" w:color="auto"/>
                    <w:right w:val="single" w:sz="4" w:space="0" w:color="auto"/>
                  </w:tcBorders>
                  <w:vAlign w:val="center"/>
                  <w:hideMark/>
                </w:tcPr>
                <w:p w14:paraId="5024E0DC" w14:textId="77777777" w:rsidR="009972EF" w:rsidRPr="00037A46" w:rsidRDefault="009972EF" w:rsidP="009972EF">
                  <w:pPr>
                    <w:spacing w:before="0" w:after="0"/>
                    <w:ind w:left="0"/>
                    <w:rPr>
                      <w:rFonts w:cs="Arial"/>
                      <w:color w:val="000000"/>
                      <w:lang w:val="nl-BE" w:eastAsia="nl-BE"/>
                    </w:rPr>
                  </w:pPr>
                  <w:r w:rsidRPr="00037A46">
                    <w:rPr>
                      <w:rFonts w:cs="Arial"/>
                      <w:color w:val="000000"/>
                      <w:lang w:val="nl-BE" w:eastAsia="nl-BE"/>
                    </w:rPr>
                    <w:t>-</w:t>
                  </w:r>
                </w:p>
              </w:tc>
            </w:tr>
            <w:tr w:rsidR="009972EF" w:rsidRPr="00037A46" w14:paraId="7D311B1A"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tcPr>
                <w:p w14:paraId="0F2B8BE0" w14:textId="77777777" w:rsidR="009972EF" w:rsidRPr="00D350B6" w:rsidRDefault="009972EF" w:rsidP="009972EF">
                  <w:pPr>
                    <w:spacing w:before="0" w:after="0"/>
                    <w:ind w:left="0"/>
                    <w:jc w:val="left"/>
                    <w:rPr>
                      <w:rFonts w:cs="Arial"/>
                      <w:color w:val="000000"/>
                      <w:lang w:val="nl-BE" w:eastAsia="nl-BE"/>
                    </w:rPr>
                  </w:pPr>
                  <w:r w:rsidRPr="00D350B6">
                    <w:rPr>
                      <w:rFonts w:cs="Arial"/>
                      <w:color w:val="000000"/>
                      <w:lang w:val="nl-BE" w:eastAsia="nl-BE"/>
                    </w:rPr>
                    <w:t>Clusterverantwoordelijke Welzijn</w:t>
                  </w:r>
                </w:p>
              </w:tc>
              <w:tc>
                <w:tcPr>
                  <w:tcW w:w="2777" w:type="dxa"/>
                  <w:tcBorders>
                    <w:top w:val="nil"/>
                    <w:left w:val="nil"/>
                    <w:bottom w:val="single" w:sz="4" w:space="0" w:color="auto"/>
                    <w:right w:val="single" w:sz="4" w:space="0" w:color="auto"/>
                  </w:tcBorders>
                </w:tcPr>
                <w:p w14:paraId="14A1D024" w14:textId="77777777" w:rsidR="009972EF" w:rsidRPr="00D350B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Clusterverantwoordelijke</w:t>
                  </w:r>
                </w:p>
              </w:tc>
              <w:tc>
                <w:tcPr>
                  <w:tcW w:w="2018" w:type="dxa"/>
                  <w:gridSpan w:val="2"/>
                  <w:tcBorders>
                    <w:top w:val="nil"/>
                    <w:left w:val="nil"/>
                    <w:bottom w:val="single" w:sz="4" w:space="0" w:color="auto"/>
                    <w:right w:val="single" w:sz="4" w:space="0" w:color="auto"/>
                  </w:tcBorders>
                  <w:vAlign w:val="center"/>
                </w:tcPr>
                <w:p w14:paraId="1EBABEA9" w14:textId="77777777" w:rsidR="009972EF" w:rsidRPr="00D350B6" w:rsidRDefault="009972EF" w:rsidP="009972EF">
                  <w:pPr>
                    <w:spacing w:before="0" w:after="0"/>
                    <w:ind w:left="0"/>
                    <w:rPr>
                      <w:rFonts w:cs="Arial"/>
                      <w:color w:val="000000"/>
                      <w:lang w:val="nl-BE" w:eastAsia="nl-BE"/>
                    </w:rPr>
                  </w:pPr>
                  <w:r w:rsidRPr="00D350B6">
                    <w:rPr>
                      <w:rFonts w:cs="Arial"/>
                      <w:color w:val="000000"/>
                      <w:lang w:val="nl-BE" w:eastAsia="nl-BE"/>
                    </w:rPr>
                    <w:t>A4a-A4b</w:t>
                  </w:r>
                </w:p>
              </w:tc>
            </w:tr>
            <w:tr w:rsidR="009972EF" w:rsidRPr="00037A46" w14:paraId="704D61DD"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5FE9C01C"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r w:rsidRPr="00037A46">
                    <w:rPr>
                      <w:rFonts w:cs="Arial"/>
                      <w:color w:val="000000"/>
                      <w:lang w:val="nl-BE" w:eastAsia="nl-BE"/>
                    </w:rPr>
                    <w:t xml:space="preserve"> </w:t>
                  </w:r>
                  <w:r>
                    <w:rPr>
                      <w:rFonts w:cs="Arial"/>
                      <w:color w:val="000000"/>
                      <w:lang w:val="nl-BE" w:eastAsia="nl-BE"/>
                    </w:rPr>
                    <w:t>maatschappelijk welzijn</w:t>
                  </w:r>
                </w:p>
              </w:tc>
              <w:tc>
                <w:tcPr>
                  <w:tcW w:w="2777" w:type="dxa"/>
                  <w:tcBorders>
                    <w:top w:val="nil"/>
                    <w:left w:val="nil"/>
                    <w:bottom w:val="single" w:sz="4" w:space="0" w:color="auto"/>
                    <w:right w:val="single" w:sz="4" w:space="0" w:color="auto"/>
                  </w:tcBorders>
                  <w:hideMark/>
                </w:tcPr>
                <w:p w14:paraId="257BE231"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Coördinator</w:t>
                  </w:r>
                </w:p>
              </w:tc>
              <w:tc>
                <w:tcPr>
                  <w:tcW w:w="2018" w:type="dxa"/>
                  <w:gridSpan w:val="2"/>
                  <w:tcBorders>
                    <w:top w:val="nil"/>
                    <w:left w:val="nil"/>
                    <w:bottom w:val="single" w:sz="4" w:space="0" w:color="auto"/>
                    <w:right w:val="single" w:sz="4" w:space="0" w:color="auto"/>
                  </w:tcBorders>
                  <w:vAlign w:val="center"/>
                  <w:hideMark/>
                </w:tcPr>
                <w:p w14:paraId="1CA13A7C" w14:textId="77777777" w:rsidR="009972EF" w:rsidRPr="00037A46" w:rsidRDefault="009972EF" w:rsidP="009972EF">
                  <w:pPr>
                    <w:spacing w:before="0" w:after="0"/>
                    <w:ind w:left="0"/>
                    <w:rPr>
                      <w:rFonts w:cs="Arial"/>
                      <w:color w:val="000000"/>
                      <w:lang w:val="nl-BE" w:eastAsia="nl-BE"/>
                    </w:rPr>
                  </w:pPr>
                  <w:r>
                    <w:rPr>
                      <w:rFonts w:cs="Arial"/>
                      <w:color w:val="000000"/>
                      <w:lang w:val="nl-BE" w:eastAsia="nl-BE"/>
                    </w:rPr>
                    <w:t>B4-B5</w:t>
                  </w:r>
                </w:p>
              </w:tc>
            </w:tr>
            <w:tr w:rsidR="009972EF" w14:paraId="1C399269"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63B04BAD"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Teamverantwoordelijke sociale dienst</w:t>
                  </w:r>
                </w:p>
              </w:tc>
              <w:tc>
                <w:tcPr>
                  <w:tcW w:w="2777" w:type="dxa"/>
                  <w:tcBorders>
                    <w:top w:val="nil"/>
                    <w:left w:val="nil"/>
                    <w:bottom w:val="single" w:sz="4" w:space="0" w:color="auto"/>
                    <w:right w:val="single" w:sz="4" w:space="0" w:color="auto"/>
                  </w:tcBorders>
                  <w:hideMark/>
                </w:tcPr>
                <w:p w14:paraId="7D54175E"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Coördinator</w:t>
                  </w:r>
                </w:p>
              </w:tc>
              <w:tc>
                <w:tcPr>
                  <w:tcW w:w="2018" w:type="dxa"/>
                  <w:gridSpan w:val="2"/>
                  <w:tcBorders>
                    <w:top w:val="nil"/>
                    <w:left w:val="nil"/>
                    <w:bottom w:val="single" w:sz="4" w:space="0" w:color="auto"/>
                    <w:right w:val="single" w:sz="4" w:space="0" w:color="auto"/>
                  </w:tcBorders>
                  <w:vAlign w:val="center"/>
                  <w:hideMark/>
                </w:tcPr>
                <w:p w14:paraId="1E116417" w14:textId="77777777" w:rsidR="009972EF" w:rsidRDefault="009972EF" w:rsidP="009972EF">
                  <w:pPr>
                    <w:spacing w:before="0" w:after="0"/>
                    <w:ind w:left="0"/>
                    <w:rPr>
                      <w:rFonts w:cs="Arial"/>
                      <w:color w:val="000000" w:themeColor="text1"/>
                      <w:lang w:val="nl-BE" w:eastAsia="nl-BE"/>
                    </w:rPr>
                  </w:pPr>
                  <w:r w:rsidRPr="3D49E98B">
                    <w:rPr>
                      <w:rFonts w:cs="Arial"/>
                      <w:color w:val="000000" w:themeColor="text1"/>
                      <w:lang w:val="nl-BE" w:eastAsia="nl-BE"/>
                    </w:rPr>
                    <w:t>B4-B5</w:t>
                  </w:r>
                </w:p>
              </w:tc>
            </w:tr>
            <w:tr w:rsidR="009972EF" w:rsidRPr="00037A46" w14:paraId="6679699F"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noWrap/>
                  <w:vAlign w:val="center"/>
                </w:tcPr>
                <w:p w14:paraId="67B287A1" w14:textId="77777777" w:rsidR="009972EF" w:rsidRPr="00037A46" w:rsidRDefault="009972EF" w:rsidP="009972EF">
                  <w:pPr>
                    <w:spacing w:before="0" w:after="0"/>
                    <w:ind w:left="0"/>
                    <w:jc w:val="left"/>
                    <w:rPr>
                      <w:rFonts w:cs="Arial"/>
                      <w:color w:val="000000"/>
                      <w:lang w:val="nl-BE" w:eastAsia="nl-BE"/>
                    </w:rPr>
                  </w:pPr>
                  <w:r w:rsidRPr="00831F5A">
                    <w:rPr>
                      <w:rFonts w:cs="Arial"/>
                      <w:color w:val="000000"/>
                      <w:lang w:val="nl-BE" w:eastAsia="nl-BE"/>
                    </w:rPr>
                    <w:t>Deskundige Welzijn</w:t>
                  </w:r>
                </w:p>
              </w:tc>
              <w:tc>
                <w:tcPr>
                  <w:tcW w:w="2777" w:type="dxa"/>
                  <w:tcBorders>
                    <w:top w:val="nil"/>
                    <w:left w:val="nil"/>
                    <w:bottom w:val="single" w:sz="4" w:space="0" w:color="auto"/>
                    <w:right w:val="single" w:sz="4" w:space="0" w:color="auto"/>
                  </w:tcBorders>
                </w:tcPr>
                <w:p w14:paraId="470A2240" w14:textId="77777777" w:rsidR="009972EF" w:rsidRPr="3D49E98B" w:rsidRDefault="009972EF" w:rsidP="009972EF">
                  <w:pPr>
                    <w:spacing w:before="0" w:after="0"/>
                    <w:ind w:left="0"/>
                    <w:jc w:val="left"/>
                    <w:rPr>
                      <w:rFonts w:cs="Arial"/>
                      <w:color w:val="000000" w:themeColor="text1"/>
                      <w:lang w:val="nl-BE" w:eastAsia="nl-BE"/>
                    </w:rPr>
                  </w:pPr>
                  <w:r>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tcPr>
                <w:p w14:paraId="6AD0C744" w14:textId="77777777" w:rsidR="009972EF" w:rsidRPr="00037A46" w:rsidRDefault="009972EF" w:rsidP="009972EF">
                  <w:pPr>
                    <w:spacing w:before="0" w:after="0"/>
                    <w:ind w:left="0"/>
                    <w:rPr>
                      <w:rFonts w:cs="Arial"/>
                      <w:color w:val="000000"/>
                      <w:lang w:val="nl-BE" w:eastAsia="nl-BE"/>
                    </w:rPr>
                  </w:pPr>
                  <w:r>
                    <w:rPr>
                      <w:rFonts w:cs="Arial"/>
                      <w:color w:val="000000" w:themeColor="text1"/>
                      <w:lang w:val="nl-BE" w:eastAsia="nl-BE"/>
                    </w:rPr>
                    <w:t>B1-B3</w:t>
                  </w:r>
                </w:p>
              </w:tc>
            </w:tr>
            <w:tr w:rsidR="009972EF" w:rsidRPr="00037A46" w14:paraId="0D5BD946"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noWrap/>
                  <w:vAlign w:val="center"/>
                  <w:hideMark/>
                </w:tcPr>
                <w:p w14:paraId="5AD5E495"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Boekhouder sociale diensten</w:t>
                  </w:r>
                </w:p>
              </w:tc>
              <w:tc>
                <w:tcPr>
                  <w:tcW w:w="2777" w:type="dxa"/>
                  <w:tcBorders>
                    <w:top w:val="nil"/>
                    <w:left w:val="nil"/>
                    <w:bottom w:val="single" w:sz="4" w:space="0" w:color="auto"/>
                    <w:right w:val="single" w:sz="4" w:space="0" w:color="auto"/>
                  </w:tcBorders>
                  <w:hideMark/>
                </w:tcPr>
                <w:p w14:paraId="5AAF1094"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091BDF8D" w14:textId="77777777" w:rsidR="009972EF" w:rsidRPr="00037A46" w:rsidRDefault="009972EF" w:rsidP="009972EF">
                  <w:pPr>
                    <w:spacing w:before="0" w:after="0"/>
                    <w:ind w:left="0"/>
                    <w:rPr>
                      <w:rFonts w:cs="Arial"/>
                      <w:color w:val="000000"/>
                      <w:lang w:val="nl-BE" w:eastAsia="nl-BE"/>
                    </w:rPr>
                  </w:pPr>
                  <w:r w:rsidRPr="00037A46">
                    <w:rPr>
                      <w:rFonts w:cs="Arial"/>
                      <w:color w:val="000000"/>
                      <w:lang w:val="nl-BE" w:eastAsia="nl-BE"/>
                    </w:rPr>
                    <w:t>B1-B3</w:t>
                  </w:r>
                </w:p>
              </w:tc>
            </w:tr>
            <w:tr w:rsidR="009972EF" w14:paraId="1F2A1796"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noWrap/>
                  <w:vAlign w:val="center"/>
                  <w:hideMark/>
                </w:tcPr>
                <w:p w14:paraId="17AB1CFC"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Maatschappelijk werker welzijn</w:t>
                  </w:r>
                </w:p>
              </w:tc>
              <w:tc>
                <w:tcPr>
                  <w:tcW w:w="2777" w:type="dxa"/>
                  <w:tcBorders>
                    <w:top w:val="nil"/>
                    <w:left w:val="nil"/>
                    <w:bottom w:val="single" w:sz="4" w:space="0" w:color="auto"/>
                    <w:right w:val="single" w:sz="4" w:space="0" w:color="auto"/>
                  </w:tcBorders>
                  <w:hideMark/>
                </w:tcPr>
                <w:p w14:paraId="1A83BF20"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4B47DE5B" w14:textId="77777777" w:rsidR="009972EF" w:rsidRDefault="009972EF" w:rsidP="009972EF">
                  <w:pPr>
                    <w:spacing w:before="0" w:after="0"/>
                    <w:ind w:left="0"/>
                    <w:rPr>
                      <w:rFonts w:cs="Arial"/>
                      <w:color w:val="000000" w:themeColor="text1"/>
                      <w:lang w:val="nl-BE" w:eastAsia="nl-BE"/>
                    </w:rPr>
                  </w:pPr>
                  <w:r w:rsidRPr="3D49E98B">
                    <w:rPr>
                      <w:rFonts w:cs="Arial"/>
                      <w:color w:val="000000" w:themeColor="text1"/>
                      <w:lang w:val="nl-BE" w:eastAsia="nl-BE"/>
                    </w:rPr>
                    <w:t>B1-B3</w:t>
                  </w:r>
                </w:p>
              </w:tc>
            </w:tr>
            <w:tr w:rsidR="009972EF" w:rsidRPr="00037A46" w14:paraId="7CA64DC0"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2CD796C2"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lastRenderedPageBreak/>
                    <w:t>Administratief medewerker welzijn</w:t>
                  </w:r>
                </w:p>
              </w:tc>
              <w:tc>
                <w:tcPr>
                  <w:tcW w:w="2777" w:type="dxa"/>
                  <w:tcBorders>
                    <w:top w:val="nil"/>
                    <w:left w:val="nil"/>
                    <w:bottom w:val="single" w:sz="4" w:space="0" w:color="auto"/>
                    <w:right w:val="single" w:sz="4" w:space="0" w:color="auto"/>
                  </w:tcBorders>
                  <w:hideMark/>
                </w:tcPr>
                <w:p w14:paraId="65BF4BF8"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Administratief medewerker</w:t>
                  </w:r>
                </w:p>
              </w:tc>
              <w:tc>
                <w:tcPr>
                  <w:tcW w:w="2018" w:type="dxa"/>
                  <w:gridSpan w:val="2"/>
                  <w:tcBorders>
                    <w:top w:val="nil"/>
                    <w:left w:val="nil"/>
                    <w:bottom w:val="single" w:sz="4" w:space="0" w:color="auto"/>
                    <w:right w:val="single" w:sz="4" w:space="0" w:color="auto"/>
                  </w:tcBorders>
                  <w:vAlign w:val="center"/>
                  <w:hideMark/>
                </w:tcPr>
                <w:p w14:paraId="76D24B79" w14:textId="77777777" w:rsidR="009972EF" w:rsidRPr="00037A46" w:rsidRDefault="009972EF" w:rsidP="009972EF">
                  <w:pPr>
                    <w:spacing w:before="0" w:after="0"/>
                    <w:ind w:left="0"/>
                    <w:rPr>
                      <w:rFonts w:cs="Arial"/>
                      <w:color w:val="000000"/>
                      <w:lang w:val="nl-BE" w:eastAsia="nl-BE"/>
                    </w:rPr>
                  </w:pPr>
                  <w:r w:rsidRPr="00037A46">
                    <w:rPr>
                      <w:rFonts w:cs="Arial"/>
                      <w:color w:val="000000"/>
                      <w:lang w:val="nl-BE" w:eastAsia="nl-BE"/>
                    </w:rPr>
                    <w:t>C1-C3</w:t>
                  </w:r>
                </w:p>
              </w:tc>
            </w:tr>
            <w:tr w:rsidR="009972EF" w:rsidRPr="00037A46" w14:paraId="2972A379" w14:textId="77777777" w:rsidTr="003B2E38">
              <w:trPr>
                <w:trHeight w:val="300"/>
              </w:trPr>
              <w:tc>
                <w:tcPr>
                  <w:tcW w:w="3690" w:type="dxa"/>
                  <w:tcBorders>
                    <w:top w:val="nil"/>
                    <w:left w:val="nil"/>
                    <w:bottom w:val="nil"/>
                    <w:right w:val="nil"/>
                  </w:tcBorders>
                  <w:noWrap/>
                  <w:vAlign w:val="bottom"/>
                  <w:hideMark/>
                </w:tcPr>
                <w:p w14:paraId="1301B511" w14:textId="77777777" w:rsidR="009972EF" w:rsidRPr="00037A46" w:rsidRDefault="009972EF" w:rsidP="009972EF">
                  <w:pPr>
                    <w:spacing w:before="0" w:after="0"/>
                    <w:ind w:left="0"/>
                    <w:rPr>
                      <w:rFonts w:cs="Arial"/>
                      <w:color w:val="000000"/>
                      <w:lang w:val="nl-BE" w:eastAsia="nl-BE"/>
                    </w:rPr>
                  </w:pPr>
                </w:p>
              </w:tc>
              <w:tc>
                <w:tcPr>
                  <w:tcW w:w="2777" w:type="dxa"/>
                  <w:tcBorders>
                    <w:top w:val="nil"/>
                    <w:left w:val="nil"/>
                    <w:bottom w:val="nil"/>
                    <w:right w:val="nil"/>
                  </w:tcBorders>
                  <w:noWrap/>
                  <w:vAlign w:val="bottom"/>
                  <w:hideMark/>
                </w:tcPr>
                <w:p w14:paraId="438BF975" w14:textId="77777777" w:rsidR="009972EF" w:rsidRPr="00037A46" w:rsidRDefault="009972EF" w:rsidP="009972EF">
                  <w:pPr>
                    <w:spacing w:before="0" w:after="0"/>
                    <w:ind w:left="0"/>
                    <w:jc w:val="left"/>
                    <w:rPr>
                      <w:rFonts w:ascii="Times New Roman" w:hAnsi="Times New Roman"/>
                      <w:lang w:val="nl-BE" w:eastAsia="nl-BE"/>
                    </w:rPr>
                  </w:pPr>
                </w:p>
              </w:tc>
              <w:tc>
                <w:tcPr>
                  <w:tcW w:w="938" w:type="dxa"/>
                  <w:tcBorders>
                    <w:top w:val="nil"/>
                    <w:left w:val="nil"/>
                    <w:bottom w:val="nil"/>
                    <w:right w:val="nil"/>
                  </w:tcBorders>
                  <w:noWrap/>
                  <w:vAlign w:val="bottom"/>
                  <w:hideMark/>
                </w:tcPr>
                <w:p w14:paraId="6BEDE4C1" w14:textId="77777777" w:rsidR="009972EF" w:rsidRPr="00037A46" w:rsidRDefault="009972EF" w:rsidP="009972EF">
                  <w:pPr>
                    <w:spacing w:before="0" w:after="0"/>
                    <w:ind w:left="0"/>
                    <w:jc w:val="center"/>
                    <w:rPr>
                      <w:rFonts w:ascii="Times New Roman" w:hAnsi="Times New Roman"/>
                      <w:lang w:val="nl-BE" w:eastAsia="nl-BE"/>
                    </w:rPr>
                  </w:pPr>
                </w:p>
              </w:tc>
              <w:tc>
                <w:tcPr>
                  <w:tcW w:w="1402" w:type="dxa"/>
                  <w:gridSpan w:val="2"/>
                  <w:tcBorders>
                    <w:top w:val="nil"/>
                    <w:left w:val="nil"/>
                    <w:bottom w:val="nil"/>
                    <w:right w:val="nil"/>
                  </w:tcBorders>
                  <w:noWrap/>
                  <w:vAlign w:val="bottom"/>
                  <w:hideMark/>
                </w:tcPr>
                <w:p w14:paraId="206DA57E" w14:textId="77777777" w:rsidR="009972EF" w:rsidRPr="00037A46" w:rsidRDefault="009972EF" w:rsidP="009972EF">
                  <w:pPr>
                    <w:spacing w:before="0" w:after="0"/>
                    <w:ind w:left="0"/>
                    <w:jc w:val="left"/>
                    <w:rPr>
                      <w:rFonts w:ascii="Times New Roman" w:hAnsi="Times New Roman"/>
                      <w:lang w:val="nl-BE" w:eastAsia="nl-BE"/>
                    </w:rPr>
                  </w:pPr>
                </w:p>
              </w:tc>
            </w:tr>
            <w:tr w:rsidR="009972EF" w:rsidRPr="00037A46" w14:paraId="56E2867B" w14:textId="77777777" w:rsidTr="003B2E38">
              <w:trPr>
                <w:trHeight w:val="300"/>
              </w:trPr>
              <w:tc>
                <w:tcPr>
                  <w:tcW w:w="8807" w:type="dxa"/>
                  <w:gridSpan w:val="5"/>
                  <w:tcBorders>
                    <w:top w:val="nil"/>
                    <w:left w:val="nil"/>
                    <w:bottom w:val="nil"/>
                    <w:right w:val="nil"/>
                  </w:tcBorders>
                  <w:noWrap/>
                  <w:vAlign w:val="center"/>
                  <w:hideMark/>
                </w:tcPr>
                <w:p w14:paraId="2DF6247C" w14:textId="77777777" w:rsidR="009972EF" w:rsidRPr="00037A46" w:rsidRDefault="009972EF" w:rsidP="009972EF">
                  <w:pPr>
                    <w:spacing w:before="0" w:after="0"/>
                    <w:ind w:left="0"/>
                    <w:rPr>
                      <w:rFonts w:cs="Arial"/>
                      <w:b/>
                      <w:bCs/>
                      <w:color w:val="000000"/>
                      <w:lang w:val="nl-BE" w:eastAsia="nl-BE"/>
                    </w:rPr>
                  </w:pPr>
                  <w:r w:rsidRPr="00037A46">
                    <w:rPr>
                      <w:rFonts w:cs="Arial"/>
                      <w:b/>
                      <w:bCs/>
                      <w:color w:val="000000"/>
                      <w:lang w:val="nl-BE" w:eastAsia="nl-BE"/>
                    </w:rPr>
                    <w:t>Artikel 1, punt 5 (personeelcategorie 3)</w:t>
                  </w:r>
                </w:p>
              </w:tc>
            </w:tr>
            <w:tr w:rsidR="009972EF" w:rsidRPr="00037A46" w14:paraId="05F2E0BD"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noWrap/>
                  <w:vAlign w:val="center"/>
                  <w:hideMark/>
                </w:tcPr>
                <w:p w14:paraId="4B4E09EE" w14:textId="77777777" w:rsidR="009972EF" w:rsidRPr="00037A46" w:rsidRDefault="009972EF" w:rsidP="009972EF">
                  <w:pPr>
                    <w:spacing w:before="0" w:after="0"/>
                    <w:ind w:left="0"/>
                    <w:jc w:val="left"/>
                    <w:rPr>
                      <w:rFonts w:cs="Arial"/>
                      <w:b/>
                      <w:bCs/>
                      <w:color w:val="000000"/>
                      <w:lang w:val="nl-BE" w:eastAsia="nl-BE"/>
                    </w:rPr>
                  </w:pPr>
                  <w:r w:rsidRPr="00037A46">
                    <w:rPr>
                      <w:rFonts w:cs="Arial"/>
                      <w:b/>
                      <w:bCs/>
                      <w:color w:val="000000"/>
                      <w:lang w:val="nl-BE" w:eastAsia="nl-BE"/>
                    </w:rPr>
                    <w:t>Functies</w:t>
                  </w:r>
                </w:p>
              </w:tc>
              <w:tc>
                <w:tcPr>
                  <w:tcW w:w="2777" w:type="dxa"/>
                  <w:tcBorders>
                    <w:top w:val="single" w:sz="4" w:space="0" w:color="auto"/>
                    <w:left w:val="nil"/>
                    <w:bottom w:val="single" w:sz="4" w:space="0" w:color="auto"/>
                    <w:right w:val="single" w:sz="4" w:space="0" w:color="auto"/>
                  </w:tcBorders>
                  <w:vAlign w:val="center"/>
                  <w:hideMark/>
                </w:tcPr>
                <w:p w14:paraId="0BDFC2DC" w14:textId="77777777" w:rsidR="009972EF" w:rsidRPr="00037A46" w:rsidRDefault="009972EF" w:rsidP="009972EF">
                  <w:pPr>
                    <w:spacing w:before="0" w:after="0"/>
                    <w:ind w:left="0"/>
                    <w:jc w:val="center"/>
                    <w:rPr>
                      <w:rFonts w:cs="Arial"/>
                      <w:b/>
                      <w:bCs/>
                      <w:color w:val="000000"/>
                      <w:lang w:val="nl-BE" w:eastAsia="nl-BE"/>
                    </w:rPr>
                  </w:pPr>
                  <w:r w:rsidRPr="00037A46">
                    <w:rPr>
                      <w:rFonts w:cs="Arial"/>
                      <w:b/>
                      <w:bCs/>
                      <w:color w:val="000000"/>
                      <w:lang w:val="nl-BE" w:eastAsia="nl-BE"/>
                    </w:rPr>
                    <w:t>Graden</w:t>
                  </w:r>
                </w:p>
              </w:tc>
              <w:tc>
                <w:tcPr>
                  <w:tcW w:w="2018" w:type="dxa"/>
                  <w:gridSpan w:val="2"/>
                  <w:tcBorders>
                    <w:top w:val="single" w:sz="4" w:space="0" w:color="auto"/>
                    <w:left w:val="nil"/>
                    <w:bottom w:val="single" w:sz="4" w:space="0" w:color="auto"/>
                    <w:right w:val="single" w:sz="4" w:space="0" w:color="auto"/>
                  </w:tcBorders>
                  <w:noWrap/>
                  <w:vAlign w:val="center"/>
                  <w:hideMark/>
                </w:tcPr>
                <w:p w14:paraId="22432BC5" w14:textId="77777777" w:rsidR="009972EF" w:rsidRPr="00037A46" w:rsidRDefault="009972EF" w:rsidP="009972EF">
                  <w:pPr>
                    <w:spacing w:before="0" w:after="0"/>
                    <w:ind w:left="0"/>
                    <w:jc w:val="left"/>
                    <w:rPr>
                      <w:rFonts w:cs="Arial"/>
                      <w:b/>
                      <w:bCs/>
                      <w:color w:val="000000"/>
                      <w:lang w:val="nl-BE" w:eastAsia="nl-BE"/>
                    </w:rPr>
                  </w:pPr>
                  <w:r w:rsidRPr="00037A46">
                    <w:rPr>
                      <w:rFonts w:cs="Arial"/>
                      <w:b/>
                      <w:bCs/>
                      <w:color w:val="000000"/>
                      <w:lang w:val="nl-BE" w:eastAsia="nl-BE"/>
                    </w:rPr>
                    <w:t>Niveau</w:t>
                  </w:r>
                </w:p>
              </w:tc>
            </w:tr>
            <w:tr w:rsidR="009972EF" w:rsidRPr="00037A46" w14:paraId="4044B37B"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noWrap/>
                  <w:vAlign w:val="center"/>
                  <w:hideMark/>
                </w:tcPr>
                <w:p w14:paraId="51A460AA"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 opvanggezinnen</w:t>
                  </w:r>
                </w:p>
              </w:tc>
              <w:tc>
                <w:tcPr>
                  <w:tcW w:w="2777" w:type="dxa"/>
                  <w:tcBorders>
                    <w:top w:val="nil"/>
                    <w:left w:val="nil"/>
                    <w:bottom w:val="single" w:sz="4" w:space="0" w:color="auto"/>
                    <w:right w:val="single" w:sz="4" w:space="0" w:color="auto"/>
                  </w:tcBorders>
                  <w:hideMark/>
                </w:tcPr>
                <w:p w14:paraId="2A1D47D4"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hideMark/>
                </w:tcPr>
                <w:p w14:paraId="40596356" w14:textId="77777777" w:rsidR="009972EF" w:rsidRPr="007A78C5"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B1-B3</w:t>
                  </w:r>
                </w:p>
              </w:tc>
            </w:tr>
            <w:tr w:rsidR="009972EF" w:rsidRPr="00037A46" w14:paraId="0CF90BE5"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noWrap/>
                  <w:vAlign w:val="center"/>
                  <w:hideMark/>
                </w:tcPr>
                <w:p w14:paraId="26A65C56"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Maatschappelijk werker thuiszorg</w:t>
                  </w:r>
                </w:p>
              </w:tc>
              <w:tc>
                <w:tcPr>
                  <w:tcW w:w="2777" w:type="dxa"/>
                  <w:tcBorders>
                    <w:top w:val="nil"/>
                    <w:left w:val="nil"/>
                    <w:bottom w:val="single" w:sz="4" w:space="0" w:color="auto"/>
                    <w:right w:val="single" w:sz="4" w:space="0" w:color="auto"/>
                  </w:tcBorders>
                  <w:hideMark/>
                </w:tcPr>
                <w:p w14:paraId="5731233C"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hideMark/>
                </w:tcPr>
                <w:p w14:paraId="1321A664" w14:textId="77777777" w:rsidR="009972EF" w:rsidRPr="007A78C5"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B1-B3</w:t>
                  </w:r>
                </w:p>
              </w:tc>
            </w:tr>
            <w:tr w:rsidR="009972EF" w:rsidRPr="00037A46" w14:paraId="34978F40"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noWrap/>
                  <w:vAlign w:val="center"/>
                  <w:hideMark/>
                </w:tcPr>
                <w:p w14:paraId="494A0132"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Verzorgende thuiszorg</w:t>
                  </w:r>
                </w:p>
              </w:tc>
              <w:tc>
                <w:tcPr>
                  <w:tcW w:w="2777" w:type="dxa"/>
                  <w:tcBorders>
                    <w:top w:val="nil"/>
                    <w:left w:val="nil"/>
                    <w:bottom w:val="single" w:sz="4" w:space="0" w:color="auto"/>
                    <w:right w:val="single" w:sz="4" w:space="0" w:color="auto"/>
                  </w:tcBorders>
                  <w:hideMark/>
                </w:tcPr>
                <w:p w14:paraId="371CAD10"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Verzorgende</w:t>
                  </w:r>
                </w:p>
              </w:tc>
              <w:tc>
                <w:tcPr>
                  <w:tcW w:w="2018" w:type="dxa"/>
                  <w:gridSpan w:val="2"/>
                  <w:tcBorders>
                    <w:top w:val="nil"/>
                    <w:left w:val="nil"/>
                    <w:bottom w:val="single" w:sz="4" w:space="0" w:color="auto"/>
                    <w:right w:val="single" w:sz="4" w:space="0" w:color="auto"/>
                  </w:tcBorders>
                  <w:hideMark/>
                </w:tcPr>
                <w:p w14:paraId="622806BE"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VC1-VC2 of IFIC 201</w:t>
                  </w:r>
                </w:p>
              </w:tc>
            </w:tr>
            <w:tr w:rsidR="009972EF" w:rsidRPr="00037A46" w14:paraId="3F9EF4F9"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noWrap/>
                  <w:vAlign w:val="center"/>
                  <w:hideMark/>
                </w:tcPr>
                <w:p w14:paraId="355F5721"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Poetshulp AT</w:t>
                  </w:r>
                </w:p>
              </w:tc>
              <w:tc>
                <w:tcPr>
                  <w:tcW w:w="2777" w:type="dxa"/>
                  <w:tcBorders>
                    <w:top w:val="nil"/>
                    <w:left w:val="nil"/>
                    <w:bottom w:val="single" w:sz="4" w:space="0" w:color="auto"/>
                    <w:right w:val="single" w:sz="4" w:space="0" w:color="auto"/>
                  </w:tcBorders>
                  <w:hideMark/>
                </w:tcPr>
                <w:p w14:paraId="259E4E67"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Logistieke hulp</w:t>
                  </w:r>
                </w:p>
              </w:tc>
              <w:tc>
                <w:tcPr>
                  <w:tcW w:w="2018" w:type="dxa"/>
                  <w:gridSpan w:val="2"/>
                  <w:tcBorders>
                    <w:top w:val="nil"/>
                    <w:left w:val="nil"/>
                    <w:bottom w:val="single" w:sz="4" w:space="0" w:color="auto"/>
                    <w:right w:val="single" w:sz="4" w:space="0" w:color="auto"/>
                  </w:tcBorders>
                  <w:hideMark/>
                </w:tcPr>
                <w:p w14:paraId="45328ED9"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D1-D3 of IFIC 4</w:t>
                  </w:r>
                </w:p>
              </w:tc>
            </w:tr>
            <w:tr w:rsidR="009972EF" w:rsidRPr="00037A46" w14:paraId="2B8EA099"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noWrap/>
                  <w:vAlign w:val="center"/>
                  <w:hideMark/>
                </w:tcPr>
                <w:p w14:paraId="5028BBA3"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Karweihulp AT</w:t>
                  </w:r>
                </w:p>
              </w:tc>
              <w:tc>
                <w:tcPr>
                  <w:tcW w:w="2777" w:type="dxa"/>
                  <w:tcBorders>
                    <w:top w:val="nil"/>
                    <w:left w:val="nil"/>
                    <w:bottom w:val="single" w:sz="4" w:space="0" w:color="auto"/>
                    <w:right w:val="single" w:sz="4" w:space="0" w:color="auto"/>
                  </w:tcBorders>
                  <w:hideMark/>
                </w:tcPr>
                <w:p w14:paraId="45B34B7C"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Logistieke hulp</w:t>
                  </w:r>
                </w:p>
              </w:tc>
              <w:tc>
                <w:tcPr>
                  <w:tcW w:w="2018" w:type="dxa"/>
                  <w:gridSpan w:val="2"/>
                  <w:tcBorders>
                    <w:top w:val="nil"/>
                    <w:left w:val="nil"/>
                    <w:bottom w:val="single" w:sz="4" w:space="0" w:color="auto"/>
                    <w:right w:val="single" w:sz="4" w:space="0" w:color="auto"/>
                  </w:tcBorders>
                  <w:hideMark/>
                </w:tcPr>
                <w:p w14:paraId="0A63A3C6"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D1-D3</w:t>
                  </w:r>
                </w:p>
              </w:tc>
            </w:tr>
            <w:tr w:rsidR="009972EF" w:rsidRPr="00037A46" w14:paraId="54B35BC9" w14:textId="77777777" w:rsidTr="003B2E38">
              <w:trPr>
                <w:gridAfter w:val="1"/>
                <w:wAfter w:w="322" w:type="dxa"/>
                <w:trHeight w:val="510"/>
              </w:trPr>
              <w:tc>
                <w:tcPr>
                  <w:tcW w:w="3690" w:type="dxa"/>
                  <w:tcBorders>
                    <w:top w:val="single" w:sz="4" w:space="0" w:color="auto"/>
                    <w:left w:val="single" w:sz="4" w:space="0" w:color="auto"/>
                    <w:bottom w:val="single" w:sz="4" w:space="0" w:color="auto"/>
                    <w:right w:val="single" w:sz="4" w:space="0" w:color="auto"/>
                  </w:tcBorders>
                  <w:noWrap/>
                  <w:vAlign w:val="center"/>
                  <w:hideMark/>
                </w:tcPr>
                <w:p w14:paraId="19B3D3DE"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Directeur WZC</w:t>
                  </w:r>
                </w:p>
              </w:tc>
              <w:tc>
                <w:tcPr>
                  <w:tcW w:w="2777" w:type="dxa"/>
                  <w:tcBorders>
                    <w:top w:val="single" w:sz="4" w:space="0" w:color="auto"/>
                    <w:left w:val="nil"/>
                    <w:bottom w:val="single" w:sz="4" w:space="0" w:color="auto"/>
                    <w:right w:val="single" w:sz="4" w:space="0" w:color="auto"/>
                  </w:tcBorders>
                  <w:shd w:val="clear" w:color="auto" w:fill="FFFFFF" w:themeFill="background1"/>
                  <w:hideMark/>
                </w:tcPr>
                <w:p w14:paraId="22D3ADAA"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Teamverantwoordelijke</w:t>
                  </w:r>
                </w:p>
              </w:tc>
              <w:tc>
                <w:tcPr>
                  <w:tcW w:w="2018" w:type="dxa"/>
                  <w:gridSpan w:val="2"/>
                  <w:tcBorders>
                    <w:top w:val="single" w:sz="4" w:space="0" w:color="auto"/>
                    <w:left w:val="nil"/>
                    <w:bottom w:val="single" w:sz="4" w:space="0" w:color="auto"/>
                    <w:right w:val="single" w:sz="4" w:space="0" w:color="auto"/>
                  </w:tcBorders>
                  <w:hideMark/>
                </w:tcPr>
                <w:p w14:paraId="2DBA0736"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A1a-A3a</w:t>
                  </w:r>
                </w:p>
              </w:tc>
            </w:tr>
            <w:tr w:rsidR="009972EF" w:rsidRPr="00037A46" w14:paraId="75241034"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noWrap/>
                  <w:vAlign w:val="center"/>
                  <w:hideMark/>
                </w:tcPr>
                <w:p w14:paraId="7FD51E8F"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Administratief medewerker</w:t>
                  </w:r>
                </w:p>
              </w:tc>
              <w:tc>
                <w:tcPr>
                  <w:tcW w:w="2777" w:type="dxa"/>
                  <w:tcBorders>
                    <w:top w:val="nil"/>
                    <w:left w:val="nil"/>
                    <w:bottom w:val="single" w:sz="4" w:space="0" w:color="auto"/>
                    <w:right w:val="single" w:sz="4" w:space="0" w:color="auto"/>
                  </w:tcBorders>
                  <w:hideMark/>
                </w:tcPr>
                <w:p w14:paraId="2E024D69"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Administratief medewerker</w:t>
                  </w:r>
                </w:p>
              </w:tc>
              <w:tc>
                <w:tcPr>
                  <w:tcW w:w="2018" w:type="dxa"/>
                  <w:gridSpan w:val="2"/>
                  <w:tcBorders>
                    <w:top w:val="nil"/>
                    <w:left w:val="nil"/>
                    <w:bottom w:val="single" w:sz="4" w:space="0" w:color="auto"/>
                    <w:right w:val="single" w:sz="4" w:space="0" w:color="auto"/>
                  </w:tcBorders>
                  <w:hideMark/>
                </w:tcPr>
                <w:p w14:paraId="2960798E"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C1-C3</w:t>
                  </w:r>
                </w:p>
              </w:tc>
            </w:tr>
            <w:tr w:rsidR="009972EF" w:rsidRPr="00037A46" w14:paraId="4C110EF3"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noWrap/>
                  <w:vAlign w:val="center"/>
                  <w:hideMark/>
                </w:tcPr>
                <w:p w14:paraId="038E9002" w14:textId="77777777" w:rsidR="009972EF" w:rsidRPr="00037A46" w:rsidRDefault="009972EF" w:rsidP="009972EF">
                  <w:pPr>
                    <w:spacing w:before="0" w:after="0" w:line="259" w:lineRule="auto"/>
                    <w:ind w:left="0"/>
                    <w:jc w:val="left"/>
                    <w:rPr>
                      <w:rFonts w:cs="Arial"/>
                      <w:color w:val="000000" w:themeColor="text1"/>
                      <w:lang w:val="nl-BE" w:eastAsia="nl-BE"/>
                    </w:rPr>
                  </w:pPr>
                  <w:r w:rsidRPr="3D49E98B">
                    <w:rPr>
                      <w:rFonts w:cs="Arial"/>
                      <w:color w:val="000000" w:themeColor="text1"/>
                      <w:lang w:val="nl-BE" w:eastAsia="nl-BE"/>
                    </w:rPr>
                    <w:t>Onderhoudsmedewerker</w:t>
                  </w:r>
                </w:p>
              </w:tc>
              <w:tc>
                <w:tcPr>
                  <w:tcW w:w="2777" w:type="dxa"/>
                  <w:tcBorders>
                    <w:top w:val="nil"/>
                    <w:left w:val="nil"/>
                    <w:bottom w:val="single" w:sz="4" w:space="0" w:color="auto"/>
                    <w:right w:val="single" w:sz="4" w:space="0" w:color="auto"/>
                  </w:tcBorders>
                  <w:hideMark/>
                </w:tcPr>
                <w:p w14:paraId="0F374C9C" w14:textId="77777777" w:rsidR="009972EF" w:rsidRPr="00037A46" w:rsidRDefault="009972EF" w:rsidP="009972EF">
                  <w:pPr>
                    <w:spacing w:before="0" w:after="0" w:line="259" w:lineRule="auto"/>
                    <w:ind w:left="0"/>
                    <w:jc w:val="left"/>
                  </w:pPr>
                  <w:r w:rsidRPr="38832066">
                    <w:rPr>
                      <w:rFonts w:cs="Arial"/>
                      <w:color w:val="000000" w:themeColor="text1"/>
                      <w:lang w:val="nl-BE" w:eastAsia="nl-BE"/>
                    </w:rPr>
                    <w:t>Arbeider</w:t>
                  </w:r>
                </w:p>
              </w:tc>
              <w:tc>
                <w:tcPr>
                  <w:tcW w:w="2018" w:type="dxa"/>
                  <w:gridSpan w:val="2"/>
                  <w:tcBorders>
                    <w:top w:val="nil"/>
                    <w:left w:val="nil"/>
                    <w:bottom w:val="single" w:sz="4" w:space="0" w:color="auto"/>
                    <w:right w:val="single" w:sz="4" w:space="0" w:color="auto"/>
                  </w:tcBorders>
                  <w:hideMark/>
                </w:tcPr>
                <w:p w14:paraId="5782B2C5"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D1-D3 of IFIC 5</w:t>
                  </w:r>
                </w:p>
              </w:tc>
            </w:tr>
            <w:tr w:rsidR="009972EF" w:rsidRPr="00037A46" w14:paraId="208415E9"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457762E2"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Ploegverantwoordelijke technische dienst</w:t>
                  </w:r>
                </w:p>
              </w:tc>
              <w:tc>
                <w:tcPr>
                  <w:tcW w:w="2777" w:type="dxa"/>
                  <w:tcBorders>
                    <w:top w:val="nil"/>
                    <w:left w:val="nil"/>
                    <w:bottom w:val="single" w:sz="4" w:space="0" w:color="auto"/>
                    <w:right w:val="single" w:sz="4" w:space="0" w:color="auto"/>
                  </w:tcBorders>
                  <w:hideMark/>
                </w:tcPr>
                <w:p w14:paraId="10195371"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Technisch medewerker</w:t>
                  </w:r>
                </w:p>
              </w:tc>
              <w:tc>
                <w:tcPr>
                  <w:tcW w:w="2018" w:type="dxa"/>
                  <w:gridSpan w:val="2"/>
                  <w:tcBorders>
                    <w:top w:val="nil"/>
                    <w:left w:val="nil"/>
                    <w:bottom w:val="single" w:sz="4" w:space="0" w:color="auto"/>
                    <w:right w:val="single" w:sz="4" w:space="0" w:color="auto"/>
                  </w:tcBorders>
                  <w:hideMark/>
                </w:tcPr>
                <w:p w14:paraId="36A2D9A3"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C1-C3 of IFIC 14</w:t>
                  </w:r>
                </w:p>
              </w:tc>
            </w:tr>
            <w:tr w:rsidR="009972EF" w14:paraId="0CB3DBE0"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0649615E"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t>Voorwerker</w:t>
                  </w:r>
                </w:p>
              </w:tc>
              <w:tc>
                <w:tcPr>
                  <w:tcW w:w="2777" w:type="dxa"/>
                  <w:tcBorders>
                    <w:top w:val="nil"/>
                    <w:left w:val="nil"/>
                    <w:bottom w:val="single" w:sz="4" w:space="0" w:color="auto"/>
                    <w:right w:val="single" w:sz="4" w:space="0" w:color="auto"/>
                  </w:tcBorders>
                  <w:hideMark/>
                </w:tcPr>
                <w:p w14:paraId="4828FED5"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t>Ploegbaas</w:t>
                  </w:r>
                </w:p>
              </w:tc>
              <w:tc>
                <w:tcPr>
                  <w:tcW w:w="2018" w:type="dxa"/>
                  <w:gridSpan w:val="2"/>
                  <w:tcBorders>
                    <w:top w:val="nil"/>
                    <w:left w:val="nil"/>
                    <w:bottom w:val="single" w:sz="4" w:space="0" w:color="auto"/>
                    <w:right w:val="single" w:sz="4" w:space="0" w:color="auto"/>
                  </w:tcBorders>
                  <w:hideMark/>
                </w:tcPr>
                <w:p w14:paraId="67C5073F" w14:textId="77777777" w:rsidR="009972EF" w:rsidRPr="00831F5A" w:rsidRDefault="009972EF" w:rsidP="009972EF">
                  <w:pPr>
                    <w:ind w:left="0"/>
                    <w:jc w:val="left"/>
                    <w:rPr>
                      <w:rFonts w:cs="Arial"/>
                      <w:color w:val="000000" w:themeColor="text1"/>
                      <w:lang w:val="nl-BE" w:eastAsia="nl-BE"/>
                    </w:rPr>
                  </w:pPr>
                  <w:r w:rsidRPr="00831F5A">
                    <w:rPr>
                      <w:rFonts w:cs="Arial"/>
                      <w:color w:val="000000" w:themeColor="text1"/>
                      <w:lang w:val="nl-BE" w:eastAsia="nl-BE"/>
                    </w:rPr>
                    <w:t>IFIC 8</w:t>
                  </w:r>
                </w:p>
              </w:tc>
            </w:tr>
            <w:tr w:rsidR="009972EF" w:rsidRPr="00037A46" w14:paraId="7DEB7DC0"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noWrap/>
                  <w:vAlign w:val="center"/>
                  <w:hideMark/>
                </w:tcPr>
                <w:p w14:paraId="6B06C7A3"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Schoonmaak/ hotel WZC</w:t>
                  </w:r>
                </w:p>
              </w:tc>
              <w:tc>
                <w:tcPr>
                  <w:tcW w:w="2777" w:type="dxa"/>
                  <w:tcBorders>
                    <w:top w:val="nil"/>
                    <w:left w:val="nil"/>
                    <w:bottom w:val="single" w:sz="4" w:space="0" w:color="auto"/>
                    <w:right w:val="single" w:sz="4" w:space="0" w:color="auto"/>
                  </w:tcBorders>
                  <w:hideMark/>
                </w:tcPr>
                <w:p w14:paraId="7E2598F2"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Logistieke hulp</w:t>
                  </w:r>
                </w:p>
              </w:tc>
              <w:tc>
                <w:tcPr>
                  <w:tcW w:w="2018" w:type="dxa"/>
                  <w:gridSpan w:val="2"/>
                  <w:tcBorders>
                    <w:top w:val="nil"/>
                    <w:left w:val="nil"/>
                    <w:bottom w:val="single" w:sz="4" w:space="0" w:color="auto"/>
                    <w:right w:val="single" w:sz="4" w:space="0" w:color="auto"/>
                  </w:tcBorders>
                  <w:hideMark/>
                </w:tcPr>
                <w:p w14:paraId="036968F0"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D1-D3 of IFIC 6</w:t>
                  </w:r>
                </w:p>
              </w:tc>
            </w:tr>
            <w:tr w:rsidR="009972EF" w:rsidRPr="00037A46" w14:paraId="7478A7E0"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noWrap/>
                  <w:vAlign w:val="center"/>
                  <w:hideMark/>
                </w:tcPr>
                <w:p w14:paraId="4E44224A"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Hoofdverpleegkundige</w:t>
                  </w:r>
                </w:p>
              </w:tc>
              <w:tc>
                <w:tcPr>
                  <w:tcW w:w="2777" w:type="dxa"/>
                  <w:tcBorders>
                    <w:top w:val="nil"/>
                    <w:left w:val="nil"/>
                    <w:bottom w:val="single" w:sz="4" w:space="0" w:color="auto"/>
                    <w:right w:val="single" w:sz="4" w:space="0" w:color="auto"/>
                  </w:tcBorders>
                  <w:hideMark/>
                </w:tcPr>
                <w:p w14:paraId="26E44E52"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Hoofdverpleegkundige</w:t>
                  </w:r>
                </w:p>
              </w:tc>
              <w:tc>
                <w:tcPr>
                  <w:tcW w:w="2018" w:type="dxa"/>
                  <w:gridSpan w:val="2"/>
                  <w:tcBorders>
                    <w:top w:val="nil"/>
                    <w:left w:val="nil"/>
                    <w:bottom w:val="single" w:sz="4" w:space="0" w:color="auto"/>
                    <w:right w:val="single" w:sz="4" w:space="0" w:color="auto"/>
                  </w:tcBorders>
                  <w:hideMark/>
                </w:tcPr>
                <w:p w14:paraId="1F9D66AC"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BV5 of IFIC 17</w:t>
                  </w:r>
                </w:p>
              </w:tc>
            </w:tr>
            <w:tr w:rsidR="009972EF" w:rsidRPr="00037A46" w14:paraId="46D5ABBA" w14:textId="77777777" w:rsidTr="003B2E38">
              <w:trPr>
                <w:gridAfter w:val="1"/>
                <w:wAfter w:w="322" w:type="dxa"/>
                <w:trHeight w:val="765"/>
              </w:trPr>
              <w:tc>
                <w:tcPr>
                  <w:tcW w:w="3690" w:type="dxa"/>
                  <w:tcBorders>
                    <w:top w:val="nil"/>
                    <w:left w:val="single" w:sz="4" w:space="0" w:color="auto"/>
                    <w:bottom w:val="single" w:sz="4" w:space="0" w:color="auto"/>
                    <w:right w:val="single" w:sz="4" w:space="0" w:color="auto"/>
                  </w:tcBorders>
                  <w:noWrap/>
                  <w:vAlign w:val="center"/>
                  <w:hideMark/>
                </w:tcPr>
                <w:p w14:paraId="53CD42F2"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Verpleegkundige dag</w:t>
                  </w:r>
                </w:p>
              </w:tc>
              <w:tc>
                <w:tcPr>
                  <w:tcW w:w="2777" w:type="dxa"/>
                  <w:tcBorders>
                    <w:top w:val="nil"/>
                    <w:left w:val="nil"/>
                    <w:bottom w:val="single" w:sz="4" w:space="0" w:color="auto"/>
                    <w:right w:val="single" w:sz="4" w:space="0" w:color="auto"/>
                  </w:tcBorders>
                  <w:hideMark/>
                </w:tcPr>
                <w:p w14:paraId="048E2073"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Verpleegkundige</w:t>
                  </w:r>
                </w:p>
              </w:tc>
              <w:tc>
                <w:tcPr>
                  <w:tcW w:w="2018" w:type="dxa"/>
                  <w:gridSpan w:val="2"/>
                  <w:tcBorders>
                    <w:top w:val="nil"/>
                    <w:left w:val="nil"/>
                    <w:bottom w:val="single" w:sz="4" w:space="0" w:color="auto"/>
                    <w:right w:val="single" w:sz="4" w:space="0" w:color="auto"/>
                  </w:tcBorders>
                  <w:hideMark/>
                </w:tcPr>
                <w:p w14:paraId="5B7F89C8" w14:textId="77777777" w:rsidR="009972EF" w:rsidRPr="00831F5A" w:rsidRDefault="009972EF" w:rsidP="009972EF">
                  <w:pPr>
                    <w:spacing w:before="0" w:after="0"/>
                    <w:ind w:left="0"/>
                    <w:jc w:val="left"/>
                    <w:rPr>
                      <w:rFonts w:cs="Arial"/>
                      <w:color w:val="000000"/>
                      <w:lang w:val="en-US" w:eastAsia="nl-BE"/>
                    </w:rPr>
                  </w:pPr>
                  <w:r w:rsidRPr="00831F5A">
                    <w:rPr>
                      <w:rFonts w:cs="Arial"/>
                      <w:color w:val="000000" w:themeColor="text1"/>
                      <w:lang w:val="en-US" w:eastAsia="nl-BE"/>
                    </w:rPr>
                    <w:t>IFIC 14/14b of VC3-VC4 of BV1- BV3</w:t>
                  </w:r>
                </w:p>
              </w:tc>
            </w:tr>
            <w:tr w:rsidR="009972EF" w:rsidRPr="00037A46" w14:paraId="79AC3C28" w14:textId="77777777" w:rsidTr="003B2E38">
              <w:trPr>
                <w:gridAfter w:val="1"/>
                <w:wAfter w:w="322" w:type="dxa"/>
                <w:trHeight w:val="765"/>
              </w:trPr>
              <w:tc>
                <w:tcPr>
                  <w:tcW w:w="3690" w:type="dxa"/>
                  <w:tcBorders>
                    <w:top w:val="nil"/>
                    <w:left w:val="single" w:sz="4" w:space="0" w:color="auto"/>
                    <w:bottom w:val="single" w:sz="4" w:space="0" w:color="auto"/>
                    <w:right w:val="single" w:sz="4" w:space="0" w:color="auto"/>
                  </w:tcBorders>
                  <w:noWrap/>
                  <w:vAlign w:val="center"/>
                  <w:hideMark/>
                </w:tcPr>
                <w:p w14:paraId="0E29D1E5"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Verpleegkundige nacht</w:t>
                  </w:r>
                </w:p>
              </w:tc>
              <w:tc>
                <w:tcPr>
                  <w:tcW w:w="2777" w:type="dxa"/>
                  <w:tcBorders>
                    <w:top w:val="nil"/>
                    <w:left w:val="nil"/>
                    <w:bottom w:val="single" w:sz="4" w:space="0" w:color="auto"/>
                    <w:right w:val="single" w:sz="4" w:space="0" w:color="auto"/>
                  </w:tcBorders>
                  <w:hideMark/>
                </w:tcPr>
                <w:p w14:paraId="7565F111"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Verpleegkundige</w:t>
                  </w:r>
                </w:p>
              </w:tc>
              <w:tc>
                <w:tcPr>
                  <w:tcW w:w="2018" w:type="dxa"/>
                  <w:gridSpan w:val="2"/>
                  <w:tcBorders>
                    <w:top w:val="nil"/>
                    <w:left w:val="nil"/>
                    <w:bottom w:val="single" w:sz="4" w:space="0" w:color="auto"/>
                    <w:right w:val="single" w:sz="4" w:space="0" w:color="auto"/>
                  </w:tcBorders>
                  <w:hideMark/>
                </w:tcPr>
                <w:p w14:paraId="62DDFFD3" w14:textId="77777777" w:rsidR="009972EF" w:rsidRPr="00831F5A" w:rsidRDefault="009972EF" w:rsidP="009972EF">
                  <w:pPr>
                    <w:spacing w:before="0" w:after="0"/>
                    <w:ind w:left="0"/>
                    <w:jc w:val="left"/>
                    <w:rPr>
                      <w:rFonts w:cs="Arial"/>
                      <w:color w:val="000000"/>
                      <w:lang w:val="en-US" w:eastAsia="nl-BE"/>
                    </w:rPr>
                  </w:pPr>
                  <w:r w:rsidRPr="00831F5A">
                    <w:rPr>
                      <w:rFonts w:cs="Arial"/>
                      <w:color w:val="000000" w:themeColor="text1"/>
                      <w:lang w:val="en-US" w:eastAsia="nl-BE"/>
                    </w:rPr>
                    <w:t>IFIC 14/14b of VC3-VC4 of BV1- BV3</w:t>
                  </w:r>
                </w:p>
              </w:tc>
            </w:tr>
            <w:tr w:rsidR="009972EF" w:rsidRPr="00037A46" w14:paraId="5A22133A"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5F8CCA0F"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Zorgkundige dag</w:t>
                  </w:r>
                </w:p>
              </w:tc>
              <w:tc>
                <w:tcPr>
                  <w:tcW w:w="2777" w:type="dxa"/>
                  <w:tcBorders>
                    <w:top w:val="nil"/>
                    <w:left w:val="nil"/>
                    <w:bottom w:val="single" w:sz="4" w:space="0" w:color="auto"/>
                    <w:right w:val="single" w:sz="4" w:space="0" w:color="auto"/>
                  </w:tcBorders>
                  <w:shd w:val="clear" w:color="auto" w:fill="FFFFFF" w:themeFill="background1"/>
                  <w:hideMark/>
                </w:tcPr>
                <w:p w14:paraId="37308149"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Zorgkundige</w:t>
                  </w:r>
                </w:p>
              </w:tc>
              <w:tc>
                <w:tcPr>
                  <w:tcW w:w="2018" w:type="dxa"/>
                  <w:gridSpan w:val="2"/>
                  <w:tcBorders>
                    <w:top w:val="nil"/>
                    <w:left w:val="nil"/>
                    <w:bottom w:val="single" w:sz="4" w:space="0" w:color="auto"/>
                    <w:right w:val="single" w:sz="4" w:space="0" w:color="auto"/>
                  </w:tcBorders>
                  <w:hideMark/>
                </w:tcPr>
                <w:p w14:paraId="5ADC8D35"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en-US" w:eastAsia="nl-BE"/>
                    </w:rPr>
                    <w:t>IFIC 10 of IFIC 11/11b of</w:t>
                  </w:r>
                  <w:r w:rsidRPr="00831F5A">
                    <w:rPr>
                      <w:rFonts w:cs="Arial"/>
                      <w:color w:val="000000" w:themeColor="text1"/>
                      <w:lang w:val="nl-BE" w:eastAsia="nl-BE"/>
                    </w:rPr>
                    <w:t xml:space="preserve"> VC1-VC2</w:t>
                  </w:r>
                </w:p>
              </w:tc>
            </w:tr>
            <w:tr w:rsidR="009972EF" w:rsidRPr="00037A46" w14:paraId="6FA93ED3"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68488444"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Zorgkundige nacht</w:t>
                  </w:r>
                </w:p>
              </w:tc>
              <w:tc>
                <w:tcPr>
                  <w:tcW w:w="2777" w:type="dxa"/>
                  <w:tcBorders>
                    <w:top w:val="nil"/>
                    <w:left w:val="nil"/>
                    <w:bottom w:val="single" w:sz="4" w:space="0" w:color="auto"/>
                    <w:right w:val="single" w:sz="4" w:space="0" w:color="auto"/>
                  </w:tcBorders>
                  <w:shd w:val="clear" w:color="auto" w:fill="FFFFFF" w:themeFill="background1"/>
                  <w:hideMark/>
                </w:tcPr>
                <w:p w14:paraId="410709A2"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Zorgkundige</w:t>
                  </w:r>
                </w:p>
              </w:tc>
              <w:tc>
                <w:tcPr>
                  <w:tcW w:w="2018" w:type="dxa"/>
                  <w:gridSpan w:val="2"/>
                  <w:tcBorders>
                    <w:top w:val="nil"/>
                    <w:left w:val="nil"/>
                    <w:bottom w:val="single" w:sz="4" w:space="0" w:color="auto"/>
                    <w:right w:val="single" w:sz="4" w:space="0" w:color="auto"/>
                  </w:tcBorders>
                  <w:hideMark/>
                </w:tcPr>
                <w:p w14:paraId="46095907"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en-US" w:eastAsia="nl-BE"/>
                    </w:rPr>
                    <w:t>IFIC 10 of IFIC 11/11b of V</w:t>
                  </w:r>
                  <w:r w:rsidRPr="00831F5A">
                    <w:rPr>
                      <w:rFonts w:cs="Arial"/>
                      <w:color w:val="000000" w:themeColor="text1"/>
                      <w:lang w:val="nl-BE" w:eastAsia="nl-BE"/>
                    </w:rPr>
                    <w:t>C1-VC2</w:t>
                  </w:r>
                </w:p>
              </w:tc>
            </w:tr>
            <w:tr w:rsidR="009972EF" w:rsidRPr="00037A46" w14:paraId="5E88EAD4"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noWrap/>
                  <w:vAlign w:val="center"/>
                  <w:hideMark/>
                </w:tcPr>
                <w:p w14:paraId="4ADC2A53"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Deskundige animatie</w:t>
                  </w:r>
                </w:p>
              </w:tc>
              <w:tc>
                <w:tcPr>
                  <w:tcW w:w="2777" w:type="dxa"/>
                  <w:tcBorders>
                    <w:top w:val="nil"/>
                    <w:left w:val="nil"/>
                    <w:bottom w:val="single" w:sz="4" w:space="0" w:color="auto"/>
                    <w:right w:val="single" w:sz="4" w:space="0" w:color="auto"/>
                  </w:tcBorders>
                  <w:hideMark/>
                </w:tcPr>
                <w:p w14:paraId="7B508DC9"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Ergotherapeut</w:t>
                  </w:r>
                </w:p>
              </w:tc>
              <w:tc>
                <w:tcPr>
                  <w:tcW w:w="2018" w:type="dxa"/>
                  <w:gridSpan w:val="2"/>
                  <w:tcBorders>
                    <w:top w:val="nil"/>
                    <w:left w:val="nil"/>
                    <w:bottom w:val="single" w:sz="4" w:space="0" w:color="auto"/>
                    <w:right w:val="single" w:sz="4" w:space="0" w:color="auto"/>
                  </w:tcBorders>
                  <w:hideMark/>
                </w:tcPr>
                <w:p w14:paraId="5C5C5DD7" w14:textId="77777777" w:rsidR="009972EF" w:rsidRPr="007A78C5"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BV1-BV2-BV3 of IFIC 12/14</w:t>
                  </w:r>
                </w:p>
              </w:tc>
            </w:tr>
            <w:tr w:rsidR="009972EF" w:rsidRPr="00037A46" w14:paraId="6298C67E" w14:textId="77777777" w:rsidTr="003B2E38">
              <w:trPr>
                <w:gridAfter w:val="1"/>
                <w:wAfter w:w="322" w:type="dxa"/>
                <w:trHeight w:val="1020"/>
              </w:trPr>
              <w:tc>
                <w:tcPr>
                  <w:tcW w:w="3690" w:type="dxa"/>
                  <w:tcBorders>
                    <w:top w:val="nil"/>
                    <w:left w:val="single" w:sz="4" w:space="0" w:color="auto"/>
                    <w:bottom w:val="single" w:sz="4" w:space="0" w:color="auto"/>
                    <w:right w:val="single" w:sz="4" w:space="0" w:color="auto"/>
                  </w:tcBorders>
                  <w:noWrap/>
                  <w:vAlign w:val="center"/>
                  <w:hideMark/>
                </w:tcPr>
                <w:p w14:paraId="45A5AC2B"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Kinesitherapeut</w:t>
                  </w:r>
                </w:p>
              </w:tc>
              <w:tc>
                <w:tcPr>
                  <w:tcW w:w="2777" w:type="dxa"/>
                  <w:tcBorders>
                    <w:top w:val="nil"/>
                    <w:left w:val="nil"/>
                    <w:bottom w:val="single" w:sz="4" w:space="0" w:color="auto"/>
                    <w:right w:val="single" w:sz="4" w:space="0" w:color="auto"/>
                  </w:tcBorders>
                  <w:hideMark/>
                </w:tcPr>
                <w:p w14:paraId="7FCACFB3"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Kinesitherapeut</w:t>
                  </w:r>
                </w:p>
              </w:tc>
              <w:tc>
                <w:tcPr>
                  <w:tcW w:w="2018" w:type="dxa"/>
                  <w:gridSpan w:val="2"/>
                  <w:tcBorders>
                    <w:top w:val="nil"/>
                    <w:left w:val="nil"/>
                    <w:bottom w:val="single" w:sz="4" w:space="0" w:color="auto"/>
                    <w:right w:val="single" w:sz="4" w:space="0" w:color="auto"/>
                  </w:tcBorders>
                  <w:hideMark/>
                </w:tcPr>
                <w:p w14:paraId="228EFD51" w14:textId="77777777" w:rsidR="009972EF" w:rsidRPr="007A78C5" w:rsidRDefault="009972EF" w:rsidP="009972EF">
                  <w:pPr>
                    <w:spacing w:before="0" w:after="0"/>
                    <w:ind w:left="0"/>
                    <w:jc w:val="left"/>
                    <w:rPr>
                      <w:rFonts w:cs="Arial"/>
                      <w:color w:val="000000"/>
                      <w:lang w:val="en-US" w:eastAsia="nl-BE"/>
                    </w:rPr>
                  </w:pPr>
                  <w:r w:rsidRPr="3D49E98B">
                    <w:rPr>
                      <w:rFonts w:cs="Arial"/>
                      <w:color w:val="000000" w:themeColor="text1"/>
                      <w:lang w:val="en-US" w:eastAsia="nl-BE"/>
                    </w:rPr>
                    <w:t>A1a-A2a-A3a of BV1-BV2-BV3 of IFIC 15</w:t>
                  </w:r>
                </w:p>
              </w:tc>
            </w:tr>
            <w:tr w:rsidR="009972EF" w:rsidRPr="00037A46" w14:paraId="73E8F3C2" w14:textId="77777777" w:rsidTr="003B2E38">
              <w:trPr>
                <w:gridAfter w:val="1"/>
                <w:wAfter w:w="322" w:type="dxa"/>
                <w:trHeight w:val="363"/>
              </w:trPr>
              <w:tc>
                <w:tcPr>
                  <w:tcW w:w="3690" w:type="dxa"/>
                  <w:tcBorders>
                    <w:top w:val="nil"/>
                    <w:left w:val="single" w:sz="4" w:space="0" w:color="auto"/>
                    <w:bottom w:val="single" w:sz="4" w:space="0" w:color="auto"/>
                    <w:right w:val="single" w:sz="4" w:space="0" w:color="auto"/>
                  </w:tcBorders>
                  <w:noWrap/>
                  <w:vAlign w:val="center"/>
                  <w:hideMark/>
                </w:tcPr>
                <w:p w14:paraId="1A03C736"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sociale zaken</w:t>
                  </w:r>
                </w:p>
              </w:tc>
              <w:tc>
                <w:tcPr>
                  <w:tcW w:w="2777" w:type="dxa"/>
                  <w:tcBorders>
                    <w:top w:val="nil"/>
                    <w:left w:val="nil"/>
                    <w:bottom w:val="single" w:sz="4" w:space="0" w:color="auto"/>
                    <w:right w:val="single" w:sz="4" w:space="0" w:color="auto"/>
                  </w:tcBorders>
                  <w:hideMark/>
                </w:tcPr>
                <w:p w14:paraId="1DFE2AA0"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hideMark/>
                </w:tcPr>
                <w:p w14:paraId="3AB604F5" w14:textId="77777777" w:rsidR="009972EF" w:rsidRPr="007A78C5"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B1-B3 of IFIC 14</w:t>
                  </w:r>
                </w:p>
              </w:tc>
            </w:tr>
            <w:tr w:rsidR="009972EF" w:rsidRPr="00037A46" w14:paraId="3ED12ED8" w14:textId="77777777" w:rsidTr="003B2E38">
              <w:trPr>
                <w:gridAfter w:val="1"/>
                <w:wAfter w:w="322" w:type="dxa"/>
                <w:trHeight w:val="142"/>
              </w:trPr>
              <w:tc>
                <w:tcPr>
                  <w:tcW w:w="3690" w:type="dxa"/>
                  <w:tcBorders>
                    <w:top w:val="nil"/>
                    <w:left w:val="single" w:sz="4" w:space="0" w:color="auto"/>
                    <w:bottom w:val="single" w:sz="4" w:space="0" w:color="auto"/>
                    <w:right w:val="single" w:sz="4" w:space="0" w:color="auto"/>
                  </w:tcBorders>
                  <w:noWrap/>
                  <w:vAlign w:val="center"/>
                  <w:hideMark/>
                </w:tcPr>
                <w:p w14:paraId="4ADC41A0"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Referentieverpleegkundige dementie</w:t>
                  </w:r>
                </w:p>
              </w:tc>
              <w:tc>
                <w:tcPr>
                  <w:tcW w:w="2777" w:type="dxa"/>
                  <w:tcBorders>
                    <w:top w:val="nil"/>
                    <w:left w:val="nil"/>
                    <w:bottom w:val="single" w:sz="4" w:space="0" w:color="auto"/>
                    <w:right w:val="single" w:sz="4" w:space="0" w:color="auto"/>
                  </w:tcBorders>
                  <w:hideMark/>
                </w:tcPr>
                <w:p w14:paraId="7ECE838B"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hideMark/>
                </w:tcPr>
                <w:p w14:paraId="53996554" w14:textId="77777777" w:rsidR="009972EF" w:rsidRPr="007A78C5"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B1-B3 of IFIC 15</w:t>
                  </w:r>
                </w:p>
              </w:tc>
            </w:tr>
            <w:tr w:rsidR="009972EF" w:rsidRPr="00037A46" w14:paraId="367E1F4D" w14:textId="77777777" w:rsidTr="003B2E38">
              <w:trPr>
                <w:trHeight w:val="300"/>
              </w:trPr>
              <w:tc>
                <w:tcPr>
                  <w:tcW w:w="3690" w:type="dxa"/>
                  <w:tcBorders>
                    <w:top w:val="nil"/>
                    <w:left w:val="nil"/>
                    <w:bottom w:val="nil"/>
                    <w:right w:val="nil"/>
                  </w:tcBorders>
                  <w:noWrap/>
                  <w:vAlign w:val="center"/>
                  <w:hideMark/>
                </w:tcPr>
                <w:p w14:paraId="79FEDA73" w14:textId="77777777" w:rsidR="009972EF" w:rsidRPr="00037A46" w:rsidRDefault="009972EF" w:rsidP="009972EF">
                  <w:pPr>
                    <w:spacing w:before="0" w:after="0"/>
                    <w:ind w:left="0"/>
                    <w:rPr>
                      <w:rFonts w:cs="Arial"/>
                      <w:color w:val="000000"/>
                      <w:lang w:val="nl-BE" w:eastAsia="nl-BE"/>
                    </w:rPr>
                  </w:pPr>
                </w:p>
              </w:tc>
              <w:tc>
                <w:tcPr>
                  <w:tcW w:w="2777" w:type="dxa"/>
                  <w:tcBorders>
                    <w:top w:val="nil"/>
                    <w:left w:val="nil"/>
                    <w:bottom w:val="nil"/>
                    <w:right w:val="nil"/>
                  </w:tcBorders>
                  <w:vAlign w:val="center"/>
                  <w:hideMark/>
                </w:tcPr>
                <w:p w14:paraId="410F60A5" w14:textId="77777777" w:rsidR="009972EF" w:rsidRPr="00037A46" w:rsidRDefault="009972EF" w:rsidP="009972EF">
                  <w:pPr>
                    <w:spacing w:before="0" w:after="0"/>
                    <w:ind w:left="0"/>
                    <w:jc w:val="left"/>
                    <w:rPr>
                      <w:rFonts w:ascii="Times New Roman" w:hAnsi="Times New Roman"/>
                      <w:lang w:val="nl-BE" w:eastAsia="nl-BE"/>
                    </w:rPr>
                  </w:pPr>
                </w:p>
              </w:tc>
              <w:tc>
                <w:tcPr>
                  <w:tcW w:w="938" w:type="dxa"/>
                  <w:tcBorders>
                    <w:top w:val="nil"/>
                    <w:left w:val="nil"/>
                    <w:bottom w:val="nil"/>
                    <w:right w:val="nil"/>
                  </w:tcBorders>
                  <w:vAlign w:val="center"/>
                  <w:hideMark/>
                </w:tcPr>
                <w:p w14:paraId="05FB5EF4" w14:textId="77777777" w:rsidR="009972EF" w:rsidRPr="00037A46" w:rsidRDefault="009972EF" w:rsidP="009972EF">
                  <w:pPr>
                    <w:spacing w:before="0" w:after="0"/>
                    <w:ind w:left="0"/>
                    <w:jc w:val="center"/>
                    <w:rPr>
                      <w:rFonts w:ascii="Times New Roman" w:hAnsi="Times New Roman"/>
                      <w:lang w:val="nl-BE" w:eastAsia="nl-BE"/>
                    </w:rPr>
                  </w:pPr>
                </w:p>
              </w:tc>
              <w:tc>
                <w:tcPr>
                  <w:tcW w:w="1402" w:type="dxa"/>
                  <w:gridSpan w:val="2"/>
                  <w:tcBorders>
                    <w:top w:val="nil"/>
                    <w:left w:val="nil"/>
                    <w:bottom w:val="nil"/>
                    <w:right w:val="nil"/>
                  </w:tcBorders>
                  <w:vAlign w:val="center"/>
                  <w:hideMark/>
                </w:tcPr>
                <w:p w14:paraId="17767549" w14:textId="77777777" w:rsidR="009972EF" w:rsidRPr="00037A46" w:rsidRDefault="009972EF" w:rsidP="009972EF">
                  <w:pPr>
                    <w:spacing w:before="0" w:after="0"/>
                    <w:ind w:left="0"/>
                    <w:rPr>
                      <w:rFonts w:ascii="Times New Roman" w:hAnsi="Times New Roman"/>
                      <w:lang w:val="nl-BE" w:eastAsia="nl-BE"/>
                    </w:rPr>
                  </w:pPr>
                </w:p>
              </w:tc>
            </w:tr>
            <w:tr w:rsidR="009972EF" w:rsidRPr="00037A46" w14:paraId="18896C67" w14:textId="77777777" w:rsidTr="003B2E38">
              <w:trPr>
                <w:trHeight w:val="300"/>
              </w:trPr>
              <w:tc>
                <w:tcPr>
                  <w:tcW w:w="8807" w:type="dxa"/>
                  <w:gridSpan w:val="5"/>
                  <w:tcBorders>
                    <w:top w:val="nil"/>
                    <w:left w:val="nil"/>
                    <w:bottom w:val="single" w:sz="4" w:space="0" w:color="auto"/>
                    <w:right w:val="nil"/>
                  </w:tcBorders>
                  <w:noWrap/>
                  <w:vAlign w:val="center"/>
                  <w:hideMark/>
                </w:tcPr>
                <w:p w14:paraId="1F83A624" w14:textId="77777777" w:rsidR="009972EF" w:rsidRPr="00037A46" w:rsidRDefault="009972EF" w:rsidP="009972EF">
                  <w:pPr>
                    <w:pStyle w:val="Kop3"/>
                    <w:numPr>
                      <w:ilvl w:val="0"/>
                      <w:numId w:val="117"/>
                    </w:numPr>
                    <w:rPr>
                      <w:rFonts w:cs="Arial"/>
                      <w:bCs/>
                      <w:color w:val="000000"/>
                      <w:lang w:val="nl-BE" w:eastAsia="nl-BE"/>
                    </w:rPr>
                  </w:pPr>
                  <w:bookmarkStart w:id="314" w:name="_Toc110948268"/>
                  <w:bookmarkStart w:id="315" w:name="_Toc152937483"/>
                  <w:bookmarkStart w:id="316" w:name="_Toc177724314"/>
                  <w:bookmarkStart w:id="317" w:name="_Toc177724981"/>
                  <w:bookmarkStart w:id="318" w:name="_Toc215739065"/>
                  <w:r w:rsidRPr="00037A46">
                    <w:t>Gemeentepersoneel</w:t>
                  </w:r>
                  <w:bookmarkEnd w:id="314"/>
                  <w:bookmarkEnd w:id="315"/>
                  <w:bookmarkEnd w:id="316"/>
                  <w:bookmarkEnd w:id="317"/>
                  <w:bookmarkEnd w:id="318"/>
                </w:p>
              </w:tc>
            </w:tr>
            <w:tr w:rsidR="009972EF" w:rsidRPr="00037A46" w14:paraId="5E88A95A"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6B105D2B"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lastRenderedPageBreak/>
                    <w:t>Algemeen directeur</w:t>
                  </w:r>
                </w:p>
              </w:tc>
              <w:tc>
                <w:tcPr>
                  <w:tcW w:w="2777" w:type="dxa"/>
                  <w:tcBorders>
                    <w:top w:val="nil"/>
                    <w:left w:val="nil"/>
                    <w:bottom w:val="single" w:sz="4" w:space="0" w:color="auto"/>
                    <w:right w:val="single" w:sz="4" w:space="0" w:color="auto"/>
                  </w:tcBorders>
                  <w:hideMark/>
                </w:tcPr>
                <w:p w14:paraId="6DD32BD6"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Decretale graad</w:t>
                  </w:r>
                </w:p>
              </w:tc>
              <w:tc>
                <w:tcPr>
                  <w:tcW w:w="2018" w:type="dxa"/>
                  <w:gridSpan w:val="2"/>
                  <w:tcBorders>
                    <w:top w:val="nil"/>
                    <w:left w:val="nil"/>
                    <w:bottom w:val="single" w:sz="4" w:space="0" w:color="auto"/>
                    <w:right w:val="single" w:sz="4" w:space="0" w:color="auto"/>
                  </w:tcBorders>
                  <w:vAlign w:val="center"/>
                  <w:hideMark/>
                </w:tcPr>
                <w:p w14:paraId="59459C43"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w:t>
                  </w:r>
                </w:p>
              </w:tc>
            </w:tr>
            <w:tr w:rsidR="009972EF" w:rsidRPr="00037A46" w14:paraId="5FAF323C"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3BD5DAEE"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Financieel directeur</w:t>
                  </w:r>
                </w:p>
              </w:tc>
              <w:tc>
                <w:tcPr>
                  <w:tcW w:w="2777" w:type="dxa"/>
                  <w:tcBorders>
                    <w:top w:val="nil"/>
                    <w:left w:val="nil"/>
                    <w:bottom w:val="single" w:sz="4" w:space="0" w:color="auto"/>
                    <w:right w:val="single" w:sz="4" w:space="0" w:color="auto"/>
                  </w:tcBorders>
                  <w:hideMark/>
                </w:tcPr>
                <w:p w14:paraId="163CB242"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Decretale graad</w:t>
                  </w:r>
                </w:p>
              </w:tc>
              <w:tc>
                <w:tcPr>
                  <w:tcW w:w="2018" w:type="dxa"/>
                  <w:gridSpan w:val="2"/>
                  <w:tcBorders>
                    <w:top w:val="nil"/>
                    <w:left w:val="nil"/>
                    <w:bottom w:val="single" w:sz="4" w:space="0" w:color="auto"/>
                    <w:right w:val="single" w:sz="4" w:space="0" w:color="auto"/>
                  </w:tcBorders>
                  <w:vAlign w:val="center"/>
                  <w:hideMark/>
                </w:tcPr>
                <w:p w14:paraId="318F40A1"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 -</w:t>
                  </w:r>
                </w:p>
              </w:tc>
            </w:tr>
            <w:tr w:rsidR="009972EF" w:rsidRPr="00037A46" w14:paraId="477FDD6D"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tcPr>
                <w:p w14:paraId="5F270827" w14:textId="77777777" w:rsidR="009972EF" w:rsidRPr="00D350B6" w:rsidRDefault="009972EF" w:rsidP="009972EF">
                  <w:pPr>
                    <w:spacing w:before="0" w:after="0"/>
                    <w:ind w:left="0"/>
                    <w:jc w:val="left"/>
                    <w:rPr>
                      <w:rFonts w:cs="Arial"/>
                      <w:color w:val="000000"/>
                      <w:lang w:val="nl-BE" w:eastAsia="nl-BE"/>
                    </w:rPr>
                  </w:pPr>
                  <w:r w:rsidRPr="00D350B6">
                    <w:rPr>
                      <w:rFonts w:cs="Arial"/>
                      <w:color w:val="000000"/>
                      <w:lang w:val="nl-BE" w:eastAsia="nl-BE"/>
                    </w:rPr>
                    <w:t>Clusterverantwoordelijke Ruimte</w:t>
                  </w:r>
                </w:p>
              </w:tc>
              <w:tc>
                <w:tcPr>
                  <w:tcW w:w="2777" w:type="dxa"/>
                  <w:tcBorders>
                    <w:top w:val="nil"/>
                    <w:left w:val="nil"/>
                    <w:bottom w:val="single" w:sz="4" w:space="0" w:color="auto"/>
                    <w:right w:val="single" w:sz="4" w:space="0" w:color="auto"/>
                  </w:tcBorders>
                </w:tcPr>
                <w:p w14:paraId="7770B0A2" w14:textId="77777777" w:rsidR="009972EF" w:rsidRPr="00D350B6" w:rsidRDefault="009972EF" w:rsidP="009972EF">
                  <w:pPr>
                    <w:spacing w:before="0" w:after="0"/>
                    <w:ind w:left="0"/>
                    <w:jc w:val="left"/>
                    <w:rPr>
                      <w:rFonts w:cs="Arial"/>
                      <w:color w:val="000000"/>
                      <w:lang w:val="nl-BE" w:eastAsia="nl-BE"/>
                    </w:rPr>
                  </w:pPr>
                  <w:r w:rsidRPr="00D350B6">
                    <w:rPr>
                      <w:rFonts w:cs="Arial"/>
                      <w:color w:val="000000"/>
                      <w:lang w:val="nl-BE" w:eastAsia="nl-BE"/>
                    </w:rPr>
                    <w:t>Clusterverantwoordelijke</w:t>
                  </w:r>
                </w:p>
              </w:tc>
              <w:tc>
                <w:tcPr>
                  <w:tcW w:w="2018" w:type="dxa"/>
                  <w:gridSpan w:val="2"/>
                  <w:tcBorders>
                    <w:top w:val="nil"/>
                    <w:left w:val="nil"/>
                    <w:bottom w:val="single" w:sz="4" w:space="0" w:color="auto"/>
                    <w:right w:val="single" w:sz="4" w:space="0" w:color="auto"/>
                  </w:tcBorders>
                  <w:vAlign w:val="center"/>
                </w:tcPr>
                <w:p w14:paraId="39352958" w14:textId="77777777" w:rsidR="009972EF" w:rsidRPr="00D350B6" w:rsidRDefault="009972EF" w:rsidP="009972EF">
                  <w:pPr>
                    <w:spacing w:before="0" w:after="0"/>
                    <w:ind w:left="0"/>
                    <w:jc w:val="left"/>
                    <w:rPr>
                      <w:rFonts w:cs="Arial"/>
                      <w:color w:val="000000"/>
                      <w:lang w:val="nl-BE" w:eastAsia="nl-BE"/>
                    </w:rPr>
                  </w:pPr>
                  <w:r w:rsidRPr="00D350B6">
                    <w:rPr>
                      <w:rFonts w:cs="Arial"/>
                      <w:color w:val="000000"/>
                      <w:lang w:val="nl-BE" w:eastAsia="nl-BE"/>
                    </w:rPr>
                    <w:t>A4a-A4b</w:t>
                  </w:r>
                </w:p>
              </w:tc>
            </w:tr>
            <w:tr w:rsidR="009972EF" w:rsidRPr="00037A46" w14:paraId="20786117"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tcPr>
                <w:p w14:paraId="0F5E6AE1" w14:textId="77777777" w:rsidR="009972EF" w:rsidRPr="00D350B6" w:rsidRDefault="009972EF" w:rsidP="009972EF">
                  <w:pPr>
                    <w:spacing w:before="0" w:after="0"/>
                    <w:ind w:left="0"/>
                    <w:jc w:val="left"/>
                    <w:rPr>
                      <w:rFonts w:cs="Arial"/>
                      <w:color w:val="000000"/>
                      <w:lang w:val="nl-BE" w:eastAsia="nl-BE"/>
                    </w:rPr>
                  </w:pPr>
                  <w:r w:rsidRPr="00D350B6">
                    <w:rPr>
                      <w:rFonts w:cs="Arial"/>
                      <w:color w:val="000000"/>
                      <w:lang w:val="nl-BE" w:eastAsia="nl-BE"/>
                    </w:rPr>
                    <w:t>Clusterverantwoordelijke Burger &amp; Vrije Tijd</w:t>
                  </w:r>
                </w:p>
              </w:tc>
              <w:tc>
                <w:tcPr>
                  <w:tcW w:w="2777" w:type="dxa"/>
                  <w:tcBorders>
                    <w:top w:val="nil"/>
                    <w:left w:val="nil"/>
                    <w:bottom w:val="single" w:sz="4" w:space="0" w:color="auto"/>
                    <w:right w:val="single" w:sz="4" w:space="0" w:color="auto"/>
                  </w:tcBorders>
                </w:tcPr>
                <w:p w14:paraId="3436E9C5" w14:textId="77777777" w:rsidR="009972EF" w:rsidRPr="00D350B6" w:rsidRDefault="009972EF" w:rsidP="009972EF">
                  <w:pPr>
                    <w:spacing w:before="0" w:after="0"/>
                    <w:ind w:left="0"/>
                    <w:jc w:val="left"/>
                    <w:rPr>
                      <w:rFonts w:cs="Arial"/>
                      <w:color w:val="000000"/>
                      <w:lang w:val="nl-BE" w:eastAsia="nl-BE"/>
                    </w:rPr>
                  </w:pPr>
                  <w:r w:rsidRPr="00D350B6">
                    <w:rPr>
                      <w:rFonts w:cs="Arial"/>
                      <w:color w:val="000000"/>
                      <w:lang w:val="nl-BE" w:eastAsia="nl-BE"/>
                    </w:rPr>
                    <w:t>Clusterverantwoordelijke</w:t>
                  </w:r>
                </w:p>
              </w:tc>
              <w:tc>
                <w:tcPr>
                  <w:tcW w:w="2018" w:type="dxa"/>
                  <w:gridSpan w:val="2"/>
                  <w:tcBorders>
                    <w:top w:val="nil"/>
                    <w:left w:val="nil"/>
                    <w:bottom w:val="single" w:sz="4" w:space="0" w:color="auto"/>
                    <w:right w:val="single" w:sz="4" w:space="0" w:color="auto"/>
                  </w:tcBorders>
                  <w:vAlign w:val="center"/>
                </w:tcPr>
                <w:p w14:paraId="39B2EE9A" w14:textId="77777777" w:rsidR="009972EF" w:rsidRPr="00D350B6" w:rsidRDefault="009972EF" w:rsidP="009972EF">
                  <w:pPr>
                    <w:spacing w:before="0" w:after="0"/>
                    <w:ind w:left="0"/>
                    <w:jc w:val="left"/>
                    <w:rPr>
                      <w:rFonts w:cs="Arial"/>
                      <w:color w:val="000000"/>
                      <w:lang w:val="nl-BE" w:eastAsia="nl-BE"/>
                    </w:rPr>
                  </w:pPr>
                  <w:r w:rsidRPr="00D350B6">
                    <w:rPr>
                      <w:rFonts w:cs="Arial"/>
                      <w:color w:val="000000"/>
                      <w:lang w:val="nl-BE" w:eastAsia="nl-BE"/>
                    </w:rPr>
                    <w:t>A4a-A4b</w:t>
                  </w:r>
                </w:p>
              </w:tc>
            </w:tr>
            <w:tr w:rsidR="009972EF" w:rsidRPr="00037A46" w14:paraId="59C55B83"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tcPr>
                <w:p w14:paraId="45316C59" w14:textId="77777777" w:rsidR="009972EF" w:rsidRPr="00D350B6" w:rsidRDefault="009972EF" w:rsidP="009972EF">
                  <w:pPr>
                    <w:spacing w:before="0" w:after="0"/>
                    <w:ind w:left="0"/>
                    <w:jc w:val="left"/>
                    <w:rPr>
                      <w:rFonts w:cs="Arial"/>
                      <w:color w:val="000000"/>
                      <w:lang w:val="nl-BE" w:eastAsia="nl-BE"/>
                    </w:rPr>
                  </w:pPr>
                  <w:r w:rsidRPr="00D350B6">
                    <w:rPr>
                      <w:rFonts w:cs="Arial"/>
                      <w:color w:val="000000"/>
                      <w:lang w:val="nl-BE" w:eastAsia="nl-BE"/>
                    </w:rPr>
                    <w:t>Clusterverantwoordelijke Interne Ondersteuning</w:t>
                  </w:r>
                </w:p>
              </w:tc>
              <w:tc>
                <w:tcPr>
                  <w:tcW w:w="2777" w:type="dxa"/>
                  <w:tcBorders>
                    <w:top w:val="nil"/>
                    <w:left w:val="nil"/>
                    <w:bottom w:val="single" w:sz="4" w:space="0" w:color="auto"/>
                    <w:right w:val="single" w:sz="4" w:space="0" w:color="auto"/>
                  </w:tcBorders>
                </w:tcPr>
                <w:p w14:paraId="141666A1" w14:textId="77777777" w:rsidR="009972EF" w:rsidRPr="00D350B6" w:rsidRDefault="009972EF" w:rsidP="009972EF">
                  <w:pPr>
                    <w:spacing w:before="0" w:after="0"/>
                    <w:ind w:left="0"/>
                    <w:jc w:val="left"/>
                    <w:rPr>
                      <w:rFonts w:cs="Arial"/>
                      <w:color w:val="000000"/>
                      <w:lang w:val="nl-BE" w:eastAsia="nl-BE"/>
                    </w:rPr>
                  </w:pPr>
                  <w:r w:rsidRPr="00D350B6">
                    <w:rPr>
                      <w:rFonts w:cs="Arial"/>
                      <w:color w:val="000000"/>
                      <w:lang w:val="nl-BE" w:eastAsia="nl-BE"/>
                    </w:rPr>
                    <w:t>Clusterverantwoordelijke</w:t>
                  </w:r>
                </w:p>
              </w:tc>
              <w:tc>
                <w:tcPr>
                  <w:tcW w:w="2018" w:type="dxa"/>
                  <w:gridSpan w:val="2"/>
                  <w:tcBorders>
                    <w:top w:val="nil"/>
                    <w:left w:val="nil"/>
                    <w:bottom w:val="single" w:sz="4" w:space="0" w:color="auto"/>
                    <w:right w:val="single" w:sz="4" w:space="0" w:color="auto"/>
                  </w:tcBorders>
                  <w:vAlign w:val="center"/>
                </w:tcPr>
                <w:p w14:paraId="3A6BEF3A" w14:textId="77777777" w:rsidR="009972EF" w:rsidRPr="00D350B6" w:rsidRDefault="009972EF" w:rsidP="009972EF">
                  <w:pPr>
                    <w:spacing w:before="0" w:after="0"/>
                    <w:ind w:left="0"/>
                    <w:jc w:val="left"/>
                    <w:rPr>
                      <w:rFonts w:cs="Arial"/>
                      <w:color w:val="000000"/>
                      <w:lang w:val="nl-BE" w:eastAsia="nl-BE"/>
                    </w:rPr>
                  </w:pPr>
                  <w:r w:rsidRPr="00D350B6">
                    <w:rPr>
                      <w:rFonts w:cs="Arial"/>
                      <w:color w:val="000000"/>
                      <w:lang w:val="nl-BE" w:eastAsia="nl-BE"/>
                    </w:rPr>
                    <w:t>A4a-A4b</w:t>
                  </w:r>
                </w:p>
              </w:tc>
            </w:tr>
            <w:tr w:rsidR="009972EF" w:rsidRPr="00037A46" w14:paraId="08C3E41F"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03548975"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r w:rsidRPr="00037A46">
                    <w:rPr>
                      <w:rFonts w:cs="Arial"/>
                      <w:color w:val="000000"/>
                      <w:lang w:val="nl-BE" w:eastAsia="nl-BE"/>
                    </w:rPr>
                    <w:t xml:space="preserve"> burgerzaken</w:t>
                  </w:r>
                </w:p>
              </w:tc>
              <w:tc>
                <w:tcPr>
                  <w:tcW w:w="2777" w:type="dxa"/>
                  <w:tcBorders>
                    <w:top w:val="nil"/>
                    <w:left w:val="nil"/>
                    <w:bottom w:val="single" w:sz="4" w:space="0" w:color="auto"/>
                    <w:right w:val="single" w:sz="4" w:space="0" w:color="auto"/>
                  </w:tcBorders>
                  <w:hideMark/>
                </w:tcPr>
                <w:p w14:paraId="5D2A1150"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p>
              </w:tc>
              <w:tc>
                <w:tcPr>
                  <w:tcW w:w="2018" w:type="dxa"/>
                  <w:gridSpan w:val="2"/>
                  <w:tcBorders>
                    <w:top w:val="nil"/>
                    <w:left w:val="nil"/>
                    <w:bottom w:val="single" w:sz="4" w:space="0" w:color="auto"/>
                    <w:right w:val="single" w:sz="4" w:space="0" w:color="auto"/>
                  </w:tcBorders>
                  <w:vAlign w:val="center"/>
                  <w:hideMark/>
                </w:tcPr>
                <w:p w14:paraId="31E712AA"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A1a-A3a</w:t>
                  </w:r>
                </w:p>
              </w:tc>
            </w:tr>
            <w:tr w:rsidR="009972EF" w:rsidRPr="00037A46" w14:paraId="2EADF8B6"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5E131D00"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r w:rsidRPr="00037A46">
                    <w:rPr>
                      <w:rFonts w:cs="Arial"/>
                      <w:color w:val="000000"/>
                      <w:lang w:val="nl-BE" w:eastAsia="nl-BE"/>
                    </w:rPr>
                    <w:t xml:space="preserve"> personeel </w:t>
                  </w:r>
                </w:p>
              </w:tc>
              <w:tc>
                <w:tcPr>
                  <w:tcW w:w="2777" w:type="dxa"/>
                  <w:tcBorders>
                    <w:top w:val="nil"/>
                    <w:left w:val="nil"/>
                    <w:bottom w:val="single" w:sz="4" w:space="0" w:color="auto"/>
                    <w:right w:val="single" w:sz="4" w:space="0" w:color="auto"/>
                  </w:tcBorders>
                  <w:hideMark/>
                </w:tcPr>
                <w:p w14:paraId="1E4C7B7E"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 xml:space="preserve">Teamverantwoordelijke </w:t>
                  </w:r>
                </w:p>
              </w:tc>
              <w:tc>
                <w:tcPr>
                  <w:tcW w:w="2018" w:type="dxa"/>
                  <w:gridSpan w:val="2"/>
                  <w:tcBorders>
                    <w:top w:val="nil"/>
                    <w:left w:val="nil"/>
                    <w:bottom w:val="single" w:sz="4" w:space="0" w:color="auto"/>
                    <w:right w:val="single" w:sz="4" w:space="0" w:color="auto"/>
                  </w:tcBorders>
                  <w:vAlign w:val="center"/>
                  <w:hideMark/>
                </w:tcPr>
                <w:p w14:paraId="772A593A"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A1a-A3a</w:t>
                  </w:r>
                </w:p>
              </w:tc>
            </w:tr>
            <w:tr w:rsidR="009972EF" w:rsidRPr="00037A46" w14:paraId="138DF277"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632B34A8"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r w:rsidRPr="00037A46">
                    <w:rPr>
                      <w:rFonts w:cs="Arial"/>
                      <w:color w:val="000000"/>
                      <w:lang w:val="nl-BE" w:eastAsia="nl-BE"/>
                    </w:rPr>
                    <w:t xml:space="preserve"> vrije tijd</w:t>
                  </w:r>
                </w:p>
              </w:tc>
              <w:tc>
                <w:tcPr>
                  <w:tcW w:w="2777" w:type="dxa"/>
                  <w:tcBorders>
                    <w:top w:val="nil"/>
                    <w:left w:val="nil"/>
                    <w:bottom w:val="single" w:sz="4" w:space="0" w:color="auto"/>
                    <w:right w:val="single" w:sz="4" w:space="0" w:color="auto"/>
                  </w:tcBorders>
                  <w:hideMark/>
                </w:tcPr>
                <w:p w14:paraId="0B90095F"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p>
              </w:tc>
              <w:tc>
                <w:tcPr>
                  <w:tcW w:w="2018" w:type="dxa"/>
                  <w:gridSpan w:val="2"/>
                  <w:tcBorders>
                    <w:top w:val="nil"/>
                    <w:left w:val="nil"/>
                    <w:bottom w:val="single" w:sz="4" w:space="0" w:color="auto"/>
                    <w:right w:val="single" w:sz="4" w:space="0" w:color="auto"/>
                  </w:tcBorders>
                  <w:vAlign w:val="center"/>
                  <w:hideMark/>
                </w:tcPr>
                <w:p w14:paraId="2FC42A0D"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A1a-A3a</w:t>
                  </w:r>
                </w:p>
              </w:tc>
            </w:tr>
            <w:tr w:rsidR="009972EF" w:rsidRPr="00037A46" w14:paraId="238EA6E4"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479B8C7B"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r w:rsidRPr="00037A46">
                    <w:rPr>
                      <w:rFonts w:cs="Arial"/>
                      <w:color w:val="000000"/>
                      <w:lang w:val="nl-BE" w:eastAsia="nl-BE"/>
                    </w:rPr>
                    <w:t xml:space="preserve"> bibliotheek</w:t>
                  </w:r>
                </w:p>
              </w:tc>
              <w:tc>
                <w:tcPr>
                  <w:tcW w:w="2777" w:type="dxa"/>
                  <w:tcBorders>
                    <w:top w:val="nil"/>
                    <w:left w:val="nil"/>
                    <w:bottom w:val="single" w:sz="4" w:space="0" w:color="auto"/>
                    <w:right w:val="single" w:sz="4" w:space="0" w:color="auto"/>
                  </w:tcBorders>
                  <w:hideMark/>
                </w:tcPr>
                <w:p w14:paraId="35692EF0"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p>
              </w:tc>
              <w:tc>
                <w:tcPr>
                  <w:tcW w:w="2018" w:type="dxa"/>
                  <w:gridSpan w:val="2"/>
                  <w:tcBorders>
                    <w:top w:val="nil"/>
                    <w:left w:val="nil"/>
                    <w:bottom w:val="single" w:sz="4" w:space="0" w:color="auto"/>
                    <w:right w:val="single" w:sz="4" w:space="0" w:color="auto"/>
                  </w:tcBorders>
                  <w:vAlign w:val="center"/>
                  <w:hideMark/>
                </w:tcPr>
                <w:p w14:paraId="1F3A8861"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A1a-A3a</w:t>
                  </w:r>
                </w:p>
              </w:tc>
            </w:tr>
            <w:tr w:rsidR="009972EF" w:rsidRPr="00037A46" w14:paraId="66A6CECD"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32A52E67"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r w:rsidRPr="00037A46">
                    <w:rPr>
                      <w:rFonts w:cs="Arial"/>
                      <w:color w:val="000000"/>
                      <w:lang w:val="nl-BE" w:eastAsia="nl-BE"/>
                    </w:rPr>
                    <w:t xml:space="preserve"> CC de Meent</w:t>
                  </w:r>
                </w:p>
              </w:tc>
              <w:tc>
                <w:tcPr>
                  <w:tcW w:w="2777" w:type="dxa"/>
                  <w:tcBorders>
                    <w:top w:val="nil"/>
                    <w:left w:val="nil"/>
                    <w:bottom w:val="single" w:sz="4" w:space="0" w:color="auto"/>
                    <w:right w:val="single" w:sz="4" w:space="0" w:color="auto"/>
                  </w:tcBorders>
                  <w:hideMark/>
                </w:tcPr>
                <w:p w14:paraId="05F1FA64"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p>
              </w:tc>
              <w:tc>
                <w:tcPr>
                  <w:tcW w:w="2018" w:type="dxa"/>
                  <w:gridSpan w:val="2"/>
                  <w:tcBorders>
                    <w:top w:val="nil"/>
                    <w:left w:val="nil"/>
                    <w:bottom w:val="single" w:sz="4" w:space="0" w:color="auto"/>
                    <w:right w:val="single" w:sz="4" w:space="0" w:color="auto"/>
                  </w:tcBorders>
                  <w:vAlign w:val="center"/>
                  <w:hideMark/>
                </w:tcPr>
                <w:p w14:paraId="2F1F810E"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A1a-A3a</w:t>
                  </w:r>
                </w:p>
              </w:tc>
            </w:tr>
            <w:tr w:rsidR="009972EF" w:rsidRPr="00037A46" w14:paraId="54DFCBA6"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28586AB6"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r w:rsidRPr="00037A46">
                    <w:rPr>
                      <w:rFonts w:cs="Arial"/>
                      <w:color w:val="000000"/>
                      <w:lang w:val="nl-BE" w:eastAsia="nl-BE"/>
                    </w:rPr>
                    <w:t xml:space="preserve"> </w:t>
                  </w:r>
                  <w:r>
                    <w:rPr>
                      <w:rFonts w:cs="Arial"/>
                      <w:color w:val="000000"/>
                      <w:lang w:val="nl-BE" w:eastAsia="nl-BE"/>
                    </w:rPr>
                    <w:t>ruimtelijke planning &amp; vergunningen</w:t>
                  </w:r>
                </w:p>
              </w:tc>
              <w:tc>
                <w:tcPr>
                  <w:tcW w:w="2777" w:type="dxa"/>
                  <w:tcBorders>
                    <w:top w:val="nil"/>
                    <w:left w:val="nil"/>
                    <w:bottom w:val="single" w:sz="4" w:space="0" w:color="auto"/>
                    <w:right w:val="single" w:sz="4" w:space="0" w:color="auto"/>
                  </w:tcBorders>
                  <w:hideMark/>
                </w:tcPr>
                <w:p w14:paraId="63029298"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p>
              </w:tc>
              <w:tc>
                <w:tcPr>
                  <w:tcW w:w="2018" w:type="dxa"/>
                  <w:gridSpan w:val="2"/>
                  <w:tcBorders>
                    <w:top w:val="nil"/>
                    <w:left w:val="nil"/>
                    <w:bottom w:val="single" w:sz="4" w:space="0" w:color="auto"/>
                    <w:right w:val="single" w:sz="4" w:space="0" w:color="auto"/>
                  </w:tcBorders>
                  <w:vAlign w:val="center"/>
                  <w:hideMark/>
                </w:tcPr>
                <w:p w14:paraId="74BEC02F"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A1a-A3a</w:t>
                  </w:r>
                </w:p>
              </w:tc>
            </w:tr>
            <w:tr w:rsidR="009972EF" w:rsidRPr="00037A46" w14:paraId="4B570982"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289493D2"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r w:rsidRPr="00037A46">
                    <w:rPr>
                      <w:rFonts w:cs="Arial"/>
                      <w:color w:val="000000"/>
                      <w:lang w:val="nl-BE" w:eastAsia="nl-BE"/>
                    </w:rPr>
                    <w:t xml:space="preserve"> openbare werken</w:t>
                  </w:r>
                  <w:r>
                    <w:rPr>
                      <w:rFonts w:cs="Arial"/>
                      <w:color w:val="000000"/>
                      <w:lang w:val="nl-BE" w:eastAsia="nl-BE"/>
                    </w:rPr>
                    <w:t xml:space="preserve"> &amp; mobiliteit</w:t>
                  </w:r>
                </w:p>
              </w:tc>
              <w:tc>
                <w:tcPr>
                  <w:tcW w:w="2777" w:type="dxa"/>
                  <w:tcBorders>
                    <w:top w:val="nil"/>
                    <w:left w:val="nil"/>
                    <w:bottom w:val="single" w:sz="4" w:space="0" w:color="auto"/>
                    <w:right w:val="single" w:sz="4" w:space="0" w:color="auto"/>
                  </w:tcBorders>
                  <w:hideMark/>
                </w:tcPr>
                <w:p w14:paraId="66F7A412"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p>
              </w:tc>
              <w:tc>
                <w:tcPr>
                  <w:tcW w:w="2018" w:type="dxa"/>
                  <w:gridSpan w:val="2"/>
                  <w:tcBorders>
                    <w:top w:val="nil"/>
                    <w:left w:val="nil"/>
                    <w:bottom w:val="single" w:sz="4" w:space="0" w:color="auto"/>
                    <w:right w:val="single" w:sz="4" w:space="0" w:color="auto"/>
                  </w:tcBorders>
                  <w:vAlign w:val="center"/>
                  <w:hideMark/>
                </w:tcPr>
                <w:p w14:paraId="455E3D00"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A1a-A3a</w:t>
                  </w:r>
                </w:p>
              </w:tc>
            </w:tr>
            <w:tr w:rsidR="009972EF" w:rsidRPr="00037A46" w14:paraId="60CD0110"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tcPr>
                <w:p w14:paraId="65149844"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r w:rsidRPr="00037A46">
                    <w:rPr>
                      <w:rFonts w:cs="Arial"/>
                      <w:color w:val="000000"/>
                      <w:lang w:val="nl-BE" w:eastAsia="nl-BE"/>
                    </w:rPr>
                    <w:t xml:space="preserve"> patrimonium</w:t>
                  </w:r>
                </w:p>
              </w:tc>
              <w:tc>
                <w:tcPr>
                  <w:tcW w:w="2777" w:type="dxa"/>
                  <w:tcBorders>
                    <w:top w:val="nil"/>
                    <w:left w:val="nil"/>
                    <w:bottom w:val="single" w:sz="4" w:space="0" w:color="auto"/>
                    <w:right w:val="single" w:sz="4" w:space="0" w:color="auto"/>
                  </w:tcBorders>
                </w:tcPr>
                <w:p w14:paraId="622252F3"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p>
              </w:tc>
              <w:tc>
                <w:tcPr>
                  <w:tcW w:w="2018" w:type="dxa"/>
                  <w:gridSpan w:val="2"/>
                  <w:tcBorders>
                    <w:top w:val="nil"/>
                    <w:left w:val="nil"/>
                    <w:bottom w:val="single" w:sz="4" w:space="0" w:color="auto"/>
                    <w:right w:val="single" w:sz="4" w:space="0" w:color="auto"/>
                  </w:tcBorders>
                  <w:vAlign w:val="center"/>
                </w:tcPr>
                <w:p w14:paraId="59D523D8"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A1a-A3a</w:t>
                  </w:r>
                </w:p>
              </w:tc>
            </w:tr>
            <w:tr w:rsidR="009972EF" w:rsidRPr="00037A46" w14:paraId="3833D9A6"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33AEBCB9"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r w:rsidRPr="00037A46">
                    <w:rPr>
                      <w:rFonts w:cs="Arial"/>
                      <w:color w:val="000000"/>
                      <w:lang w:val="nl-BE" w:eastAsia="nl-BE"/>
                    </w:rPr>
                    <w:t xml:space="preserve"> technische uitvoeringsdiensten</w:t>
                  </w:r>
                </w:p>
              </w:tc>
              <w:tc>
                <w:tcPr>
                  <w:tcW w:w="2777" w:type="dxa"/>
                  <w:tcBorders>
                    <w:top w:val="nil"/>
                    <w:left w:val="nil"/>
                    <w:bottom w:val="single" w:sz="4" w:space="0" w:color="auto"/>
                    <w:right w:val="single" w:sz="4" w:space="0" w:color="auto"/>
                  </w:tcBorders>
                  <w:hideMark/>
                </w:tcPr>
                <w:p w14:paraId="518ACCFD"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p>
              </w:tc>
              <w:tc>
                <w:tcPr>
                  <w:tcW w:w="2018" w:type="dxa"/>
                  <w:gridSpan w:val="2"/>
                  <w:tcBorders>
                    <w:top w:val="nil"/>
                    <w:left w:val="nil"/>
                    <w:bottom w:val="single" w:sz="4" w:space="0" w:color="auto"/>
                    <w:right w:val="single" w:sz="4" w:space="0" w:color="auto"/>
                  </w:tcBorders>
                  <w:vAlign w:val="center"/>
                  <w:hideMark/>
                </w:tcPr>
                <w:p w14:paraId="54E6E033"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A1a-A3a</w:t>
                  </w:r>
                </w:p>
              </w:tc>
            </w:tr>
            <w:tr w:rsidR="009972EF" w:rsidRPr="00037A46" w14:paraId="0A4FAB32"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383175F8"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r w:rsidRPr="00037A46">
                    <w:rPr>
                      <w:rFonts w:cs="Arial"/>
                      <w:color w:val="000000"/>
                      <w:lang w:val="nl-BE" w:eastAsia="nl-BE"/>
                    </w:rPr>
                    <w:t xml:space="preserve"> milieu</w:t>
                  </w:r>
                  <w:r>
                    <w:rPr>
                      <w:rFonts w:cs="Arial"/>
                      <w:color w:val="000000"/>
                      <w:lang w:val="nl-BE" w:eastAsia="nl-BE"/>
                    </w:rPr>
                    <w:t>, groen &amp; duurzaamheid</w:t>
                  </w:r>
                </w:p>
              </w:tc>
              <w:tc>
                <w:tcPr>
                  <w:tcW w:w="2777" w:type="dxa"/>
                  <w:tcBorders>
                    <w:top w:val="nil"/>
                    <w:left w:val="nil"/>
                    <w:bottom w:val="single" w:sz="4" w:space="0" w:color="auto"/>
                    <w:right w:val="single" w:sz="4" w:space="0" w:color="auto"/>
                  </w:tcBorders>
                  <w:hideMark/>
                </w:tcPr>
                <w:p w14:paraId="5C877B91"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p>
              </w:tc>
              <w:tc>
                <w:tcPr>
                  <w:tcW w:w="2018" w:type="dxa"/>
                  <w:gridSpan w:val="2"/>
                  <w:tcBorders>
                    <w:top w:val="nil"/>
                    <w:left w:val="nil"/>
                    <w:bottom w:val="single" w:sz="4" w:space="0" w:color="auto"/>
                    <w:right w:val="single" w:sz="4" w:space="0" w:color="auto"/>
                  </w:tcBorders>
                  <w:vAlign w:val="center"/>
                  <w:hideMark/>
                </w:tcPr>
                <w:p w14:paraId="549C46A9"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A1a-A3a</w:t>
                  </w:r>
                </w:p>
              </w:tc>
            </w:tr>
            <w:tr w:rsidR="009972EF" w:rsidRPr="00037A46" w14:paraId="3C1A605B"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2D6762EC"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r w:rsidRPr="00037A46">
                    <w:rPr>
                      <w:rFonts w:cs="Arial"/>
                      <w:color w:val="000000"/>
                      <w:lang w:val="nl-BE" w:eastAsia="nl-BE"/>
                    </w:rPr>
                    <w:t xml:space="preserve"> </w:t>
                  </w:r>
                  <w:r>
                    <w:rPr>
                      <w:rFonts w:cs="Arial"/>
                      <w:color w:val="000000"/>
                      <w:lang w:val="nl-BE" w:eastAsia="nl-BE"/>
                    </w:rPr>
                    <w:t>ICT</w:t>
                  </w:r>
                  <w:r w:rsidRPr="00037A46">
                    <w:rPr>
                      <w:rFonts w:cs="Arial"/>
                      <w:color w:val="000000"/>
                      <w:lang w:val="nl-BE" w:eastAsia="nl-BE"/>
                    </w:rPr>
                    <w:t xml:space="preserve"> en </w:t>
                  </w:r>
                  <w:r w:rsidRPr="00037A46">
                    <w:rPr>
                      <w:rFonts w:cs="Arial"/>
                      <w:color w:val="000000"/>
                      <w:lang w:val="nl-BE" w:eastAsia="nl-BE"/>
                    </w:rPr>
                    <w:br/>
                    <w:t>gegevensbeheer</w:t>
                  </w:r>
                </w:p>
              </w:tc>
              <w:tc>
                <w:tcPr>
                  <w:tcW w:w="2777" w:type="dxa"/>
                  <w:tcBorders>
                    <w:top w:val="nil"/>
                    <w:left w:val="nil"/>
                    <w:bottom w:val="single" w:sz="4" w:space="0" w:color="auto"/>
                    <w:right w:val="single" w:sz="4" w:space="0" w:color="auto"/>
                  </w:tcBorders>
                  <w:hideMark/>
                </w:tcPr>
                <w:p w14:paraId="724AD5B1"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p>
              </w:tc>
              <w:tc>
                <w:tcPr>
                  <w:tcW w:w="2018" w:type="dxa"/>
                  <w:gridSpan w:val="2"/>
                  <w:tcBorders>
                    <w:top w:val="nil"/>
                    <w:left w:val="nil"/>
                    <w:bottom w:val="single" w:sz="4" w:space="0" w:color="auto"/>
                    <w:right w:val="single" w:sz="4" w:space="0" w:color="auto"/>
                  </w:tcBorders>
                  <w:vAlign w:val="center"/>
                  <w:hideMark/>
                </w:tcPr>
                <w:p w14:paraId="3BF4DEF6"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A1a-A3a</w:t>
                  </w:r>
                </w:p>
              </w:tc>
            </w:tr>
            <w:tr w:rsidR="009972EF" w:rsidRPr="00037A46" w14:paraId="1CDE0F78"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tcPr>
                <w:p w14:paraId="5AEF467E"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r w:rsidRPr="00037A46">
                    <w:rPr>
                      <w:rFonts w:cs="Arial"/>
                      <w:color w:val="000000"/>
                      <w:lang w:val="nl-BE" w:eastAsia="nl-BE"/>
                    </w:rPr>
                    <w:t xml:space="preserve"> aankoop</w:t>
                  </w:r>
                  <w:r>
                    <w:rPr>
                      <w:rFonts w:cs="Arial"/>
                      <w:color w:val="000000"/>
                      <w:lang w:val="nl-BE" w:eastAsia="nl-BE"/>
                    </w:rPr>
                    <w:t>, contracten &amp; facility</w:t>
                  </w:r>
                </w:p>
              </w:tc>
              <w:tc>
                <w:tcPr>
                  <w:tcW w:w="2777" w:type="dxa"/>
                  <w:tcBorders>
                    <w:top w:val="single" w:sz="4" w:space="0" w:color="auto"/>
                    <w:left w:val="nil"/>
                    <w:bottom w:val="single" w:sz="4" w:space="0" w:color="auto"/>
                    <w:right w:val="single" w:sz="4" w:space="0" w:color="auto"/>
                  </w:tcBorders>
                </w:tcPr>
                <w:p w14:paraId="28703BE6"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p>
              </w:tc>
              <w:tc>
                <w:tcPr>
                  <w:tcW w:w="2018" w:type="dxa"/>
                  <w:gridSpan w:val="2"/>
                  <w:tcBorders>
                    <w:top w:val="single" w:sz="4" w:space="0" w:color="auto"/>
                    <w:left w:val="nil"/>
                    <w:bottom w:val="single" w:sz="4" w:space="0" w:color="auto"/>
                    <w:right w:val="single" w:sz="4" w:space="0" w:color="auto"/>
                  </w:tcBorders>
                  <w:vAlign w:val="center"/>
                </w:tcPr>
                <w:p w14:paraId="74B69E26"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A1a-A3a</w:t>
                  </w:r>
                </w:p>
              </w:tc>
            </w:tr>
            <w:tr w:rsidR="009972EF" w:rsidRPr="00037A46" w14:paraId="4E3B1E78"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tcPr>
                <w:p w14:paraId="0E042538"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 xml:space="preserve">Stafmedewerker ruimtelijke planning </w:t>
                  </w:r>
                </w:p>
              </w:tc>
              <w:tc>
                <w:tcPr>
                  <w:tcW w:w="2777" w:type="dxa"/>
                  <w:tcBorders>
                    <w:top w:val="single" w:sz="4" w:space="0" w:color="auto"/>
                    <w:left w:val="nil"/>
                    <w:bottom w:val="single" w:sz="4" w:space="0" w:color="auto"/>
                    <w:right w:val="single" w:sz="4" w:space="0" w:color="auto"/>
                  </w:tcBorders>
                </w:tcPr>
                <w:p w14:paraId="501498C7"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Beleidsadviseur</w:t>
                  </w:r>
                </w:p>
              </w:tc>
              <w:tc>
                <w:tcPr>
                  <w:tcW w:w="2018" w:type="dxa"/>
                  <w:gridSpan w:val="2"/>
                  <w:tcBorders>
                    <w:top w:val="single" w:sz="4" w:space="0" w:color="auto"/>
                    <w:left w:val="nil"/>
                    <w:bottom w:val="single" w:sz="4" w:space="0" w:color="auto"/>
                    <w:right w:val="single" w:sz="4" w:space="0" w:color="auto"/>
                  </w:tcBorders>
                  <w:vAlign w:val="center"/>
                </w:tcPr>
                <w:p w14:paraId="4135F66A"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A1a-A3a</w:t>
                  </w:r>
                </w:p>
              </w:tc>
            </w:tr>
            <w:tr w:rsidR="009972EF" w:rsidRPr="00037A46" w14:paraId="025CE5BB"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tcPr>
                <w:p w14:paraId="4D0CB2E4"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Projectmanager patrimonium</w:t>
                  </w:r>
                </w:p>
              </w:tc>
              <w:tc>
                <w:tcPr>
                  <w:tcW w:w="2777" w:type="dxa"/>
                  <w:tcBorders>
                    <w:top w:val="single" w:sz="4" w:space="0" w:color="auto"/>
                    <w:left w:val="nil"/>
                    <w:bottom w:val="single" w:sz="4" w:space="0" w:color="auto"/>
                    <w:right w:val="single" w:sz="4" w:space="0" w:color="auto"/>
                  </w:tcBorders>
                </w:tcPr>
                <w:p w14:paraId="7B37B1BC"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Beleidsadviseur</w:t>
                  </w:r>
                </w:p>
              </w:tc>
              <w:tc>
                <w:tcPr>
                  <w:tcW w:w="2018" w:type="dxa"/>
                  <w:gridSpan w:val="2"/>
                  <w:tcBorders>
                    <w:top w:val="single" w:sz="4" w:space="0" w:color="auto"/>
                    <w:left w:val="nil"/>
                    <w:bottom w:val="single" w:sz="4" w:space="0" w:color="auto"/>
                    <w:right w:val="single" w:sz="4" w:space="0" w:color="auto"/>
                  </w:tcBorders>
                  <w:vAlign w:val="center"/>
                </w:tcPr>
                <w:p w14:paraId="22AA827E"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A1a-A3a</w:t>
                  </w:r>
                </w:p>
              </w:tc>
            </w:tr>
            <w:tr w:rsidR="009972EF" w:rsidRPr="00037A46" w14:paraId="6942379E"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tcPr>
                <w:p w14:paraId="40E5F520"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Expert Ruimtelijke planning &amp; vergunningen</w:t>
                  </w:r>
                </w:p>
              </w:tc>
              <w:tc>
                <w:tcPr>
                  <w:tcW w:w="2777" w:type="dxa"/>
                  <w:tcBorders>
                    <w:top w:val="single" w:sz="4" w:space="0" w:color="auto"/>
                    <w:left w:val="nil"/>
                    <w:bottom w:val="single" w:sz="4" w:space="0" w:color="auto"/>
                    <w:right w:val="single" w:sz="4" w:space="0" w:color="auto"/>
                  </w:tcBorders>
                </w:tcPr>
                <w:p w14:paraId="50F99D53" w14:textId="77777777" w:rsidR="009972EF" w:rsidRPr="00037A46"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Beleidsadviseur</w:t>
                  </w:r>
                </w:p>
                <w:p w14:paraId="13155BB0" w14:textId="77777777" w:rsidR="009972EF" w:rsidRPr="00037A46" w:rsidRDefault="009972EF" w:rsidP="009972EF">
                  <w:pPr>
                    <w:spacing w:before="0" w:after="0"/>
                    <w:ind w:left="0"/>
                    <w:jc w:val="left"/>
                    <w:rPr>
                      <w:rFonts w:cs="Arial"/>
                      <w:color w:val="000000"/>
                      <w:lang w:val="nl-BE" w:eastAsia="nl-BE"/>
                    </w:rPr>
                  </w:pPr>
                </w:p>
              </w:tc>
              <w:tc>
                <w:tcPr>
                  <w:tcW w:w="2018" w:type="dxa"/>
                  <w:gridSpan w:val="2"/>
                  <w:tcBorders>
                    <w:top w:val="single" w:sz="4" w:space="0" w:color="auto"/>
                    <w:left w:val="nil"/>
                    <w:bottom w:val="single" w:sz="4" w:space="0" w:color="auto"/>
                    <w:right w:val="single" w:sz="4" w:space="0" w:color="auto"/>
                  </w:tcBorders>
                  <w:vAlign w:val="center"/>
                </w:tcPr>
                <w:p w14:paraId="356B1CF2"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A1a-A3a</w:t>
                  </w:r>
                </w:p>
              </w:tc>
            </w:tr>
            <w:tr w:rsidR="009972EF" w14:paraId="2F6C7910"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tcPr>
                <w:p w14:paraId="2C5CA215"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Expert informatiebeheer</w:t>
                  </w:r>
                </w:p>
              </w:tc>
              <w:tc>
                <w:tcPr>
                  <w:tcW w:w="2777" w:type="dxa"/>
                  <w:tcBorders>
                    <w:top w:val="single" w:sz="4" w:space="0" w:color="auto"/>
                    <w:left w:val="nil"/>
                    <w:bottom w:val="single" w:sz="4" w:space="0" w:color="auto"/>
                    <w:right w:val="single" w:sz="4" w:space="0" w:color="auto"/>
                  </w:tcBorders>
                </w:tcPr>
                <w:p w14:paraId="78C2D8DE"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Beleidsadviseur</w:t>
                  </w:r>
                </w:p>
                <w:p w14:paraId="6606A34C" w14:textId="77777777" w:rsidR="009972EF" w:rsidRDefault="009972EF" w:rsidP="009972EF">
                  <w:pPr>
                    <w:spacing w:before="0" w:after="0" w:line="259" w:lineRule="auto"/>
                    <w:ind w:left="0"/>
                    <w:jc w:val="left"/>
                    <w:rPr>
                      <w:rFonts w:cs="Arial"/>
                      <w:color w:val="000000" w:themeColor="text1"/>
                      <w:lang w:val="nl-BE" w:eastAsia="nl-BE"/>
                    </w:rPr>
                  </w:pPr>
                </w:p>
              </w:tc>
              <w:tc>
                <w:tcPr>
                  <w:tcW w:w="2018" w:type="dxa"/>
                  <w:gridSpan w:val="2"/>
                  <w:tcBorders>
                    <w:top w:val="single" w:sz="4" w:space="0" w:color="auto"/>
                    <w:left w:val="nil"/>
                    <w:bottom w:val="single" w:sz="4" w:space="0" w:color="auto"/>
                    <w:right w:val="single" w:sz="4" w:space="0" w:color="auto"/>
                  </w:tcBorders>
                  <w:vAlign w:val="center"/>
                </w:tcPr>
                <w:p w14:paraId="27B3951E"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A1a-A3a</w:t>
                  </w:r>
                </w:p>
              </w:tc>
            </w:tr>
            <w:tr w:rsidR="009972EF" w14:paraId="1E0D1AD2"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tcPr>
                <w:p w14:paraId="6F6D3A7E"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Expert juridisch advies en beleidsondersteuning</w:t>
                  </w:r>
                </w:p>
              </w:tc>
              <w:tc>
                <w:tcPr>
                  <w:tcW w:w="2777" w:type="dxa"/>
                  <w:tcBorders>
                    <w:top w:val="single" w:sz="4" w:space="0" w:color="auto"/>
                    <w:left w:val="nil"/>
                    <w:bottom w:val="single" w:sz="4" w:space="0" w:color="auto"/>
                    <w:right w:val="single" w:sz="4" w:space="0" w:color="auto"/>
                  </w:tcBorders>
                </w:tcPr>
                <w:p w14:paraId="4C69F241"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Beleidsadviseur</w:t>
                  </w:r>
                </w:p>
                <w:p w14:paraId="177F7278" w14:textId="77777777" w:rsidR="009972EF" w:rsidRDefault="009972EF" w:rsidP="009972EF">
                  <w:pPr>
                    <w:spacing w:before="0" w:after="0" w:line="259" w:lineRule="auto"/>
                    <w:ind w:left="0"/>
                    <w:jc w:val="left"/>
                    <w:rPr>
                      <w:rFonts w:cs="Arial"/>
                      <w:color w:val="000000" w:themeColor="text1"/>
                      <w:lang w:val="nl-BE" w:eastAsia="nl-BE"/>
                    </w:rPr>
                  </w:pPr>
                </w:p>
              </w:tc>
              <w:tc>
                <w:tcPr>
                  <w:tcW w:w="2018" w:type="dxa"/>
                  <w:gridSpan w:val="2"/>
                  <w:tcBorders>
                    <w:top w:val="single" w:sz="4" w:space="0" w:color="auto"/>
                    <w:left w:val="nil"/>
                    <w:bottom w:val="single" w:sz="4" w:space="0" w:color="auto"/>
                    <w:right w:val="single" w:sz="4" w:space="0" w:color="auto"/>
                  </w:tcBorders>
                  <w:vAlign w:val="center"/>
                </w:tcPr>
                <w:p w14:paraId="0F572AAE"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A1a-A3a</w:t>
                  </w:r>
                </w:p>
              </w:tc>
            </w:tr>
            <w:tr w:rsidR="009972EF" w14:paraId="1985AD8E"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tcPr>
                <w:p w14:paraId="77CABA4F"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Financieel deskundige</w:t>
                  </w:r>
                </w:p>
              </w:tc>
              <w:tc>
                <w:tcPr>
                  <w:tcW w:w="2777" w:type="dxa"/>
                  <w:tcBorders>
                    <w:top w:val="single" w:sz="4" w:space="0" w:color="auto"/>
                    <w:left w:val="nil"/>
                    <w:bottom w:val="single" w:sz="4" w:space="0" w:color="auto"/>
                    <w:right w:val="single" w:sz="4" w:space="0" w:color="auto"/>
                  </w:tcBorders>
                </w:tcPr>
                <w:p w14:paraId="375A689A"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Beleidsadviseur</w:t>
                  </w:r>
                </w:p>
              </w:tc>
              <w:tc>
                <w:tcPr>
                  <w:tcW w:w="2018" w:type="dxa"/>
                  <w:gridSpan w:val="2"/>
                  <w:tcBorders>
                    <w:top w:val="single" w:sz="4" w:space="0" w:color="auto"/>
                    <w:left w:val="nil"/>
                    <w:bottom w:val="single" w:sz="4" w:space="0" w:color="auto"/>
                    <w:right w:val="single" w:sz="4" w:space="0" w:color="auto"/>
                  </w:tcBorders>
                  <w:vAlign w:val="center"/>
                </w:tcPr>
                <w:p w14:paraId="226BB82F" w14:textId="77777777" w:rsidR="009972EF" w:rsidRDefault="009972EF" w:rsidP="009972EF">
                  <w:pPr>
                    <w:spacing w:before="0" w:after="0" w:line="259" w:lineRule="auto"/>
                    <w:ind w:left="0"/>
                    <w:jc w:val="left"/>
                  </w:pPr>
                  <w:r w:rsidRPr="3D49E98B">
                    <w:rPr>
                      <w:rFonts w:cs="Arial"/>
                      <w:color w:val="000000" w:themeColor="text1"/>
                      <w:lang w:val="nl-BE" w:eastAsia="nl-BE"/>
                    </w:rPr>
                    <w:t>A1a-A3a</w:t>
                  </w:r>
                </w:p>
              </w:tc>
            </w:tr>
            <w:tr w:rsidR="009972EF" w:rsidRPr="00037A46" w14:paraId="78F93917"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tcPr>
                <w:p w14:paraId="385FE931"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 Veiligheid en evenementen</w:t>
                  </w:r>
                </w:p>
              </w:tc>
              <w:tc>
                <w:tcPr>
                  <w:tcW w:w="2777" w:type="dxa"/>
                  <w:tcBorders>
                    <w:top w:val="single" w:sz="4" w:space="0" w:color="auto"/>
                    <w:left w:val="nil"/>
                    <w:bottom w:val="single" w:sz="4" w:space="0" w:color="auto"/>
                    <w:right w:val="single" w:sz="4" w:space="0" w:color="auto"/>
                  </w:tcBorders>
                </w:tcPr>
                <w:p w14:paraId="5281D703" w14:textId="77777777" w:rsidR="009972EF" w:rsidRPr="00037A46" w:rsidRDefault="009972EF" w:rsidP="009972EF">
                  <w:pPr>
                    <w:spacing w:before="0" w:after="0"/>
                    <w:ind w:left="0"/>
                    <w:jc w:val="left"/>
                    <w:rPr>
                      <w:rFonts w:cs="Arial"/>
                      <w:color w:val="000000"/>
                      <w:lang w:val="nl-BE" w:eastAsia="nl-BE"/>
                    </w:rPr>
                  </w:pPr>
                  <w:r w:rsidRPr="00831F5A">
                    <w:rPr>
                      <w:rFonts w:cs="Arial"/>
                      <w:color w:val="000000"/>
                      <w:lang w:val="nl-BE" w:eastAsia="nl-BE"/>
                    </w:rPr>
                    <w:t>Coördinator</w:t>
                  </w:r>
                </w:p>
              </w:tc>
              <w:tc>
                <w:tcPr>
                  <w:tcW w:w="2018" w:type="dxa"/>
                  <w:gridSpan w:val="2"/>
                  <w:tcBorders>
                    <w:top w:val="single" w:sz="4" w:space="0" w:color="auto"/>
                    <w:left w:val="nil"/>
                    <w:bottom w:val="single" w:sz="4" w:space="0" w:color="auto"/>
                    <w:right w:val="single" w:sz="4" w:space="0" w:color="auto"/>
                  </w:tcBorders>
                  <w:vAlign w:val="center"/>
                </w:tcPr>
                <w:p w14:paraId="5A22829A"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B4-B5</w:t>
                  </w:r>
                </w:p>
              </w:tc>
            </w:tr>
            <w:tr w:rsidR="009972EF" w:rsidRPr="00037A46" w14:paraId="41C868ED"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tcPr>
                <w:p w14:paraId="0C101DD2"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Teamverantwoordelijke ICT en gegevensbeheer</w:t>
                  </w:r>
                </w:p>
              </w:tc>
              <w:tc>
                <w:tcPr>
                  <w:tcW w:w="2777" w:type="dxa"/>
                  <w:tcBorders>
                    <w:top w:val="single" w:sz="4" w:space="0" w:color="auto"/>
                    <w:left w:val="nil"/>
                    <w:bottom w:val="single" w:sz="4" w:space="0" w:color="auto"/>
                    <w:right w:val="single" w:sz="4" w:space="0" w:color="auto"/>
                  </w:tcBorders>
                </w:tcPr>
                <w:p w14:paraId="6154BB82"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Coördinator</w:t>
                  </w:r>
                </w:p>
              </w:tc>
              <w:tc>
                <w:tcPr>
                  <w:tcW w:w="2018" w:type="dxa"/>
                  <w:gridSpan w:val="2"/>
                  <w:tcBorders>
                    <w:top w:val="single" w:sz="4" w:space="0" w:color="auto"/>
                    <w:left w:val="nil"/>
                    <w:bottom w:val="single" w:sz="4" w:space="0" w:color="auto"/>
                    <w:right w:val="single" w:sz="4" w:space="0" w:color="auto"/>
                  </w:tcBorders>
                  <w:vAlign w:val="center"/>
                </w:tcPr>
                <w:p w14:paraId="0AAA493D"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B4-B5</w:t>
                  </w:r>
                </w:p>
              </w:tc>
            </w:tr>
            <w:tr w:rsidR="009972EF" w:rsidRPr="00037A46" w14:paraId="5F177D49"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tcPr>
                <w:p w14:paraId="406E15AD"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facility</w:t>
                  </w:r>
                </w:p>
              </w:tc>
              <w:tc>
                <w:tcPr>
                  <w:tcW w:w="2777" w:type="dxa"/>
                  <w:tcBorders>
                    <w:top w:val="single" w:sz="4" w:space="0" w:color="auto"/>
                    <w:left w:val="nil"/>
                    <w:bottom w:val="single" w:sz="4" w:space="0" w:color="auto"/>
                    <w:right w:val="single" w:sz="4" w:space="0" w:color="auto"/>
                  </w:tcBorders>
                </w:tcPr>
                <w:p w14:paraId="5A4275EC"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single" w:sz="4" w:space="0" w:color="auto"/>
                    <w:left w:val="nil"/>
                    <w:bottom w:val="single" w:sz="4" w:space="0" w:color="auto"/>
                    <w:right w:val="single" w:sz="4" w:space="0" w:color="auto"/>
                  </w:tcBorders>
                  <w:vAlign w:val="center"/>
                </w:tcPr>
                <w:p w14:paraId="42B2C40A"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6864C5C7"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tcPr>
                <w:p w14:paraId="232E4891"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aankoop</w:t>
                  </w:r>
                </w:p>
              </w:tc>
              <w:tc>
                <w:tcPr>
                  <w:tcW w:w="2777" w:type="dxa"/>
                  <w:tcBorders>
                    <w:top w:val="single" w:sz="4" w:space="0" w:color="auto"/>
                    <w:left w:val="nil"/>
                    <w:bottom w:val="single" w:sz="4" w:space="0" w:color="auto"/>
                    <w:right w:val="single" w:sz="4" w:space="0" w:color="auto"/>
                  </w:tcBorders>
                </w:tcPr>
                <w:p w14:paraId="41A29D7F"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single" w:sz="4" w:space="0" w:color="auto"/>
                    <w:left w:val="nil"/>
                    <w:bottom w:val="single" w:sz="4" w:space="0" w:color="auto"/>
                    <w:right w:val="single" w:sz="4" w:space="0" w:color="auto"/>
                  </w:tcBorders>
                  <w:vAlign w:val="center"/>
                </w:tcPr>
                <w:p w14:paraId="1680DB2B"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62EAD10F"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tcPr>
                <w:p w14:paraId="7D04563B"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ICT</w:t>
                  </w:r>
                </w:p>
              </w:tc>
              <w:tc>
                <w:tcPr>
                  <w:tcW w:w="2777" w:type="dxa"/>
                  <w:tcBorders>
                    <w:top w:val="single" w:sz="4" w:space="0" w:color="auto"/>
                    <w:left w:val="nil"/>
                    <w:bottom w:val="single" w:sz="4" w:space="0" w:color="auto"/>
                    <w:right w:val="single" w:sz="4" w:space="0" w:color="auto"/>
                  </w:tcBorders>
                </w:tcPr>
                <w:p w14:paraId="2A6D07B3"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single" w:sz="4" w:space="0" w:color="auto"/>
                    <w:left w:val="nil"/>
                    <w:bottom w:val="single" w:sz="4" w:space="0" w:color="auto"/>
                    <w:right w:val="single" w:sz="4" w:space="0" w:color="auto"/>
                  </w:tcBorders>
                  <w:vAlign w:val="center"/>
                </w:tcPr>
                <w:p w14:paraId="33CD3804"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6F103B57"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tcPr>
                <w:p w14:paraId="656323F5"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lokale economie</w:t>
                  </w:r>
                </w:p>
              </w:tc>
              <w:tc>
                <w:tcPr>
                  <w:tcW w:w="2777" w:type="dxa"/>
                  <w:tcBorders>
                    <w:top w:val="single" w:sz="4" w:space="0" w:color="auto"/>
                    <w:left w:val="nil"/>
                    <w:bottom w:val="single" w:sz="4" w:space="0" w:color="auto"/>
                    <w:right w:val="single" w:sz="4" w:space="0" w:color="auto"/>
                  </w:tcBorders>
                </w:tcPr>
                <w:p w14:paraId="27676358"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single" w:sz="4" w:space="0" w:color="auto"/>
                    <w:left w:val="nil"/>
                    <w:bottom w:val="single" w:sz="4" w:space="0" w:color="auto"/>
                    <w:right w:val="single" w:sz="4" w:space="0" w:color="auto"/>
                  </w:tcBorders>
                  <w:vAlign w:val="center"/>
                </w:tcPr>
                <w:p w14:paraId="445AEBAE"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43866EEB"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hideMark/>
                </w:tcPr>
                <w:p w14:paraId="5CC15D3C"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Preventieadviseur</w:t>
                  </w:r>
                </w:p>
              </w:tc>
              <w:tc>
                <w:tcPr>
                  <w:tcW w:w="2777" w:type="dxa"/>
                  <w:tcBorders>
                    <w:top w:val="single" w:sz="4" w:space="0" w:color="auto"/>
                    <w:left w:val="nil"/>
                    <w:bottom w:val="single" w:sz="4" w:space="0" w:color="auto"/>
                    <w:right w:val="single" w:sz="4" w:space="0" w:color="auto"/>
                  </w:tcBorders>
                  <w:hideMark/>
                </w:tcPr>
                <w:p w14:paraId="01229E8B"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single" w:sz="4" w:space="0" w:color="auto"/>
                    <w:left w:val="nil"/>
                    <w:bottom w:val="single" w:sz="4" w:space="0" w:color="auto"/>
                    <w:right w:val="single" w:sz="4" w:space="0" w:color="auto"/>
                  </w:tcBorders>
                  <w:vAlign w:val="center"/>
                  <w:hideMark/>
                </w:tcPr>
                <w:p w14:paraId="2828E282"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50420618" w14:textId="77777777" w:rsidTr="003B2E38">
              <w:trPr>
                <w:gridAfter w:val="1"/>
                <w:wAfter w:w="322" w:type="dxa"/>
                <w:trHeight w:val="345"/>
              </w:trPr>
              <w:tc>
                <w:tcPr>
                  <w:tcW w:w="3690" w:type="dxa"/>
                  <w:tcBorders>
                    <w:top w:val="nil"/>
                    <w:left w:val="single" w:sz="4" w:space="0" w:color="auto"/>
                    <w:bottom w:val="single" w:sz="4" w:space="0" w:color="auto"/>
                    <w:right w:val="single" w:sz="4" w:space="0" w:color="auto"/>
                  </w:tcBorders>
                  <w:vAlign w:val="center"/>
                  <w:hideMark/>
                </w:tcPr>
                <w:p w14:paraId="1759FC9C"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 beleidsadvies</w:t>
                  </w:r>
                </w:p>
              </w:tc>
              <w:tc>
                <w:tcPr>
                  <w:tcW w:w="2777" w:type="dxa"/>
                  <w:tcBorders>
                    <w:top w:val="nil"/>
                    <w:left w:val="nil"/>
                    <w:bottom w:val="single" w:sz="4" w:space="0" w:color="auto"/>
                    <w:right w:val="single" w:sz="4" w:space="0" w:color="auto"/>
                  </w:tcBorders>
                  <w:hideMark/>
                </w:tcPr>
                <w:p w14:paraId="723CB68C"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1E341CCF"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5978D182" w14:textId="77777777" w:rsidTr="003B2E38">
              <w:trPr>
                <w:gridAfter w:val="1"/>
                <w:wAfter w:w="322" w:type="dxa"/>
                <w:trHeight w:val="345"/>
              </w:trPr>
              <w:tc>
                <w:tcPr>
                  <w:tcW w:w="3690" w:type="dxa"/>
                  <w:tcBorders>
                    <w:top w:val="nil"/>
                    <w:left w:val="single" w:sz="4" w:space="0" w:color="auto"/>
                    <w:bottom w:val="single" w:sz="4" w:space="0" w:color="auto"/>
                    <w:right w:val="single" w:sz="4" w:space="0" w:color="auto"/>
                  </w:tcBorders>
                  <w:vAlign w:val="center"/>
                  <w:hideMark/>
                </w:tcPr>
                <w:p w14:paraId="0FF098D8"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 financiën</w:t>
                  </w:r>
                </w:p>
              </w:tc>
              <w:tc>
                <w:tcPr>
                  <w:tcW w:w="2777" w:type="dxa"/>
                  <w:tcBorders>
                    <w:top w:val="nil"/>
                    <w:left w:val="nil"/>
                    <w:bottom w:val="single" w:sz="4" w:space="0" w:color="auto"/>
                    <w:right w:val="single" w:sz="4" w:space="0" w:color="auto"/>
                  </w:tcBorders>
                  <w:hideMark/>
                </w:tcPr>
                <w:p w14:paraId="1C244CF2"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37A8956A"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656AE70E"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0B0A4571"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personeel</w:t>
                  </w:r>
                </w:p>
              </w:tc>
              <w:tc>
                <w:tcPr>
                  <w:tcW w:w="2777" w:type="dxa"/>
                  <w:tcBorders>
                    <w:top w:val="nil"/>
                    <w:left w:val="nil"/>
                    <w:bottom w:val="single" w:sz="4" w:space="0" w:color="auto"/>
                    <w:right w:val="single" w:sz="4" w:space="0" w:color="auto"/>
                  </w:tcBorders>
                  <w:hideMark/>
                </w:tcPr>
                <w:p w14:paraId="2416B208"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15B8964E"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14:paraId="5F6C3D57" w14:textId="77777777" w:rsidTr="003B2E38">
              <w:trPr>
                <w:gridAfter w:val="1"/>
                <w:wAfter w:w="322" w:type="dxa"/>
                <w:trHeight w:val="330"/>
              </w:trPr>
              <w:tc>
                <w:tcPr>
                  <w:tcW w:w="3690" w:type="dxa"/>
                  <w:tcBorders>
                    <w:top w:val="nil"/>
                    <w:left w:val="single" w:sz="4" w:space="0" w:color="auto"/>
                    <w:bottom w:val="single" w:sz="4" w:space="0" w:color="auto"/>
                    <w:right w:val="single" w:sz="4" w:space="0" w:color="auto"/>
                  </w:tcBorders>
                  <w:vAlign w:val="center"/>
                  <w:hideMark/>
                </w:tcPr>
                <w:p w14:paraId="512EF12E"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lastRenderedPageBreak/>
                    <w:t>Deskundige onderwijs</w:t>
                  </w:r>
                </w:p>
              </w:tc>
              <w:tc>
                <w:tcPr>
                  <w:tcW w:w="2777" w:type="dxa"/>
                  <w:tcBorders>
                    <w:top w:val="nil"/>
                    <w:left w:val="nil"/>
                    <w:bottom w:val="single" w:sz="4" w:space="0" w:color="auto"/>
                    <w:right w:val="single" w:sz="4" w:space="0" w:color="auto"/>
                  </w:tcBorders>
                  <w:hideMark/>
                </w:tcPr>
                <w:p w14:paraId="10E75D89"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t xml:space="preserve">Deskundige </w:t>
                  </w:r>
                </w:p>
              </w:tc>
              <w:tc>
                <w:tcPr>
                  <w:tcW w:w="2018" w:type="dxa"/>
                  <w:gridSpan w:val="2"/>
                  <w:tcBorders>
                    <w:top w:val="nil"/>
                    <w:left w:val="nil"/>
                    <w:bottom w:val="single" w:sz="4" w:space="0" w:color="auto"/>
                    <w:right w:val="single" w:sz="4" w:space="0" w:color="auto"/>
                  </w:tcBorders>
                  <w:vAlign w:val="center"/>
                  <w:hideMark/>
                </w:tcPr>
                <w:p w14:paraId="16FC12DC"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t>B1-B3</w:t>
                  </w:r>
                </w:p>
              </w:tc>
            </w:tr>
            <w:tr w:rsidR="009972EF" w14:paraId="3F811E16" w14:textId="77777777" w:rsidTr="003B2E38">
              <w:trPr>
                <w:gridAfter w:val="1"/>
                <w:wAfter w:w="322" w:type="dxa"/>
                <w:trHeight w:val="330"/>
              </w:trPr>
              <w:tc>
                <w:tcPr>
                  <w:tcW w:w="3690" w:type="dxa"/>
                  <w:tcBorders>
                    <w:top w:val="nil"/>
                    <w:left w:val="single" w:sz="4" w:space="0" w:color="auto"/>
                    <w:bottom w:val="single" w:sz="4" w:space="0" w:color="auto"/>
                    <w:right w:val="single" w:sz="4" w:space="0" w:color="auto"/>
                  </w:tcBorders>
                  <w:vAlign w:val="center"/>
                </w:tcPr>
                <w:p w14:paraId="567A0E04" w14:textId="77777777" w:rsidR="009972EF" w:rsidRPr="005C6F50" w:rsidRDefault="009972EF" w:rsidP="009972EF">
                  <w:pPr>
                    <w:ind w:left="0"/>
                    <w:jc w:val="left"/>
                    <w:rPr>
                      <w:rFonts w:cs="Arial"/>
                      <w:color w:val="000000" w:themeColor="text1"/>
                      <w:highlight w:val="yellow"/>
                      <w:lang w:val="nl-BE" w:eastAsia="nl-BE"/>
                    </w:rPr>
                  </w:pPr>
                  <w:r w:rsidRPr="00831F5A">
                    <w:rPr>
                      <w:rFonts w:cs="Arial"/>
                      <w:color w:val="000000" w:themeColor="text1"/>
                      <w:lang w:val="nl-BE" w:eastAsia="nl-BE"/>
                    </w:rPr>
                    <w:t>Deskundige strategie</w:t>
                  </w:r>
                </w:p>
              </w:tc>
              <w:tc>
                <w:tcPr>
                  <w:tcW w:w="2777" w:type="dxa"/>
                  <w:tcBorders>
                    <w:top w:val="nil"/>
                    <w:left w:val="nil"/>
                    <w:bottom w:val="single" w:sz="4" w:space="0" w:color="auto"/>
                    <w:right w:val="single" w:sz="4" w:space="0" w:color="auto"/>
                  </w:tcBorders>
                </w:tcPr>
                <w:p w14:paraId="2378A05F" w14:textId="77777777" w:rsidR="009972EF" w:rsidRPr="3D49E98B" w:rsidRDefault="009972EF" w:rsidP="009972EF">
                  <w:pPr>
                    <w:ind w:left="0"/>
                    <w:jc w:val="left"/>
                    <w:rPr>
                      <w:rFonts w:cs="Arial"/>
                      <w:color w:val="000000" w:themeColor="text1"/>
                      <w:lang w:val="nl-BE" w:eastAsia="nl-BE"/>
                    </w:rPr>
                  </w:pPr>
                  <w:r>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vAlign w:val="center"/>
                </w:tcPr>
                <w:p w14:paraId="65AD2C15" w14:textId="77777777" w:rsidR="009972EF" w:rsidRPr="3D49E98B" w:rsidRDefault="009972EF" w:rsidP="009972EF">
                  <w:pPr>
                    <w:ind w:left="0"/>
                    <w:jc w:val="left"/>
                    <w:rPr>
                      <w:rFonts w:cs="Arial"/>
                      <w:color w:val="000000" w:themeColor="text1"/>
                      <w:lang w:val="nl-BE" w:eastAsia="nl-BE"/>
                    </w:rPr>
                  </w:pPr>
                  <w:r>
                    <w:rPr>
                      <w:rFonts w:cs="Arial"/>
                      <w:color w:val="000000" w:themeColor="text1"/>
                      <w:lang w:val="nl-BE" w:eastAsia="nl-BE"/>
                    </w:rPr>
                    <w:t>B1-B3</w:t>
                  </w:r>
                </w:p>
              </w:tc>
            </w:tr>
            <w:tr w:rsidR="009972EF" w14:paraId="3F139025" w14:textId="77777777" w:rsidTr="003B2E38">
              <w:trPr>
                <w:gridAfter w:val="1"/>
                <w:wAfter w:w="322" w:type="dxa"/>
                <w:trHeight w:val="330"/>
              </w:trPr>
              <w:tc>
                <w:tcPr>
                  <w:tcW w:w="3690" w:type="dxa"/>
                  <w:tcBorders>
                    <w:top w:val="nil"/>
                    <w:left w:val="single" w:sz="4" w:space="0" w:color="auto"/>
                    <w:bottom w:val="single" w:sz="4" w:space="0" w:color="auto"/>
                    <w:right w:val="single" w:sz="4" w:space="0" w:color="auto"/>
                  </w:tcBorders>
                  <w:vAlign w:val="center"/>
                  <w:hideMark/>
                </w:tcPr>
                <w:p w14:paraId="576C0084"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t>Deskundige plan samenleven</w:t>
                  </w:r>
                </w:p>
              </w:tc>
              <w:tc>
                <w:tcPr>
                  <w:tcW w:w="2777" w:type="dxa"/>
                  <w:tcBorders>
                    <w:top w:val="nil"/>
                    <w:left w:val="nil"/>
                    <w:bottom w:val="single" w:sz="4" w:space="0" w:color="auto"/>
                    <w:right w:val="single" w:sz="4" w:space="0" w:color="auto"/>
                  </w:tcBorders>
                  <w:hideMark/>
                </w:tcPr>
                <w:p w14:paraId="655CAF94"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t xml:space="preserve">Deskundige </w:t>
                  </w:r>
                </w:p>
              </w:tc>
              <w:tc>
                <w:tcPr>
                  <w:tcW w:w="2018" w:type="dxa"/>
                  <w:gridSpan w:val="2"/>
                  <w:tcBorders>
                    <w:top w:val="nil"/>
                    <w:left w:val="nil"/>
                    <w:bottom w:val="single" w:sz="4" w:space="0" w:color="auto"/>
                    <w:right w:val="single" w:sz="4" w:space="0" w:color="auto"/>
                  </w:tcBorders>
                  <w:vAlign w:val="center"/>
                  <w:hideMark/>
                </w:tcPr>
                <w:p w14:paraId="2FC8A2A0"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t>B1-B3</w:t>
                  </w:r>
                </w:p>
              </w:tc>
            </w:tr>
            <w:tr w:rsidR="009972EF" w:rsidRPr="00037A46" w14:paraId="1EB7C15D"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6C8DA1DF"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Boekhouder</w:t>
                  </w:r>
                </w:p>
              </w:tc>
              <w:tc>
                <w:tcPr>
                  <w:tcW w:w="2777" w:type="dxa"/>
                  <w:tcBorders>
                    <w:top w:val="nil"/>
                    <w:left w:val="nil"/>
                    <w:bottom w:val="single" w:sz="4" w:space="0" w:color="auto"/>
                    <w:right w:val="single" w:sz="4" w:space="0" w:color="auto"/>
                  </w:tcBorders>
                  <w:hideMark/>
                </w:tcPr>
                <w:p w14:paraId="1087DE54"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4768E8CC"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000B9424"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0A81CBCE"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bibliotheek</w:t>
                  </w:r>
                </w:p>
              </w:tc>
              <w:tc>
                <w:tcPr>
                  <w:tcW w:w="2777" w:type="dxa"/>
                  <w:tcBorders>
                    <w:top w:val="nil"/>
                    <w:left w:val="nil"/>
                    <w:bottom w:val="single" w:sz="4" w:space="0" w:color="auto"/>
                    <w:right w:val="single" w:sz="4" w:space="0" w:color="auto"/>
                  </w:tcBorders>
                  <w:hideMark/>
                </w:tcPr>
                <w:p w14:paraId="30744819"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77FEABA3"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4D7B6EED"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73EC95F"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 cultuurcentrum</w:t>
                  </w:r>
                </w:p>
              </w:tc>
              <w:tc>
                <w:tcPr>
                  <w:tcW w:w="2777" w:type="dxa"/>
                  <w:tcBorders>
                    <w:top w:val="nil"/>
                    <w:left w:val="nil"/>
                    <w:bottom w:val="single" w:sz="4" w:space="0" w:color="auto"/>
                    <w:right w:val="single" w:sz="4" w:space="0" w:color="auto"/>
                  </w:tcBorders>
                  <w:hideMark/>
                </w:tcPr>
                <w:p w14:paraId="1EC0265E"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4C8CB7FE"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562EBBB6"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135B6A45"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groen</w:t>
                  </w:r>
                </w:p>
              </w:tc>
              <w:tc>
                <w:tcPr>
                  <w:tcW w:w="2777" w:type="dxa"/>
                  <w:tcBorders>
                    <w:top w:val="nil"/>
                    <w:left w:val="nil"/>
                    <w:bottom w:val="single" w:sz="4" w:space="0" w:color="auto"/>
                    <w:right w:val="single" w:sz="4" w:space="0" w:color="auto"/>
                  </w:tcBorders>
                  <w:hideMark/>
                </w:tcPr>
                <w:p w14:paraId="35088952"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2388E7BB"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67946B2D"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59E41998"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patrimonium</w:t>
                  </w:r>
                </w:p>
              </w:tc>
              <w:tc>
                <w:tcPr>
                  <w:tcW w:w="2777" w:type="dxa"/>
                  <w:tcBorders>
                    <w:top w:val="nil"/>
                    <w:left w:val="nil"/>
                    <w:bottom w:val="single" w:sz="4" w:space="0" w:color="auto"/>
                    <w:right w:val="single" w:sz="4" w:space="0" w:color="auto"/>
                  </w:tcBorders>
                  <w:hideMark/>
                </w:tcPr>
                <w:p w14:paraId="1EB6CC50"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65C8E8B6"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7474ED95"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43E08E1D"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openbare werken</w:t>
                  </w:r>
                </w:p>
              </w:tc>
              <w:tc>
                <w:tcPr>
                  <w:tcW w:w="2777" w:type="dxa"/>
                  <w:tcBorders>
                    <w:top w:val="nil"/>
                    <w:left w:val="nil"/>
                    <w:bottom w:val="single" w:sz="4" w:space="0" w:color="auto"/>
                    <w:right w:val="single" w:sz="4" w:space="0" w:color="auto"/>
                  </w:tcBorders>
                  <w:hideMark/>
                </w:tcPr>
                <w:p w14:paraId="18B8D68A"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060B241C"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1F24E0B5"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44CB5BCC"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 vrije tijd</w:t>
                  </w:r>
                </w:p>
              </w:tc>
              <w:tc>
                <w:tcPr>
                  <w:tcW w:w="2777" w:type="dxa"/>
                  <w:tcBorders>
                    <w:top w:val="nil"/>
                    <w:left w:val="nil"/>
                    <w:bottom w:val="single" w:sz="4" w:space="0" w:color="auto"/>
                    <w:right w:val="single" w:sz="4" w:space="0" w:color="auto"/>
                  </w:tcBorders>
                  <w:hideMark/>
                </w:tcPr>
                <w:p w14:paraId="488D85E3"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78563B11"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6EEA60BA"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64CD3806"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 communicatie</w:t>
                  </w:r>
                </w:p>
              </w:tc>
              <w:tc>
                <w:tcPr>
                  <w:tcW w:w="2777" w:type="dxa"/>
                  <w:tcBorders>
                    <w:top w:val="nil"/>
                    <w:left w:val="nil"/>
                    <w:bottom w:val="single" w:sz="4" w:space="0" w:color="auto"/>
                    <w:right w:val="single" w:sz="4" w:space="0" w:color="auto"/>
                  </w:tcBorders>
                  <w:hideMark/>
                </w:tcPr>
                <w:p w14:paraId="2FEB27D4"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6B63CE33"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34463B37"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308DB67C"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maatschappelijke veiligheid en handhaving</w:t>
                  </w:r>
                </w:p>
              </w:tc>
              <w:tc>
                <w:tcPr>
                  <w:tcW w:w="2777" w:type="dxa"/>
                  <w:tcBorders>
                    <w:top w:val="nil"/>
                    <w:left w:val="nil"/>
                    <w:bottom w:val="single" w:sz="4" w:space="0" w:color="auto"/>
                    <w:right w:val="single" w:sz="4" w:space="0" w:color="auto"/>
                  </w:tcBorders>
                  <w:hideMark/>
                </w:tcPr>
                <w:p w14:paraId="479E70B6"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2456E2C4"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4C3C007D"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055A87CC"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 integratie</w:t>
                  </w:r>
                </w:p>
              </w:tc>
              <w:tc>
                <w:tcPr>
                  <w:tcW w:w="2777" w:type="dxa"/>
                  <w:tcBorders>
                    <w:top w:val="nil"/>
                    <w:left w:val="nil"/>
                    <w:bottom w:val="single" w:sz="4" w:space="0" w:color="auto"/>
                    <w:right w:val="single" w:sz="4" w:space="0" w:color="auto"/>
                  </w:tcBorders>
                  <w:hideMark/>
                </w:tcPr>
                <w:p w14:paraId="7D185647"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29B2D256"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2205815F"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34EB8DAF"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duurzaamheid</w:t>
                  </w:r>
                </w:p>
              </w:tc>
              <w:tc>
                <w:tcPr>
                  <w:tcW w:w="2777" w:type="dxa"/>
                  <w:tcBorders>
                    <w:top w:val="nil"/>
                    <w:left w:val="nil"/>
                    <w:bottom w:val="single" w:sz="4" w:space="0" w:color="auto"/>
                    <w:right w:val="single" w:sz="4" w:space="0" w:color="auto"/>
                  </w:tcBorders>
                  <w:hideMark/>
                </w:tcPr>
                <w:p w14:paraId="4BA736FC"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68F5352A"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2722F26D"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4840EFAE"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 organisatieontwikkeling</w:t>
                  </w:r>
                </w:p>
              </w:tc>
              <w:tc>
                <w:tcPr>
                  <w:tcW w:w="2777" w:type="dxa"/>
                  <w:tcBorders>
                    <w:top w:val="nil"/>
                    <w:left w:val="nil"/>
                    <w:bottom w:val="single" w:sz="4" w:space="0" w:color="auto"/>
                    <w:right w:val="single" w:sz="4" w:space="0" w:color="auto"/>
                  </w:tcBorders>
                  <w:hideMark/>
                </w:tcPr>
                <w:p w14:paraId="7E37BBB3"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3B28CBE5"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0B5CE790"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02BAF819"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GIS</w:t>
                  </w:r>
                </w:p>
              </w:tc>
              <w:tc>
                <w:tcPr>
                  <w:tcW w:w="2777" w:type="dxa"/>
                  <w:tcBorders>
                    <w:top w:val="nil"/>
                    <w:left w:val="nil"/>
                    <w:bottom w:val="single" w:sz="4" w:space="0" w:color="auto"/>
                    <w:right w:val="single" w:sz="4" w:space="0" w:color="auto"/>
                  </w:tcBorders>
                  <w:hideMark/>
                </w:tcPr>
                <w:p w14:paraId="59CC88E8"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16AD2479"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70C58317"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062C3C3C"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 jeugd</w:t>
                  </w:r>
                </w:p>
              </w:tc>
              <w:tc>
                <w:tcPr>
                  <w:tcW w:w="2777" w:type="dxa"/>
                  <w:tcBorders>
                    <w:top w:val="nil"/>
                    <w:left w:val="nil"/>
                    <w:bottom w:val="single" w:sz="4" w:space="0" w:color="auto"/>
                    <w:right w:val="single" w:sz="4" w:space="0" w:color="auto"/>
                  </w:tcBorders>
                  <w:hideMark/>
                </w:tcPr>
                <w:p w14:paraId="6A0F70C2"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6D65ADB2"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24D2D4BC"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64430C41"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milieu</w:t>
                  </w:r>
                </w:p>
              </w:tc>
              <w:tc>
                <w:tcPr>
                  <w:tcW w:w="2777" w:type="dxa"/>
                  <w:tcBorders>
                    <w:top w:val="nil"/>
                    <w:left w:val="nil"/>
                    <w:bottom w:val="single" w:sz="4" w:space="0" w:color="auto"/>
                    <w:right w:val="single" w:sz="4" w:space="0" w:color="auto"/>
                  </w:tcBorders>
                  <w:hideMark/>
                </w:tcPr>
                <w:p w14:paraId="7B3A0009"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7B206515"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0BBA2777"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4737FEBF"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 welzijn</w:t>
                  </w:r>
                </w:p>
              </w:tc>
              <w:tc>
                <w:tcPr>
                  <w:tcW w:w="2777" w:type="dxa"/>
                  <w:tcBorders>
                    <w:top w:val="nil"/>
                    <w:left w:val="nil"/>
                    <w:bottom w:val="single" w:sz="4" w:space="0" w:color="auto"/>
                    <w:right w:val="single" w:sz="4" w:space="0" w:color="auto"/>
                  </w:tcBorders>
                  <w:hideMark/>
                </w:tcPr>
                <w:p w14:paraId="4A34C60B"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659E79F9"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17E0E2B6"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7F88CA2E"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 belastingen</w:t>
                  </w:r>
                </w:p>
              </w:tc>
              <w:tc>
                <w:tcPr>
                  <w:tcW w:w="2777" w:type="dxa"/>
                  <w:tcBorders>
                    <w:top w:val="nil"/>
                    <w:left w:val="nil"/>
                    <w:bottom w:val="single" w:sz="4" w:space="0" w:color="auto"/>
                    <w:right w:val="single" w:sz="4" w:space="0" w:color="auto"/>
                  </w:tcBorders>
                  <w:hideMark/>
                </w:tcPr>
                <w:p w14:paraId="3DC151A1"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3C655E56"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5E46F0FF"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29660EF3"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mobiliteit</w:t>
                  </w:r>
                </w:p>
              </w:tc>
              <w:tc>
                <w:tcPr>
                  <w:tcW w:w="2777" w:type="dxa"/>
                  <w:tcBorders>
                    <w:top w:val="nil"/>
                    <w:left w:val="nil"/>
                    <w:bottom w:val="single" w:sz="4" w:space="0" w:color="auto"/>
                    <w:right w:val="single" w:sz="4" w:space="0" w:color="auto"/>
                  </w:tcBorders>
                  <w:hideMark/>
                </w:tcPr>
                <w:p w14:paraId="4B5847E9"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14CB8200"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358FCFA5"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62984CE9"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 burgerzaken</w:t>
                  </w:r>
                </w:p>
              </w:tc>
              <w:tc>
                <w:tcPr>
                  <w:tcW w:w="2777" w:type="dxa"/>
                  <w:tcBorders>
                    <w:top w:val="nil"/>
                    <w:left w:val="nil"/>
                    <w:bottom w:val="single" w:sz="4" w:space="0" w:color="auto"/>
                    <w:right w:val="single" w:sz="4" w:space="0" w:color="auto"/>
                  </w:tcBorders>
                  <w:hideMark/>
                </w:tcPr>
                <w:p w14:paraId="07CB8487"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25A7E884"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5F7D3EA6"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691DAF8D"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Deskundige Sport</w:t>
                  </w:r>
                </w:p>
              </w:tc>
              <w:tc>
                <w:tcPr>
                  <w:tcW w:w="2777" w:type="dxa"/>
                  <w:tcBorders>
                    <w:top w:val="nil"/>
                    <w:left w:val="nil"/>
                    <w:bottom w:val="single" w:sz="4" w:space="0" w:color="auto"/>
                    <w:right w:val="single" w:sz="4" w:space="0" w:color="auto"/>
                  </w:tcBorders>
                  <w:hideMark/>
                </w:tcPr>
                <w:p w14:paraId="32E4A06C"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07EB0DCE"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B1-B3</w:t>
                  </w:r>
                </w:p>
              </w:tc>
            </w:tr>
            <w:tr w:rsidR="009972EF" w14:paraId="30BDCDA7"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62D94397"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t>Deskundige ruimtelijke ordening</w:t>
                  </w:r>
                </w:p>
              </w:tc>
              <w:tc>
                <w:tcPr>
                  <w:tcW w:w="2777" w:type="dxa"/>
                  <w:tcBorders>
                    <w:top w:val="nil"/>
                    <w:left w:val="nil"/>
                    <w:bottom w:val="single" w:sz="4" w:space="0" w:color="auto"/>
                    <w:right w:val="single" w:sz="4" w:space="0" w:color="auto"/>
                  </w:tcBorders>
                  <w:hideMark/>
                </w:tcPr>
                <w:p w14:paraId="4402D72A"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3C0541E5"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t>B1-B3</w:t>
                  </w:r>
                </w:p>
              </w:tc>
            </w:tr>
            <w:tr w:rsidR="009972EF" w14:paraId="7CDEEDFA"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7C8742E0"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t>Deskundige woonbeleid</w:t>
                  </w:r>
                </w:p>
              </w:tc>
              <w:tc>
                <w:tcPr>
                  <w:tcW w:w="2777" w:type="dxa"/>
                  <w:tcBorders>
                    <w:top w:val="nil"/>
                    <w:left w:val="nil"/>
                    <w:bottom w:val="single" w:sz="4" w:space="0" w:color="auto"/>
                    <w:right w:val="single" w:sz="4" w:space="0" w:color="auto"/>
                  </w:tcBorders>
                  <w:hideMark/>
                </w:tcPr>
                <w:p w14:paraId="6C1D88F4"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441BE2F7"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t>B1-B3</w:t>
                  </w:r>
                </w:p>
              </w:tc>
            </w:tr>
            <w:tr w:rsidR="009972EF" w:rsidRPr="00037A46" w14:paraId="3F594F72"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tcPr>
                <w:p w14:paraId="0F5C7E45"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Coördinator administratie ontwikkeling publieke ruimte</w:t>
                  </w:r>
                </w:p>
              </w:tc>
              <w:tc>
                <w:tcPr>
                  <w:tcW w:w="2777" w:type="dxa"/>
                  <w:tcBorders>
                    <w:top w:val="nil"/>
                    <w:left w:val="nil"/>
                    <w:bottom w:val="single" w:sz="4" w:space="0" w:color="auto"/>
                    <w:right w:val="single" w:sz="4" w:space="0" w:color="auto"/>
                  </w:tcBorders>
                </w:tcPr>
                <w:p w14:paraId="6A64C6A6" w14:textId="77777777" w:rsidR="009972EF" w:rsidRDefault="009972EF" w:rsidP="009972EF">
                  <w:pPr>
                    <w:spacing w:before="0" w:after="0"/>
                    <w:ind w:left="0"/>
                    <w:jc w:val="left"/>
                    <w:rPr>
                      <w:rFonts w:cs="Arial"/>
                      <w:color w:val="000000"/>
                      <w:lang w:val="nl-BE" w:eastAsia="nl-BE"/>
                    </w:rPr>
                  </w:pPr>
                  <w:r>
                    <w:rPr>
                      <w:rFonts w:cs="Arial"/>
                      <w:color w:val="000000"/>
                      <w:lang w:val="nl-BE" w:eastAsia="nl-BE"/>
                    </w:rPr>
                    <w:t>Hoofdmedewerker</w:t>
                  </w:r>
                </w:p>
              </w:tc>
              <w:tc>
                <w:tcPr>
                  <w:tcW w:w="2018" w:type="dxa"/>
                  <w:gridSpan w:val="2"/>
                  <w:tcBorders>
                    <w:top w:val="nil"/>
                    <w:left w:val="nil"/>
                    <w:bottom w:val="single" w:sz="4" w:space="0" w:color="auto"/>
                    <w:right w:val="single" w:sz="4" w:space="0" w:color="auto"/>
                  </w:tcBorders>
                  <w:vAlign w:val="center"/>
                </w:tcPr>
                <w:p w14:paraId="3725C73D" w14:textId="77777777" w:rsidR="009972EF" w:rsidRDefault="009972EF" w:rsidP="009972EF">
                  <w:pPr>
                    <w:spacing w:before="0" w:after="0"/>
                    <w:ind w:left="0"/>
                    <w:jc w:val="left"/>
                    <w:rPr>
                      <w:rFonts w:cs="Arial"/>
                      <w:color w:val="000000"/>
                      <w:lang w:val="nl-BE" w:eastAsia="nl-BE"/>
                    </w:rPr>
                  </w:pPr>
                  <w:r>
                    <w:rPr>
                      <w:rFonts w:cs="Arial"/>
                      <w:color w:val="000000"/>
                      <w:lang w:val="nl-BE" w:eastAsia="nl-BE"/>
                    </w:rPr>
                    <w:t>C4-C5</w:t>
                  </w:r>
                </w:p>
              </w:tc>
            </w:tr>
            <w:tr w:rsidR="009972EF" w:rsidRPr="00037A46" w14:paraId="1EA0416F"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tcPr>
                <w:p w14:paraId="60498B8C"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Adm. hoofdmedewerker verenigingen</w:t>
                  </w:r>
                </w:p>
              </w:tc>
              <w:tc>
                <w:tcPr>
                  <w:tcW w:w="2777" w:type="dxa"/>
                  <w:tcBorders>
                    <w:top w:val="nil"/>
                    <w:left w:val="nil"/>
                    <w:bottom w:val="single" w:sz="4" w:space="0" w:color="auto"/>
                    <w:right w:val="single" w:sz="4" w:space="0" w:color="auto"/>
                  </w:tcBorders>
                </w:tcPr>
                <w:p w14:paraId="007B707A"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Hoofdmedewerker</w:t>
                  </w:r>
                </w:p>
              </w:tc>
              <w:tc>
                <w:tcPr>
                  <w:tcW w:w="2018" w:type="dxa"/>
                  <w:gridSpan w:val="2"/>
                  <w:tcBorders>
                    <w:top w:val="nil"/>
                    <w:left w:val="nil"/>
                    <w:bottom w:val="single" w:sz="4" w:space="0" w:color="auto"/>
                    <w:right w:val="single" w:sz="4" w:space="0" w:color="auto"/>
                  </w:tcBorders>
                  <w:vAlign w:val="center"/>
                </w:tcPr>
                <w:p w14:paraId="1A969A0A"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C4-C5</w:t>
                  </w:r>
                </w:p>
              </w:tc>
            </w:tr>
            <w:tr w:rsidR="009972EF" w:rsidRPr="00037A46" w14:paraId="6540F729"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04FB0F77"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Adm. hoofdmedewerker beleidsondersteuning</w:t>
                  </w:r>
                </w:p>
              </w:tc>
              <w:tc>
                <w:tcPr>
                  <w:tcW w:w="2777" w:type="dxa"/>
                  <w:tcBorders>
                    <w:top w:val="nil"/>
                    <w:left w:val="nil"/>
                    <w:bottom w:val="single" w:sz="4" w:space="0" w:color="auto"/>
                    <w:right w:val="single" w:sz="4" w:space="0" w:color="auto"/>
                  </w:tcBorders>
                  <w:hideMark/>
                </w:tcPr>
                <w:p w14:paraId="2E8CF2AE"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Hoofdmedewerker</w:t>
                  </w:r>
                </w:p>
              </w:tc>
              <w:tc>
                <w:tcPr>
                  <w:tcW w:w="2018" w:type="dxa"/>
                  <w:gridSpan w:val="2"/>
                  <w:tcBorders>
                    <w:top w:val="nil"/>
                    <w:left w:val="nil"/>
                    <w:bottom w:val="single" w:sz="4" w:space="0" w:color="auto"/>
                    <w:right w:val="single" w:sz="4" w:space="0" w:color="auto"/>
                  </w:tcBorders>
                  <w:vAlign w:val="center"/>
                  <w:hideMark/>
                </w:tcPr>
                <w:p w14:paraId="7046C002"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C4-C5</w:t>
                  </w:r>
                </w:p>
              </w:tc>
            </w:tr>
            <w:tr w:rsidR="009972EF" w14:paraId="1AD1B29E"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0856CDD1" w14:textId="77777777" w:rsidR="009972EF" w:rsidRPr="00831F5A" w:rsidRDefault="009972EF" w:rsidP="009972EF">
                  <w:pPr>
                    <w:spacing w:before="0" w:after="0"/>
                    <w:ind w:left="0"/>
                    <w:jc w:val="left"/>
                    <w:rPr>
                      <w:rFonts w:cs="Arial"/>
                      <w:color w:val="000000" w:themeColor="text1"/>
                      <w:lang w:val="nl-BE" w:eastAsia="nl-BE"/>
                    </w:rPr>
                  </w:pPr>
                  <w:r w:rsidRPr="00831F5A">
                    <w:rPr>
                      <w:rFonts w:cs="Arial"/>
                      <w:color w:val="000000" w:themeColor="text1"/>
                      <w:lang w:val="nl-BE" w:eastAsia="nl-BE"/>
                    </w:rPr>
                    <w:t>Adm. hoofdmedewerker financiën</w:t>
                  </w:r>
                </w:p>
              </w:tc>
              <w:tc>
                <w:tcPr>
                  <w:tcW w:w="2777" w:type="dxa"/>
                  <w:tcBorders>
                    <w:top w:val="nil"/>
                    <w:left w:val="nil"/>
                    <w:bottom w:val="single" w:sz="4" w:space="0" w:color="auto"/>
                    <w:right w:val="single" w:sz="4" w:space="0" w:color="auto"/>
                  </w:tcBorders>
                  <w:hideMark/>
                </w:tcPr>
                <w:p w14:paraId="05229050"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Hoofdmedewerker</w:t>
                  </w:r>
                </w:p>
              </w:tc>
              <w:tc>
                <w:tcPr>
                  <w:tcW w:w="2018" w:type="dxa"/>
                  <w:gridSpan w:val="2"/>
                  <w:tcBorders>
                    <w:top w:val="nil"/>
                    <w:left w:val="nil"/>
                    <w:bottom w:val="single" w:sz="4" w:space="0" w:color="auto"/>
                    <w:right w:val="single" w:sz="4" w:space="0" w:color="auto"/>
                  </w:tcBorders>
                  <w:vAlign w:val="center"/>
                  <w:hideMark/>
                </w:tcPr>
                <w:p w14:paraId="1A07082F"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C4-C5</w:t>
                  </w:r>
                </w:p>
              </w:tc>
            </w:tr>
            <w:tr w:rsidR="009972EF" w14:paraId="5ACD34F6"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tcPr>
                <w:p w14:paraId="79BE0C12" w14:textId="77777777" w:rsidR="009972EF" w:rsidRPr="00831F5A" w:rsidRDefault="009972EF" w:rsidP="009972EF">
                  <w:pPr>
                    <w:spacing w:before="0" w:after="0"/>
                    <w:ind w:left="0"/>
                    <w:jc w:val="left"/>
                    <w:rPr>
                      <w:rFonts w:cs="Arial"/>
                      <w:color w:val="000000" w:themeColor="text1"/>
                      <w:lang w:val="nl-BE" w:eastAsia="nl-BE"/>
                    </w:rPr>
                  </w:pPr>
                  <w:proofErr w:type="spellStart"/>
                  <w:r w:rsidRPr="00831F5A">
                    <w:rPr>
                      <w:rFonts w:cs="Arial"/>
                      <w:color w:val="000000" w:themeColor="text1"/>
                      <w:lang w:val="nl-BE" w:eastAsia="nl-BE"/>
                    </w:rPr>
                    <w:t>Techn</w:t>
                  </w:r>
                  <w:proofErr w:type="spellEnd"/>
                  <w:r w:rsidRPr="00831F5A">
                    <w:rPr>
                      <w:rFonts w:cs="Arial"/>
                      <w:color w:val="000000" w:themeColor="text1"/>
                      <w:lang w:val="nl-BE" w:eastAsia="nl-BE"/>
                    </w:rPr>
                    <w:t>. hoofdmedewerker</w:t>
                  </w:r>
                </w:p>
              </w:tc>
              <w:tc>
                <w:tcPr>
                  <w:tcW w:w="2777" w:type="dxa"/>
                  <w:tcBorders>
                    <w:top w:val="nil"/>
                    <w:left w:val="nil"/>
                    <w:bottom w:val="single" w:sz="4" w:space="0" w:color="auto"/>
                    <w:right w:val="single" w:sz="4" w:space="0" w:color="auto"/>
                  </w:tcBorders>
                </w:tcPr>
                <w:p w14:paraId="0AE202FB" w14:textId="77777777" w:rsidR="009972EF" w:rsidRPr="3D49E98B" w:rsidRDefault="009972EF" w:rsidP="009972EF">
                  <w:pPr>
                    <w:spacing w:before="0" w:after="0"/>
                    <w:ind w:left="0"/>
                    <w:jc w:val="left"/>
                    <w:rPr>
                      <w:rFonts w:cs="Arial"/>
                      <w:color w:val="000000" w:themeColor="text1"/>
                      <w:lang w:val="nl-BE" w:eastAsia="nl-BE"/>
                    </w:rPr>
                  </w:pPr>
                  <w:r>
                    <w:rPr>
                      <w:rFonts w:cs="Arial"/>
                      <w:color w:val="000000" w:themeColor="text1"/>
                      <w:lang w:val="nl-BE" w:eastAsia="nl-BE"/>
                    </w:rPr>
                    <w:t>Hoofdmedewerker</w:t>
                  </w:r>
                </w:p>
              </w:tc>
              <w:tc>
                <w:tcPr>
                  <w:tcW w:w="2018" w:type="dxa"/>
                  <w:gridSpan w:val="2"/>
                  <w:tcBorders>
                    <w:top w:val="nil"/>
                    <w:left w:val="nil"/>
                    <w:bottom w:val="single" w:sz="4" w:space="0" w:color="auto"/>
                    <w:right w:val="single" w:sz="4" w:space="0" w:color="auto"/>
                  </w:tcBorders>
                  <w:vAlign w:val="center"/>
                </w:tcPr>
                <w:p w14:paraId="1B991527" w14:textId="77777777" w:rsidR="009972EF" w:rsidRPr="3D49E98B" w:rsidRDefault="009972EF" w:rsidP="009972EF">
                  <w:pPr>
                    <w:spacing w:before="0" w:after="0"/>
                    <w:ind w:left="0"/>
                    <w:jc w:val="left"/>
                    <w:rPr>
                      <w:rFonts w:cs="Arial"/>
                      <w:color w:val="000000" w:themeColor="text1"/>
                      <w:lang w:val="nl-BE" w:eastAsia="nl-BE"/>
                    </w:rPr>
                  </w:pPr>
                  <w:r>
                    <w:rPr>
                      <w:rFonts w:cs="Arial"/>
                      <w:color w:val="000000" w:themeColor="text1"/>
                      <w:lang w:val="nl-BE" w:eastAsia="nl-BE"/>
                    </w:rPr>
                    <w:t>C4-C5</w:t>
                  </w:r>
                </w:p>
              </w:tc>
            </w:tr>
            <w:tr w:rsidR="009972EF" w14:paraId="0DA98671"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0D759943"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t>Beheerder sportinfrastructuur</w:t>
                  </w:r>
                </w:p>
              </w:tc>
              <w:tc>
                <w:tcPr>
                  <w:tcW w:w="2777" w:type="dxa"/>
                  <w:tcBorders>
                    <w:top w:val="nil"/>
                    <w:left w:val="nil"/>
                    <w:bottom w:val="single" w:sz="4" w:space="0" w:color="auto"/>
                    <w:right w:val="single" w:sz="4" w:space="0" w:color="auto"/>
                  </w:tcBorders>
                  <w:hideMark/>
                </w:tcPr>
                <w:p w14:paraId="73855549"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Hoofdmedewerker</w:t>
                  </w:r>
                </w:p>
              </w:tc>
              <w:tc>
                <w:tcPr>
                  <w:tcW w:w="2018" w:type="dxa"/>
                  <w:gridSpan w:val="2"/>
                  <w:tcBorders>
                    <w:top w:val="nil"/>
                    <w:left w:val="nil"/>
                    <w:bottom w:val="single" w:sz="4" w:space="0" w:color="auto"/>
                    <w:right w:val="single" w:sz="4" w:space="0" w:color="auto"/>
                  </w:tcBorders>
                  <w:vAlign w:val="center"/>
                  <w:hideMark/>
                </w:tcPr>
                <w:p w14:paraId="5D25C954"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C4-C5</w:t>
                  </w:r>
                </w:p>
              </w:tc>
            </w:tr>
            <w:tr w:rsidR="009972EF" w14:paraId="3E048B1F"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3B97583F"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lastRenderedPageBreak/>
                    <w:t>Beheerder jeugdinfrastructuur</w:t>
                  </w:r>
                </w:p>
              </w:tc>
              <w:tc>
                <w:tcPr>
                  <w:tcW w:w="2777" w:type="dxa"/>
                  <w:tcBorders>
                    <w:top w:val="nil"/>
                    <w:left w:val="nil"/>
                    <w:bottom w:val="single" w:sz="4" w:space="0" w:color="auto"/>
                    <w:right w:val="single" w:sz="4" w:space="0" w:color="auto"/>
                  </w:tcBorders>
                  <w:hideMark/>
                </w:tcPr>
                <w:p w14:paraId="38212F65"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Hoofdmedewerker</w:t>
                  </w:r>
                </w:p>
              </w:tc>
              <w:tc>
                <w:tcPr>
                  <w:tcW w:w="2018" w:type="dxa"/>
                  <w:gridSpan w:val="2"/>
                  <w:tcBorders>
                    <w:top w:val="nil"/>
                    <w:left w:val="nil"/>
                    <w:bottom w:val="single" w:sz="4" w:space="0" w:color="auto"/>
                    <w:right w:val="single" w:sz="4" w:space="0" w:color="auto"/>
                  </w:tcBorders>
                  <w:vAlign w:val="center"/>
                  <w:hideMark/>
                </w:tcPr>
                <w:p w14:paraId="6C240C9B"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C4-C5</w:t>
                  </w:r>
                </w:p>
              </w:tc>
            </w:tr>
            <w:tr w:rsidR="009972EF" w:rsidRPr="00037A46" w14:paraId="084E54C4"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4F5A04FE"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Communicatiemedewerker</w:t>
                  </w:r>
                </w:p>
              </w:tc>
              <w:tc>
                <w:tcPr>
                  <w:tcW w:w="2777" w:type="dxa"/>
                  <w:tcBorders>
                    <w:top w:val="nil"/>
                    <w:left w:val="nil"/>
                    <w:bottom w:val="single" w:sz="4" w:space="0" w:color="auto"/>
                    <w:right w:val="single" w:sz="4" w:space="0" w:color="auto"/>
                  </w:tcBorders>
                  <w:hideMark/>
                </w:tcPr>
                <w:p w14:paraId="4B7E7138"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Administratief medewerker</w:t>
                  </w:r>
                </w:p>
              </w:tc>
              <w:tc>
                <w:tcPr>
                  <w:tcW w:w="2018" w:type="dxa"/>
                  <w:gridSpan w:val="2"/>
                  <w:tcBorders>
                    <w:top w:val="nil"/>
                    <w:left w:val="nil"/>
                    <w:bottom w:val="single" w:sz="4" w:space="0" w:color="auto"/>
                    <w:right w:val="single" w:sz="4" w:space="0" w:color="auto"/>
                  </w:tcBorders>
                  <w:vAlign w:val="center"/>
                  <w:hideMark/>
                </w:tcPr>
                <w:p w14:paraId="4CCA4F3A"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C1-C3</w:t>
                  </w:r>
                </w:p>
              </w:tc>
            </w:tr>
            <w:tr w:rsidR="009972EF" w:rsidRPr="00037A46" w14:paraId="525E3077"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40169DDF" w14:textId="77777777" w:rsidR="009972EF" w:rsidRPr="00037A46" w:rsidRDefault="009972EF" w:rsidP="009972EF">
                  <w:pPr>
                    <w:spacing w:before="0" w:after="0" w:line="259" w:lineRule="auto"/>
                    <w:ind w:left="0"/>
                    <w:jc w:val="left"/>
                  </w:pPr>
                  <w:r w:rsidRPr="3D49E98B">
                    <w:rPr>
                      <w:rFonts w:cs="Arial"/>
                      <w:color w:val="000000" w:themeColor="text1"/>
                      <w:lang w:val="nl-BE" w:eastAsia="nl-BE"/>
                    </w:rPr>
                    <w:t>Helpdeskmedewerker</w:t>
                  </w:r>
                </w:p>
              </w:tc>
              <w:tc>
                <w:tcPr>
                  <w:tcW w:w="2777" w:type="dxa"/>
                  <w:tcBorders>
                    <w:top w:val="nil"/>
                    <w:left w:val="nil"/>
                    <w:bottom w:val="single" w:sz="4" w:space="0" w:color="auto"/>
                    <w:right w:val="single" w:sz="4" w:space="0" w:color="auto"/>
                  </w:tcBorders>
                  <w:hideMark/>
                </w:tcPr>
                <w:p w14:paraId="3EB35678"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Administratief medewerker</w:t>
                  </w:r>
                </w:p>
              </w:tc>
              <w:tc>
                <w:tcPr>
                  <w:tcW w:w="2018" w:type="dxa"/>
                  <w:gridSpan w:val="2"/>
                  <w:tcBorders>
                    <w:top w:val="nil"/>
                    <w:left w:val="nil"/>
                    <w:bottom w:val="single" w:sz="4" w:space="0" w:color="auto"/>
                    <w:right w:val="single" w:sz="4" w:space="0" w:color="auto"/>
                  </w:tcBorders>
                  <w:vAlign w:val="center"/>
                  <w:hideMark/>
                </w:tcPr>
                <w:p w14:paraId="01090700"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C1-C3</w:t>
                  </w:r>
                </w:p>
              </w:tc>
            </w:tr>
            <w:tr w:rsidR="009972EF" w:rsidRPr="00037A46" w14:paraId="57407490"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0276182E"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Personeelsmedewerker</w:t>
                  </w:r>
                </w:p>
              </w:tc>
              <w:tc>
                <w:tcPr>
                  <w:tcW w:w="2777" w:type="dxa"/>
                  <w:tcBorders>
                    <w:top w:val="nil"/>
                    <w:left w:val="nil"/>
                    <w:bottom w:val="single" w:sz="4" w:space="0" w:color="auto"/>
                    <w:right w:val="single" w:sz="4" w:space="0" w:color="auto"/>
                  </w:tcBorders>
                  <w:hideMark/>
                </w:tcPr>
                <w:p w14:paraId="078A5E94"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Administratief medewerker</w:t>
                  </w:r>
                </w:p>
              </w:tc>
              <w:tc>
                <w:tcPr>
                  <w:tcW w:w="2018" w:type="dxa"/>
                  <w:gridSpan w:val="2"/>
                  <w:tcBorders>
                    <w:top w:val="nil"/>
                    <w:left w:val="nil"/>
                    <w:bottom w:val="single" w:sz="4" w:space="0" w:color="auto"/>
                    <w:right w:val="single" w:sz="4" w:space="0" w:color="auto"/>
                  </w:tcBorders>
                  <w:vAlign w:val="center"/>
                  <w:hideMark/>
                </w:tcPr>
                <w:p w14:paraId="625AFA48"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C1-C3</w:t>
                  </w:r>
                </w:p>
              </w:tc>
            </w:tr>
            <w:tr w:rsidR="009972EF" w:rsidRPr="00037A46" w14:paraId="22CD87E0"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tcPr>
                <w:p w14:paraId="5EC48FC1"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Adm. medewerker</w:t>
                  </w:r>
                </w:p>
              </w:tc>
              <w:tc>
                <w:tcPr>
                  <w:tcW w:w="2777" w:type="dxa"/>
                  <w:tcBorders>
                    <w:top w:val="nil"/>
                    <w:left w:val="nil"/>
                    <w:bottom w:val="single" w:sz="4" w:space="0" w:color="auto"/>
                    <w:right w:val="single" w:sz="4" w:space="0" w:color="auto"/>
                  </w:tcBorders>
                </w:tcPr>
                <w:p w14:paraId="35CBB7FB"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Administratief medewerker</w:t>
                  </w:r>
                </w:p>
              </w:tc>
              <w:tc>
                <w:tcPr>
                  <w:tcW w:w="2018" w:type="dxa"/>
                  <w:gridSpan w:val="2"/>
                  <w:tcBorders>
                    <w:top w:val="nil"/>
                    <w:left w:val="nil"/>
                    <w:bottom w:val="single" w:sz="4" w:space="0" w:color="auto"/>
                    <w:right w:val="single" w:sz="4" w:space="0" w:color="auto"/>
                  </w:tcBorders>
                  <w:vAlign w:val="center"/>
                </w:tcPr>
                <w:p w14:paraId="635DDBFE"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C1-C3</w:t>
                  </w:r>
                </w:p>
              </w:tc>
            </w:tr>
            <w:tr w:rsidR="009972EF" w:rsidRPr="00037A46" w14:paraId="39B49611"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41E265BB"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Adm. medewerker financiën</w:t>
                  </w:r>
                </w:p>
              </w:tc>
              <w:tc>
                <w:tcPr>
                  <w:tcW w:w="2777" w:type="dxa"/>
                  <w:tcBorders>
                    <w:top w:val="nil"/>
                    <w:left w:val="nil"/>
                    <w:bottom w:val="single" w:sz="4" w:space="0" w:color="auto"/>
                    <w:right w:val="single" w:sz="4" w:space="0" w:color="auto"/>
                  </w:tcBorders>
                  <w:hideMark/>
                </w:tcPr>
                <w:p w14:paraId="25658A1B"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Administratief medewerker</w:t>
                  </w:r>
                </w:p>
              </w:tc>
              <w:tc>
                <w:tcPr>
                  <w:tcW w:w="2018" w:type="dxa"/>
                  <w:gridSpan w:val="2"/>
                  <w:tcBorders>
                    <w:top w:val="nil"/>
                    <w:left w:val="nil"/>
                    <w:bottom w:val="single" w:sz="4" w:space="0" w:color="auto"/>
                    <w:right w:val="single" w:sz="4" w:space="0" w:color="auto"/>
                  </w:tcBorders>
                  <w:vAlign w:val="center"/>
                  <w:hideMark/>
                </w:tcPr>
                <w:p w14:paraId="436FF91D"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C1-C3</w:t>
                  </w:r>
                </w:p>
              </w:tc>
            </w:tr>
            <w:tr w:rsidR="009972EF" w:rsidRPr="00037A46" w14:paraId="0D063DD7"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tcPr>
                <w:p w14:paraId="5FEDDD6B"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Adm. medewerker belastingen</w:t>
                  </w:r>
                </w:p>
              </w:tc>
              <w:tc>
                <w:tcPr>
                  <w:tcW w:w="2777" w:type="dxa"/>
                  <w:tcBorders>
                    <w:top w:val="nil"/>
                    <w:left w:val="nil"/>
                    <w:bottom w:val="single" w:sz="4" w:space="0" w:color="auto"/>
                    <w:right w:val="single" w:sz="4" w:space="0" w:color="auto"/>
                  </w:tcBorders>
                </w:tcPr>
                <w:p w14:paraId="43544A81"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 xml:space="preserve">Administratief medewerker </w:t>
                  </w:r>
                </w:p>
              </w:tc>
              <w:tc>
                <w:tcPr>
                  <w:tcW w:w="2018" w:type="dxa"/>
                  <w:gridSpan w:val="2"/>
                  <w:tcBorders>
                    <w:top w:val="nil"/>
                    <w:left w:val="nil"/>
                    <w:bottom w:val="single" w:sz="4" w:space="0" w:color="auto"/>
                    <w:right w:val="single" w:sz="4" w:space="0" w:color="auto"/>
                  </w:tcBorders>
                  <w:vAlign w:val="center"/>
                </w:tcPr>
                <w:p w14:paraId="13BB21A4"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C1-C3</w:t>
                  </w:r>
                </w:p>
              </w:tc>
            </w:tr>
            <w:tr w:rsidR="009972EF" w:rsidRPr="00037A46" w14:paraId="7A6DAC93" w14:textId="77777777" w:rsidTr="003B2E38">
              <w:trPr>
                <w:gridAfter w:val="1"/>
                <w:wAfter w:w="322" w:type="dxa"/>
                <w:trHeight w:val="510"/>
              </w:trPr>
              <w:tc>
                <w:tcPr>
                  <w:tcW w:w="3690" w:type="dxa"/>
                  <w:tcBorders>
                    <w:top w:val="single" w:sz="4" w:space="0" w:color="auto"/>
                    <w:left w:val="single" w:sz="4" w:space="0" w:color="auto"/>
                    <w:bottom w:val="single" w:sz="4" w:space="0" w:color="auto"/>
                    <w:right w:val="single" w:sz="4" w:space="0" w:color="auto"/>
                  </w:tcBorders>
                  <w:vAlign w:val="center"/>
                  <w:hideMark/>
                </w:tcPr>
                <w:p w14:paraId="437F097E"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Adm. medewerker beleidsondersteuning</w:t>
                  </w:r>
                </w:p>
              </w:tc>
              <w:tc>
                <w:tcPr>
                  <w:tcW w:w="2777" w:type="dxa"/>
                  <w:tcBorders>
                    <w:top w:val="single" w:sz="4" w:space="0" w:color="auto"/>
                    <w:left w:val="nil"/>
                    <w:bottom w:val="single" w:sz="4" w:space="0" w:color="auto"/>
                    <w:right w:val="single" w:sz="4" w:space="0" w:color="auto"/>
                  </w:tcBorders>
                  <w:hideMark/>
                </w:tcPr>
                <w:p w14:paraId="7B9BFCF0"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Administratief medewerker</w:t>
                  </w:r>
                </w:p>
              </w:tc>
              <w:tc>
                <w:tcPr>
                  <w:tcW w:w="2018" w:type="dxa"/>
                  <w:gridSpan w:val="2"/>
                  <w:tcBorders>
                    <w:top w:val="single" w:sz="4" w:space="0" w:color="auto"/>
                    <w:left w:val="nil"/>
                    <w:bottom w:val="single" w:sz="4" w:space="0" w:color="auto"/>
                    <w:right w:val="single" w:sz="4" w:space="0" w:color="auto"/>
                  </w:tcBorders>
                  <w:vAlign w:val="center"/>
                  <w:hideMark/>
                </w:tcPr>
                <w:p w14:paraId="2A437F0C"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C1-C3</w:t>
                  </w:r>
                </w:p>
              </w:tc>
            </w:tr>
            <w:tr w:rsidR="009972EF" w:rsidRPr="00037A46" w14:paraId="63C7B760"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5C826C9A"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Adm. medewerker ontwikkeling publieke ruimte</w:t>
                  </w:r>
                </w:p>
              </w:tc>
              <w:tc>
                <w:tcPr>
                  <w:tcW w:w="2777" w:type="dxa"/>
                  <w:tcBorders>
                    <w:top w:val="nil"/>
                    <w:left w:val="nil"/>
                    <w:bottom w:val="single" w:sz="4" w:space="0" w:color="auto"/>
                    <w:right w:val="single" w:sz="4" w:space="0" w:color="auto"/>
                  </w:tcBorders>
                  <w:hideMark/>
                </w:tcPr>
                <w:p w14:paraId="128D2AB0"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Administratief medewerker</w:t>
                  </w:r>
                </w:p>
              </w:tc>
              <w:tc>
                <w:tcPr>
                  <w:tcW w:w="2018" w:type="dxa"/>
                  <w:gridSpan w:val="2"/>
                  <w:tcBorders>
                    <w:top w:val="nil"/>
                    <w:left w:val="nil"/>
                    <w:bottom w:val="single" w:sz="4" w:space="0" w:color="auto"/>
                    <w:right w:val="single" w:sz="4" w:space="0" w:color="auto"/>
                  </w:tcBorders>
                  <w:vAlign w:val="center"/>
                  <w:hideMark/>
                </w:tcPr>
                <w:p w14:paraId="4CAB5424"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C1-C3</w:t>
                  </w:r>
                </w:p>
              </w:tc>
            </w:tr>
            <w:tr w:rsidR="009972EF" w:rsidRPr="00037A46" w14:paraId="53F84E99"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7FD2D6F5"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Adm. medewerker burgerzaken</w:t>
                  </w:r>
                </w:p>
              </w:tc>
              <w:tc>
                <w:tcPr>
                  <w:tcW w:w="2777" w:type="dxa"/>
                  <w:tcBorders>
                    <w:top w:val="nil"/>
                    <w:left w:val="nil"/>
                    <w:bottom w:val="single" w:sz="4" w:space="0" w:color="auto"/>
                    <w:right w:val="single" w:sz="4" w:space="0" w:color="auto"/>
                  </w:tcBorders>
                  <w:hideMark/>
                </w:tcPr>
                <w:p w14:paraId="568D6339"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Administratief medewerker</w:t>
                  </w:r>
                </w:p>
              </w:tc>
              <w:tc>
                <w:tcPr>
                  <w:tcW w:w="2018" w:type="dxa"/>
                  <w:gridSpan w:val="2"/>
                  <w:tcBorders>
                    <w:top w:val="nil"/>
                    <w:left w:val="nil"/>
                    <w:bottom w:val="single" w:sz="4" w:space="0" w:color="auto"/>
                    <w:right w:val="single" w:sz="4" w:space="0" w:color="auto"/>
                  </w:tcBorders>
                  <w:vAlign w:val="center"/>
                  <w:hideMark/>
                </w:tcPr>
                <w:p w14:paraId="0924630B"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C1-C3</w:t>
                  </w:r>
                </w:p>
              </w:tc>
            </w:tr>
            <w:tr w:rsidR="009972EF" w:rsidRPr="00037A46" w14:paraId="1459A843"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77EC26DC" w14:textId="77777777" w:rsidR="009972EF" w:rsidRPr="00831F5A" w:rsidRDefault="009972EF" w:rsidP="009972EF">
                  <w:pPr>
                    <w:spacing w:before="0" w:after="0" w:line="259" w:lineRule="auto"/>
                    <w:ind w:left="0"/>
                    <w:jc w:val="left"/>
                    <w:rPr>
                      <w:rFonts w:cs="Arial"/>
                      <w:color w:val="000000" w:themeColor="text1"/>
                      <w:lang w:val="nl-BE" w:eastAsia="nl-BE"/>
                    </w:rPr>
                  </w:pPr>
                  <w:r w:rsidRPr="00831F5A">
                    <w:rPr>
                      <w:rFonts w:cs="Arial"/>
                      <w:color w:val="000000" w:themeColor="text1"/>
                      <w:lang w:val="nl-BE" w:eastAsia="nl-BE"/>
                    </w:rPr>
                    <w:t>Adm. medewerker bibliotheek</w:t>
                  </w:r>
                </w:p>
              </w:tc>
              <w:tc>
                <w:tcPr>
                  <w:tcW w:w="2777" w:type="dxa"/>
                  <w:tcBorders>
                    <w:top w:val="nil"/>
                    <w:left w:val="nil"/>
                    <w:bottom w:val="single" w:sz="4" w:space="0" w:color="auto"/>
                    <w:right w:val="single" w:sz="4" w:space="0" w:color="auto"/>
                  </w:tcBorders>
                  <w:hideMark/>
                </w:tcPr>
                <w:p w14:paraId="399BB99D"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Administratief medewerker</w:t>
                  </w:r>
                </w:p>
              </w:tc>
              <w:tc>
                <w:tcPr>
                  <w:tcW w:w="2018" w:type="dxa"/>
                  <w:gridSpan w:val="2"/>
                  <w:tcBorders>
                    <w:top w:val="nil"/>
                    <w:left w:val="nil"/>
                    <w:bottom w:val="single" w:sz="4" w:space="0" w:color="auto"/>
                    <w:right w:val="single" w:sz="4" w:space="0" w:color="auto"/>
                  </w:tcBorders>
                  <w:vAlign w:val="center"/>
                  <w:hideMark/>
                </w:tcPr>
                <w:p w14:paraId="262C80E5"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C1-C3</w:t>
                  </w:r>
                </w:p>
              </w:tc>
            </w:tr>
            <w:tr w:rsidR="009972EF" w:rsidRPr="00037A46" w14:paraId="011A0795"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4E98C85D"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Adm. medewerker CC de Meent</w:t>
                  </w:r>
                </w:p>
              </w:tc>
              <w:tc>
                <w:tcPr>
                  <w:tcW w:w="2777" w:type="dxa"/>
                  <w:tcBorders>
                    <w:top w:val="nil"/>
                    <w:left w:val="nil"/>
                    <w:bottom w:val="single" w:sz="4" w:space="0" w:color="auto"/>
                    <w:right w:val="single" w:sz="4" w:space="0" w:color="auto"/>
                  </w:tcBorders>
                  <w:hideMark/>
                </w:tcPr>
                <w:p w14:paraId="564B7033"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Administratief medewerker</w:t>
                  </w:r>
                </w:p>
              </w:tc>
              <w:tc>
                <w:tcPr>
                  <w:tcW w:w="2018" w:type="dxa"/>
                  <w:gridSpan w:val="2"/>
                  <w:tcBorders>
                    <w:top w:val="nil"/>
                    <w:left w:val="nil"/>
                    <w:bottom w:val="single" w:sz="4" w:space="0" w:color="auto"/>
                    <w:right w:val="single" w:sz="4" w:space="0" w:color="auto"/>
                  </w:tcBorders>
                  <w:vAlign w:val="center"/>
                  <w:hideMark/>
                </w:tcPr>
                <w:p w14:paraId="271C3B42"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C1-C3</w:t>
                  </w:r>
                </w:p>
              </w:tc>
            </w:tr>
            <w:tr w:rsidR="009972EF" w14:paraId="4CD0AA26"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5EA17FDF" w14:textId="77777777" w:rsidR="009972EF" w:rsidRPr="00831F5A" w:rsidRDefault="009972EF" w:rsidP="009972EF">
                  <w:pPr>
                    <w:spacing w:before="0" w:after="0"/>
                    <w:ind w:left="0"/>
                    <w:jc w:val="left"/>
                    <w:rPr>
                      <w:rFonts w:cs="Arial"/>
                      <w:color w:val="000000" w:themeColor="text1"/>
                      <w:lang w:val="nl-BE" w:eastAsia="nl-BE"/>
                    </w:rPr>
                  </w:pPr>
                  <w:r w:rsidRPr="00831F5A">
                    <w:rPr>
                      <w:rFonts w:cs="Arial"/>
                      <w:color w:val="000000" w:themeColor="text1"/>
                      <w:lang w:val="nl-BE" w:eastAsia="nl-BE"/>
                    </w:rPr>
                    <w:t>Adm. medewerker vrije tijd</w:t>
                  </w:r>
                </w:p>
              </w:tc>
              <w:tc>
                <w:tcPr>
                  <w:tcW w:w="2777" w:type="dxa"/>
                  <w:tcBorders>
                    <w:top w:val="nil"/>
                    <w:left w:val="nil"/>
                    <w:bottom w:val="single" w:sz="4" w:space="0" w:color="auto"/>
                    <w:right w:val="single" w:sz="4" w:space="0" w:color="auto"/>
                  </w:tcBorders>
                  <w:hideMark/>
                </w:tcPr>
                <w:p w14:paraId="74B3764F"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Administratief medewerker</w:t>
                  </w:r>
                </w:p>
              </w:tc>
              <w:tc>
                <w:tcPr>
                  <w:tcW w:w="2018" w:type="dxa"/>
                  <w:gridSpan w:val="2"/>
                  <w:tcBorders>
                    <w:top w:val="nil"/>
                    <w:left w:val="nil"/>
                    <w:bottom w:val="single" w:sz="4" w:space="0" w:color="auto"/>
                    <w:right w:val="single" w:sz="4" w:space="0" w:color="auto"/>
                  </w:tcBorders>
                  <w:vAlign w:val="center"/>
                  <w:hideMark/>
                </w:tcPr>
                <w:p w14:paraId="23CEBA60"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C1-C3</w:t>
                  </w:r>
                </w:p>
              </w:tc>
            </w:tr>
            <w:tr w:rsidR="009972EF" w:rsidRPr="00037A46" w14:paraId="11C106E7"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7C1C5343" w14:textId="77777777" w:rsidR="009972EF" w:rsidRPr="00831F5A" w:rsidRDefault="009972EF" w:rsidP="009972EF">
                  <w:pPr>
                    <w:spacing w:before="0" w:after="0"/>
                    <w:ind w:left="0"/>
                    <w:jc w:val="left"/>
                    <w:rPr>
                      <w:rFonts w:cs="Arial"/>
                      <w:color w:val="000000"/>
                      <w:lang w:val="nl-BE" w:eastAsia="nl-BE"/>
                    </w:rPr>
                  </w:pPr>
                  <w:proofErr w:type="spellStart"/>
                  <w:r w:rsidRPr="00831F5A">
                    <w:rPr>
                      <w:rFonts w:cs="Arial"/>
                      <w:color w:val="000000" w:themeColor="text1"/>
                      <w:lang w:val="nl-BE" w:eastAsia="nl-BE"/>
                    </w:rPr>
                    <w:t>Techn</w:t>
                  </w:r>
                  <w:proofErr w:type="spellEnd"/>
                  <w:r w:rsidRPr="00831F5A">
                    <w:rPr>
                      <w:rFonts w:cs="Arial"/>
                      <w:color w:val="000000" w:themeColor="text1"/>
                      <w:lang w:val="nl-BE" w:eastAsia="nl-BE"/>
                    </w:rPr>
                    <w:t>. medewerker groenbeheer</w:t>
                  </w:r>
                </w:p>
              </w:tc>
              <w:tc>
                <w:tcPr>
                  <w:tcW w:w="2777" w:type="dxa"/>
                  <w:tcBorders>
                    <w:top w:val="nil"/>
                    <w:left w:val="nil"/>
                    <w:bottom w:val="single" w:sz="4" w:space="0" w:color="auto"/>
                    <w:right w:val="single" w:sz="4" w:space="0" w:color="auto"/>
                  </w:tcBorders>
                  <w:hideMark/>
                </w:tcPr>
                <w:p w14:paraId="65B31AE9"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Administratief medewerker</w:t>
                  </w:r>
                </w:p>
              </w:tc>
              <w:tc>
                <w:tcPr>
                  <w:tcW w:w="2018" w:type="dxa"/>
                  <w:gridSpan w:val="2"/>
                  <w:tcBorders>
                    <w:top w:val="nil"/>
                    <w:left w:val="nil"/>
                    <w:bottom w:val="single" w:sz="4" w:space="0" w:color="auto"/>
                    <w:right w:val="single" w:sz="4" w:space="0" w:color="auto"/>
                  </w:tcBorders>
                  <w:vAlign w:val="center"/>
                  <w:hideMark/>
                </w:tcPr>
                <w:p w14:paraId="231C5A4D"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C1-C3</w:t>
                  </w:r>
                </w:p>
              </w:tc>
            </w:tr>
            <w:tr w:rsidR="009972EF" w:rsidRPr="00037A46" w14:paraId="49B66328"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tcPr>
                <w:p w14:paraId="353297F9" w14:textId="77777777" w:rsidR="009972EF" w:rsidRPr="00831F5A" w:rsidRDefault="009972EF" w:rsidP="009972EF">
                  <w:pPr>
                    <w:spacing w:before="0" w:after="0"/>
                    <w:ind w:left="0"/>
                    <w:jc w:val="left"/>
                    <w:rPr>
                      <w:rFonts w:cs="Arial"/>
                      <w:color w:val="000000" w:themeColor="text1"/>
                      <w:lang w:val="nl-BE" w:eastAsia="nl-BE"/>
                    </w:rPr>
                  </w:pPr>
                  <w:r w:rsidRPr="00831F5A">
                    <w:rPr>
                      <w:rFonts w:cs="Arial"/>
                      <w:color w:val="000000" w:themeColor="text1"/>
                      <w:lang w:val="nl-BE" w:eastAsia="nl-BE"/>
                    </w:rPr>
                    <w:t>Adm. medewerker ruimtelijke planning &amp; vergunning</w:t>
                  </w:r>
                </w:p>
              </w:tc>
              <w:tc>
                <w:tcPr>
                  <w:tcW w:w="2777" w:type="dxa"/>
                  <w:tcBorders>
                    <w:top w:val="nil"/>
                    <w:left w:val="nil"/>
                    <w:bottom w:val="single" w:sz="4" w:space="0" w:color="auto"/>
                    <w:right w:val="single" w:sz="4" w:space="0" w:color="auto"/>
                  </w:tcBorders>
                </w:tcPr>
                <w:p w14:paraId="70FCECF1"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Administratief medewerker</w:t>
                  </w:r>
                </w:p>
              </w:tc>
              <w:tc>
                <w:tcPr>
                  <w:tcW w:w="2018" w:type="dxa"/>
                  <w:gridSpan w:val="2"/>
                  <w:tcBorders>
                    <w:top w:val="nil"/>
                    <w:left w:val="nil"/>
                    <w:bottom w:val="single" w:sz="4" w:space="0" w:color="auto"/>
                    <w:right w:val="single" w:sz="4" w:space="0" w:color="auto"/>
                  </w:tcBorders>
                  <w:vAlign w:val="center"/>
                </w:tcPr>
                <w:p w14:paraId="321AD050"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C1-C3</w:t>
                  </w:r>
                </w:p>
              </w:tc>
            </w:tr>
            <w:tr w:rsidR="009972EF" w:rsidRPr="00037A46" w14:paraId="5E9E11B5"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tcPr>
                <w:p w14:paraId="7506C40E" w14:textId="77777777" w:rsidR="009972EF" w:rsidRPr="00831F5A" w:rsidRDefault="009972EF" w:rsidP="009972EF">
                  <w:pPr>
                    <w:spacing w:before="0" w:after="0"/>
                    <w:ind w:left="0"/>
                    <w:jc w:val="left"/>
                    <w:rPr>
                      <w:rFonts w:cs="Arial"/>
                      <w:color w:val="000000" w:themeColor="text1"/>
                      <w:lang w:val="nl-BE" w:eastAsia="nl-BE"/>
                    </w:rPr>
                  </w:pPr>
                  <w:r w:rsidRPr="00831F5A">
                    <w:rPr>
                      <w:rFonts w:cs="Arial"/>
                      <w:color w:val="000000" w:themeColor="text1"/>
                      <w:lang w:val="nl-BE" w:eastAsia="nl-BE"/>
                    </w:rPr>
                    <w:t>Adm. medewerker veiligheid &amp; evenementen</w:t>
                  </w:r>
                </w:p>
              </w:tc>
              <w:tc>
                <w:tcPr>
                  <w:tcW w:w="2777" w:type="dxa"/>
                  <w:tcBorders>
                    <w:top w:val="nil"/>
                    <w:left w:val="nil"/>
                    <w:bottom w:val="single" w:sz="4" w:space="0" w:color="auto"/>
                    <w:right w:val="single" w:sz="4" w:space="0" w:color="auto"/>
                  </w:tcBorders>
                </w:tcPr>
                <w:p w14:paraId="1F9C34B7" w14:textId="77777777" w:rsidR="009972EF" w:rsidRDefault="009972EF" w:rsidP="009972EF">
                  <w:pPr>
                    <w:spacing w:before="0" w:after="0"/>
                    <w:ind w:left="0"/>
                    <w:jc w:val="left"/>
                    <w:rPr>
                      <w:rFonts w:cs="Arial"/>
                      <w:color w:val="000000"/>
                      <w:lang w:val="nl-BE" w:eastAsia="nl-BE"/>
                    </w:rPr>
                  </w:pPr>
                  <w:r>
                    <w:rPr>
                      <w:rFonts w:cs="Arial"/>
                      <w:color w:val="000000"/>
                      <w:lang w:val="nl-BE" w:eastAsia="nl-BE"/>
                    </w:rPr>
                    <w:t xml:space="preserve">Administratief medewerker </w:t>
                  </w:r>
                </w:p>
              </w:tc>
              <w:tc>
                <w:tcPr>
                  <w:tcW w:w="2018" w:type="dxa"/>
                  <w:gridSpan w:val="2"/>
                  <w:tcBorders>
                    <w:top w:val="nil"/>
                    <w:left w:val="nil"/>
                    <w:bottom w:val="single" w:sz="4" w:space="0" w:color="auto"/>
                    <w:right w:val="single" w:sz="4" w:space="0" w:color="auto"/>
                  </w:tcBorders>
                  <w:vAlign w:val="center"/>
                </w:tcPr>
                <w:p w14:paraId="469F0C0C" w14:textId="77777777" w:rsidR="009972EF" w:rsidRDefault="009972EF" w:rsidP="009972EF">
                  <w:pPr>
                    <w:spacing w:before="0" w:after="0"/>
                    <w:ind w:left="0"/>
                    <w:jc w:val="left"/>
                    <w:rPr>
                      <w:rFonts w:cs="Arial"/>
                      <w:color w:val="000000"/>
                      <w:lang w:val="nl-BE" w:eastAsia="nl-BE"/>
                    </w:rPr>
                  </w:pPr>
                  <w:r>
                    <w:rPr>
                      <w:rFonts w:cs="Arial"/>
                      <w:color w:val="000000"/>
                      <w:lang w:val="nl-BE" w:eastAsia="nl-BE"/>
                    </w:rPr>
                    <w:t>C1-C3</w:t>
                  </w:r>
                </w:p>
              </w:tc>
            </w:tr>
            <w:tr w:rsidR="009972EF" w14:paraId="7624C4B7"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711A356D" w14:textId="77777777" w:rsidR="009972EF" w:rsidRPr="00831F5A" w:rsidRDefault="009972EF" w:rsidP="009972EF">
                  <w:pPr>
                    <w:ind w:left="0"/>
                    <w:jc w:val="left"/>
                    <w:rPr>
                      <w:rFonts w:cs="Arial"/>
                      <w:color w:val="000000" w:themeColor="text1"/>
                      <w:lang w:val="nl-BE" w:eastAsia="nl-BE"/>
                    </w:rPr>
                  </w:pPr>
                  <w:r w:rsidRPr="00831F5A">
                    <w:rPr>
                      <w:rFonts w:cs="Arial"/>
                      <w:color w:val="000000" w:themeColor="text1"/>
                      <w:lang w:val="nl-BE" w:eastAsia="nl-BE"/>
                    </w:rPr>
                    <w:t>Beheerder sportinfrastructuur</w:t>
                  </w:r>
                </w:p>
              </w:tc>
              <w:tc>
                <w:tcPr>
                  <w:tcW w:w="2777" w:type="dxa"/>
                  <w:tcBorders>
                    <w:top w:val="nil"/>
                    <w:left w:val="nil"/>
                    <w:bottom w:val="single" w:sz="4" w:space="0" w:color="auto"/>
                    <w:right w:val="single" w:sz="4" w:space="0" w:color="auto"/>
                  </w:tcBorders>
                  <w:hideMark/>
                </w:tcPr>
                <w:p w14:paraId="15808D49" w14:textId="77777777" w:rsidR="009972EF" w:rsidRDefault="009972EF" w:rsidP="009972EF">
                  <w:pPr>
                    <w:spacing w:before="0" w:after="0" w:line="259" w:lineRule="auto"/>
                    <w:ind w:left="0"/>
                    <w:jc w:val="left"/>
                    <w:rPr>
                      <w:rFonts w:cs="Arial"/>
                      <w:color w:val="000000" w:themeColor="text1"/>
                      <w:lang w:val="nl-BE" w:eastAsia="nl-BE"/>
                    </w:rPr>
                  </w:pPr>
                  <w:r w:rsidRPr="3D49E98B">
                    <w:rPr>
                      <w:rFonts w:cs="Arial"/>
                      <w:color w:val="000000" w:themeColor="text1"/>
                      <w:lang w:val="nl-BE" w:eastAsia="nl-BE"/>
                    </w:rPr>
                    <w:t>Technisch medewerker</w:t>
                  </w:r>
                </w:p>
              </w:tc>
              <w:tc>
                <w:tcPr>
                  <w:tcW w:w="2018" w:type="dxa"/>
                  <w:gridSpan w:val="2"/>
                  <w:tcBorders>
                    <w:top w:val="nil"/>
                    <w:left w:val="nil"/>
                    <w:bottom w:val="single" w:sz="4" w:space="0" w:color="auto"/>
                    <w:right w:val="single" w:sz="4" w:space="0" w:color="auto"/>
                  </w:tcBorders>
                  <w:vAlign w:val="center"/>
                  <w:hideMark/>
                </w:tcPr>
                <w:p w14:paraId="7FB8F891" w14:textId="77777777" w:rsidR="009972EF" w:rsidRDefault="009972EF" w:rsidP="009972EF">
                  <w:pPr>
                    <w:spacing w:before="0" w:after="0" w:line="259" w:lineRule="auto"/>
                    <w:ind w:left="0"/>
                    <w:jc w:val="left"/>
                  </w:pPr>
                  <w:r w:rsidRPr="3D49E98B">
                    <w:rPr>
                      <w:rFonts w:cs="Arial"/>
                      <w:color w:val="000000" w:themeColor="text1"/>
                      <w:lang w:val="nl-BE" w:eastAsia="nl-BE"/>
                    </w:rPr>
                    <w:t>C1-C3</w:t>
                  </w:r>
                </w:p>
              </w:tc>
            </w:tr>
            <w:tr w:rsidR="009972EF" w14:paraId="59FFE8D1"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7B9B8C00" w14:textId="77777777" w:rsidR="009972EF" w:rsidRPr="00831F5A" w:rsidRDefault="009972EF" w:rsidP="009972EF">
                  <w:pPr>
                    <w:ind w:left="0"/>
                    <w:jc w:val="left"/>
                    <w:rPr>
                      <w:rFonts w:cs="Arial"/>
                      <w:color w:val="000000" w:themeColor="text1"/>
                      <w:lang w:val="nl-BE" w:eastAsia="nl-BE"/>
                    </w:rPr>
                  </w:pPr>
                  <w:r w:rsidRPr="00831F5A">
                    <w:rPr>
                      <w:rFonts w:cs="Arial"/>
                      <w:color w:val="000000" w:themeColor="text1"/>
                      <w:lang w:val="nl-BE" w:eastAsia="nl-BE"/>
                    </w:rPr>
                    <w:t>Beheerder jeugdinfrastructuur</w:t>
                  </w:r>
                </w:p>
              </w:tc>
              <w:tc>
                <w:tcPr>
                  <w:tcW w:w="2777" w:type="dxa"/>
                  <w:tcBorders>
                    <w:top w:val="nil"/>
                    <w:left w:val="nil"/>
                    <w:bottom w:val="single" w:sz="4" w:space="0" w:color="auto"/>
                    <w:right w:val="single" w:sz="4" w:space="0" w:color="auto"/>
                  </w:tcBorders>
                  <w:hideMark/>
                </w:tcPr>
                <w:p w14:paraId="1956CF05" w14:textId="77777777" w:rsidR="009972EF" w:rsidRDefault="009972EF" w:rsidP="009972EF">
                  <w:pPr>
                    <w:spacing w:before="0" w:after="0" w:line="259" w:lineRule="auto"/>
                    <w:ind w:left="0"/>
                    <w:jc w:val="left"/>
                    <w:rPr>
                      <w:rFonts w:cs="Arial"/>
                      <w:color w:val="000000" w:themeColor="text1"/>
                      <w:lang w:val="nl-BE" w:eastAsia="nl-BE"/>
                    </w:rPr>
                  </w:pPr>
                  <w:r w:rsidRPr="3D49E98B">
                    <w:rPr>
                      <w:rFonts w:cs="Arial"/>
                      <w:color w:val="000000" w:themeColor="text1"/>
                      <w:lang w:val="nl-BE" w:eastAsia="nl-BE"/>
                    </w:rPr>
                    <w:t>Technisch medewerker</w:t>
                  </w:r>
                </w:p>
              </w:tc>
              <w:tc>
                <w:tcPr>
                  <w:tcW w:w="2018" w:type="dxa"/>
                  <w:gridSpan w:val="2"/>
                  <w:tcBorders>
                    <w:top w:val="nil"/>
                    <w:left w:val="nil"/>
                    <w:bottom w:val="single" w:sz="4" w:space="0" w:color="auto"/>
                    <w:right w:val="single" w:sz="4" w:space="0" w:color="auto"/>
                  </w:tcBorders>
                  <w:vAlign w:val="center"/>
                  <w:hideMark/>
                </w:tcPr>
                <w:p w14:paraId="32509F66" w14:textId="77777777" w:rsidR="009972EF" w:rsidRDefault="009972EF" w:rsidP="009972EF">
                  <w:pPr>
                    <w:spacing w:before="0" w:after="0" w:line="259" w:lineRule="auto"/>
                    <w:ind w:left="0"/>
                    <w:jc w:val="left"/>
                  </w:pPr>
                  <w:r w:rsidRPr="3D49E98B">
                    <w:rPr>
                      <w:rFonts w:cs="Arial"/>
                      <w:color w:val="000000" w:themeColor="text1"/>
                      <w:lang w:val="nl-BE" w:eastAsia="nl-BE"/>
                    </w:rPr>
                    <w:t>C1-C3</w:t>
                  </w:r>
                </w:p>
              </w:tc>
            </w:tr>
            <w:tr w:rsidR="009972EF" w14:paraId="395EF10C"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tcPr>
                <w:p w14:paraId="49936ED2" w14:textId="77777777" w:rsidR="009972EF" w:rsidRPr="00831F5A" w:rsidRDefault="009972EF" w:rsidP="009972EF">
                  <w:pPr>
                    <w:ind w:left="0"/>
                    <w:jc w:val="left"/>
                    <w:rPr>
                      <w:rFonts w:cs="Arial"/>
                      <w:color w:val="000000" w:themeColor="text1"/>
                      <w:lang w:val="nl-BE" w:eastAsia="nl-BE"/>
                    </w:rPr>
                  </w:pPr>
                  <w:r w:rsidRPr="00831F5A">
                    <w:rPr>
                      <w:rFonts w:cs="Arial"/>
                      <w:color w:val="000000" w:themeColor="text1"/>
                      <w:lang w:val="nl-BE" w:eastAsia="nl-BE"/>
                    </w:rPr>
                    <w:t>Adm. &amp; log. Medewerker vrije tijd</w:t>
                  </w:r>
                </w:p>
              </w:tc>
              <w:tc>
                <w:tcPr>
                  <w:tcW w:w="2777" w:type="dxa"/>
                  <w:tcBorders>
                    <w:top w:val="nil"/>
                    <w:left w:val="nil"/>
                    <w:bottom w:val="single" w:sz="4" w:space="0" w:color="auto"/>
                    <w:right w:val="single" w:sz="4" w:space="0" w:color="auto"/>
                  </w:tcBorders>
                </w:tcPr>
                <w:p w14:paraId="380F4069" w14:textId="77777777" w:rsidR="009972EF" w:rsidRPr="3D49E98B" w:rsidRDefault="009972EF" w:rsidP="009972EF">
                  <w:pPr>
                    <w:spacing w:before="0" w:after="0" w:line="259" w:lineRule="auto"/>
                    <w:ind w:left="0"/>
                    <w:jc w:val="left"/>
                    <w:rPr>
                      <w:rFonts w:cs="Arial"/>
                      <w:color w:val="000000" w:themeColor="text1"/>
                      <w:lang w:val="nl-BE" w:eastAsia="nl-BE"/>
                    </w:rPr>
                  </w:pPr>
                  <w:r>
                    <w:rPr>
                      <w:rFonts w:cs="Arial"/>
                      <w:color w:val="000000" w:themeColor="text1"/>
                      <w:lang w:val="nl-BE" w:eastAsia="nl-BE"/>
                    </w:rPr>
                    <w:t>Administratief medewerker</w:t>
                  </w:r>
                </w:p>
              </w:tc>
              <w:tc>
                <w:tcPr>
                  <w:tcW w:w="2018" w:type="dxa"/>
                  <w:gridSpan w:val="2"/>
                  <w:tcBorders>
                    <w:top w:val="nil"/>
                    <w:left w:val="nil"/>
                    <w:bottom w:val="single" w:sz="4" w:space="0" w:color="auto"/>
                    <w:right w:val="single" w:sz="4" w:space="0" w:color="auto"/>
                  </w:tcBorders>
                  <w:vAlign w:val="center"/>
                </w:tcPr>
                <w:p w14:paraId="3C26D8FB" w14:textId="77777777" w:rsidR="009972EF" w:rsidRPr="3D49E98B" w:rsidRDefault="009972EF" w:rsidP="009972EF">
                  <w:pPr>
                    <w:spacing w:before="0" w:after="0" w:line="259" w:lineRule="auto"/>
                    <w:ind w:left="0"/>
                    <w:jc w:val="left"/>
                    <w:rPr>
                      <w:rFonts w:cs="Arial"/>
                      <w:color w:val="000000" w:themeColor="text1"/>
                      <w:lang w:val="nl-BE" w:eastAsia="nl-BE"/>
                    </w:rPr>
                  </w:pPr>
                  <w:r>
                    <w:rPr>
                      <w:rFonts w:cs="Arial"/>
                      <w:color w:val="000000" w:themeColor="text1"/>
                      <w:lang w:val="nl-BE" w:eastAsia="nl-BE"/>
                    </w:rPr>
                    <w:t>C1-C3</w:t>
                  </w:r>
                </w:p>
              </w:tc>
            </w:tr>
            <w:tr w:rsidR="009972EF" w14:paraId="4FB7938F"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0A52275D" w14:textId="77777777" w:rsidR="009972EF" w:rsidRPr="00831F5A" w:rsidRDefault="009972EF" w:rsidP="009972EF">
                  <w:pPr>
                    <w:spacing w:before="0" w:after="0"/>
                    <w:ind w:left="0"/>
                    <w:jc w:val="left"/>
                    <w:rPr>
                      <w:rFonts w:cs="Arial"/>
                      <w:color w:val="000000" w:themeColor="text1"/>
                      <w:lang w:val="nl-BE" w:eastAsia="nl-BE"/>
                    </w:rPr>
                  </w:pPr>
                  <w:r w:rsidRPr="00831F5A">
                    <w:rPr>
                      <w:rFonts w:cs="Arial"/>
                      <w:color w:val="000000" w:themeColor="text1"/>
                      <w:lang w:val="nl-BE" w:eastAsia="nl-BE"/>
                    </w:rPr>
                    <w:t>Hoofdtechnieker</w:t>
                  </w:r>
                </w:p>
              </w:tc>
              <w:tc>
                <w:tcPr>
                  <w:tcW w:w="2777" w:type="dxa"/>
                  <w:tcBorders>
                    <w:top w:val="nil"/>
                    <w:left w:val="nil"/>
                    <w:bottom w:val="single" w:sz="4" w:space="0" w:color="auto"/>
                    <w:right w:val="single" w:sz="4" w:space="0" w:color="auto"/>
                  </w:tcBorders>
                  <w:hideMark/>
                </w:tcPr>
                <w:p w14:paraId="0CBCD1A3"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Technisch medewerker</w:t>
                  </w:r>
                </w:p>
              </w:tc>
              <w:tc>
                <w:tcPr>
                  <w:tcW w:w="2018" w:type="dxa"/>
                  <w:gridSpan w:val="2"/>
                  <w:tcBorders>
                    <w:top w:val="nil"/>
                    <w:left w:val="nil"/>
                    <w:bottom w:val="single" w:sz="4" w:space="0" w:color="auto"/>
                    <w:right w:val="single" w:sz="4" w:space="0" w:color="auto"/>
                  </w:tcBorders>
                  <w:vAlign w:val="center"/>
                  <w:hideMark/>
                </w:tcPr>
                <w:p w14:paraId="42C30C31"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C1-C3</w:t>
                  </w:r>
                </w:p>
              </w:tc>
            </w:tr>
            <w:tr w:rsidR="009972EF" w14:paraId="014E63BE"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50A4B408" w14:textId="77777777" w:rsidR="009972EF" w:rsidRPr="00831F5A" w:rsidRDefault="009972EF" w:rsidP="009972EF">
                  <w:pPr>
                    <w:spacing w:before="0" w:after="0"/>
                    <w:ind w:left="0"/>
                    <w:jc w:val="left"/>
                    <w:rPr>
                      <w:rFonts w:cs="Arial"/>
                      <w:lang w:val="nl-BE" w:eastAsia="nl-BE"/>
                    </w:rPr>
                  </w:pPr>
                  <w:r w:rsidRPr="00831F5A">
                    <w:rPr>
                      <w:rFonts w:cs="Arial"/>
                      <w:lang w:val="nl-BE" w:eastAsia="nl-BE"/>
                    </w:rPr>
                    <w:t>Tech. medewerker openbare werken</w:t>
                  </w:r>
                </w:p>
              </w:tc>
              <w:tc>
                <w:tcPr>
                  <w:tcW w:w="2777" w:type="dxa"/>
                  <w:tcBorders>
                    <w:top w:val="nil"/>
                    <w:left w:val="nil"/>
                    <w:bottom w:val="single" w:sz="4" w:space="0" w:color="auto"/>
                    <w:right w:val="single" w:sz="4" w:space="0" w:color="auto"/>
                  </w:tcBorders>
                  <w:hideMark/>
                </w:tcPr>
                <w:p w14:paraId="599B8400" w14:textId="77777777" w:rsidR="009972EF" w:rsidRDefault="009972EF" w:rsidP="009972EF">
                  <w:pPr>
                    <w:spacing w:before="0" w:after="0"/>
                    <w:ind w:left="0"/>
                    <w:jc w:val="left"/>
                    <w:rPr>
                      <w:rFonts w:cs="Arial"/>
                      <w:lang w:val="nl-BE" w:eastAsia="nl-BE"/>
                    </w:rPr>
                  </w:pPr>
                  <w:r w:rsidRPr="16465010">
                    <w:rPr>
                      <w:rFonts w:cs="Arial"/>
                      <w:lang w:val="nl-BE" w:eastAsia="nl-BE"/>
                    </w:rPr>
                    <w:t>Technisch</w:t>
                  </w:r>
                  <w:r w:rsidRPr="3D49E98B">
                    <w:rPr>
                      <w:rFonts w:cs="Arial"/>
                      <w:lang w:val="nl-BE" w:eastAsia="nl-BE"/>
                    </w:rPr>
                    <w:t xml:space="preserve"> medewerker</w:t>
                  </w:r>
                </w:p>
              </w:tc>
              <w:tc>
                <w:tcPr>
                  <w:tcW w:w="2018" w:type="dxa"/>
                  <w:gridSpan w:val="2"/>
                  <w:tcBorders>
                    <w:top w:val="nil"/>
                    <w:left w:val="nil"/>
                    <w:bottom w:val="single" w:sz="4" w:space="0" w:color="auto"/>
                    <w:right w:val="single" w:sz="4" w:space="0" w:color="auto"/>
                  </w:tcBorders>
                  <w:vAlign w:val="center"/>
                  <w:hideMark/>
                </w:tcPr>
                <w:p w14:paraId="3E23DFD2" w14:textId="77777777" w:rsidR="009972EF" w:rsidRDefault="009972EF" w:rsidP="009972EF">
                  <w:pPr>
                    <w:spacing w:before="0" w:after="0"/>
                    <w:ind w:left="0"/>
                    <w:jc w:val="left"/>
                    <w:rPr>
                      <w:rFonts w:cs="Arial"/>
                      <w:lang w:val="nl-BE" w:eastAsia="nl-BE"/>
                    </w:rPr>
                  </w:pPr>
                  <w:r w:rsidRPr="3D49E98B">
                    <w:rPr>
                      <w:rFonts w:cs="Arial"/>
                      <w:lang w:val="nl-BE" w:eastAsia="nl-BE"/>
                    </w:rPr>
                    <w:t>C1-C3</w:t>
                  </w:r>
                </w:p>
              </w:tc>
            </w:tr>
            <w:tr w:rsidR="009972EF" w14:paraId="1063EECF"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tcPr>
                <w:p w14:paraId="37552B71" w14:textId="77777777" w:rsidR="009972EF" w:rsidRPr="00831F5A" w:rsidRDefault="009972EF" w:rsidP="009972EF">
                  <w:pPr>
                    <w:spacing w:before="0" w:after="0"/>
                    <w:ind w:left="0"/>
                    <w:jc w:val="left"/>
                    <w:rPr>
                      <w:rFonts w:cs="Arial"/>
                      <w:lang w:val="nl-BE" w:eastAsia="nl-BE"/>
                    </w:rPr>
                  </w:pPr>
                  <w:r w:rsidRPr="00831F5A">
                    <w:rPr>
                      <w:rFonts w:cs="Arial"/>
                      <w:lang w:val="nl-BE" w:eastAsia="nl-BE"/>
                    </w:rPr>
                    <w:t>Gemeenschapswacht</w:t>
                  </w:r>
                </w:p>
              </w:tc>
              <w:tc>
                <w:tcPr>
                  <w:tcW w:w="2777" w:type="dxa"/>
                  <w:tcBorders>
                    <w:top w:val="nil"/>
                    <w:left w:val="nil"/>
                    <w:bottom w:val="single" w:sz="4" w:space="0" w:color="auto"/>
                    <w:right w:val="single" w:sz="4" w:space="0" w:color="auto"/>
                  </w:tcBorders>
                </w:tcPr>
                <w:p w14:paraId="59706977" w14:textId="77777777" w:rsidR="009972EF" w:rsidRPr="16465010" w:rsidRDefault="009972EF" w:rsidP="009972EF">
                  <w:pPr>
                    <w:spacing w:before="0" w:after="0"/>
                    <w:ind w:left="0"/>
                    <w:jc w:val="left"/>
                    <w:rPr>
                      <w:rFonts w:cs="Arial"/>
                      <w:lang w:val="nl-BE" w:eastAsia="nl-BE"/>
                    </w:rPr>
                  </w:pPr>
                  <w:r>
                    <w:rPr>
                      <w:rFonts w:cs="Arial"/>
                      <w:lang w:val="nl-BE" w:eastAsia="nl-BE"/>
                    </w:rPr>
                    <w:t>Administratief medewerker</w:t>
                  </w:r>
                </w:p>
              </w:tc>
              <w:tc>
                <w:tcPr>
                  <w:tcW w:w="2018" w:type="dxa"/>
                  <w:gridSpan w:val="2"/>
                  <w:tcBorders>
                    <w:top w:val="nil"/>
                    <w:left w:val="nil"/>
                    <w:bottom w:val="single" w:sz="4" w:space="0" w:color="auto"/>
                    <w:right w:val="single" w:sz="4" w:space="0" w:color="auto"/>
                  </w:tcBorders>
                  <w:vAlign w:val="center"/>
                </w:tcPr>
                <w:p w14:paraId="488AD03F" w14:textId="77777777" w:rsidR="009972EF" w:rsidRPr="3D49E98B" w:rsidRDefault="009972EF" w:rsidP="009972EF">
                  <w:pPr>
                    <w:spacing w:before="0" w:after="0"/>
                    <w:ind w:left="0"/>
                    <w:jc w:val="left"/>
                    <w:rPr>
                      <w:rFonts w:cs="Arial"/>
                      <w:lang w:val="nl-BE" w:eastAsia="nl-BE"/>
                    </w:rPr>
                  </w:pPr>
                  <w:r>
                    <w:rPr>
                      <w:rFonts w:cs="Arial"/>
                      <w:lang w:val="nl-BE" w:eastAsia="nl-BE"/>
                    </w:rPr>
                    <w:t>C1-C3</w:t>
                  </w:r>
                </w:p>
              </w:tc>
            </w:tr>
            <w:tr w:rsidR="009972EF" w14:paraId="437C2D71"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64CD4095" w14:textId="77777777" w:rsidR="009972EF" w:rsidRDefault="009972EF" w:rsidP="009972EF">
                  <w:pPr>
                    <w:spacing w:before="0" w:after="0"/>
                    <w:ind w:left="0"/>
                    <w:jc w:val="left"/>
                    <w:rPr>
                      <w:rFonts w:cs="Arial"/>
                      <w:color w:val="000000" w:themeColor="text1"/>
                      <w:lang w:val="nl-BE" w:eastAsia="nl-BE"/>
                    </w:rPr>
                  </w:pPr>
                  <w:proofErr w:type="spellStart"/>
                  <w:r w:rsidRPr="3D49E98B">
                    <w:rPr>
                      <w:rFonts w:cs="Arial"/>
                      <w:color w:val="000000" w:themeColor="text1"/>
                      <w:lang w:val="nl-BE" w:eastAsia="nl-BE"/>
                    </w:rPr>
                    <w:t>Techn</w:t>
                  </w:r>
                  <w:proofErr w:type="spellEnd"/>
                  <w:r w:rsidRPr="3D49E98B">
                    <w:rPr>
                      <w:rFonts w:cs="Arial"/>
                      <w:color w:val="000000" w:themeColor="text1"/>
                      <w:lang w:val="nl-BE" w:eastAsia="nl-BE"/>
                    </w:rPr>
                    <w:t>. medewerker TUD</w:t>
                  </w:r>
                </w:p>
              </w:tc>
              <w:tc>
                <w:tcPr>
                  <w:tcW w:w="2777" w:type="dxa"/>
                  <w:tcBorders>
                    <w:top w:val="nil"/>
                    <w:left w:val="nil"/>
                    <w:bottom w:val="single" w:sz="4" w:space="0" w:color="auto"/>
                    <w:right w:val="single" w:sz="4" w:space="0" w:color="auto"/>
                  </w:tcBorders>
                  <w:hideMark/>
                </w:tcPr>
                <w:p w14:paraId="3133759D"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Technisch medewerker</w:t>
                  </w:r>
                </w:p>
              </w:tc>
              <w:tc>
                <w:tcPr>
                  <w:tcW w:w="2018" w:type="dxa"/>
                  <w:gridSpan w:val="2"/>
                  <w:tcBorders>
                    <w:top w:val="nil"/>
                    <w:left w:val="nil"/>
                    <w:bottom w:val="single" w:sz="4" w:space="0" w:color="auto"/>
                    <w:right w:val="single" w:sz="4" w:space="0" w:color="auto"/>
                  </w:tcBorders>
                  <w:vAlign w:val="center"/>
                  <w:hideMark/>
                </w:tcPr>
                <w:p w14:paraId="1E33C794"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C1-C3</w:t>
                  </w:r>
                </w:p>
              </w:tc>
            </w:tr>
            <w:tr w:rsidR="009972EF" w14:paraId="0F4ED539"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0DE81621" w14:textId="77777777" w:rsidR="009972EF" w:rsidRDefault="009972EF" w:rsidP="009972EF">
                  <w:pPr>
                    <w:spacing w:before="0" w:after="0"/>
                    <w:ind w:left="0"/>
                    <w:jc w:val="left"/>
                    <w:rPr>
                      <w:rFonts w:cs="Arial"/>
                      <w:color w:val="000000" w:themeColor="text1"/>
                      <w:lang w:val="nl-BE" w:eastAsia="nl-BE"/>
                    </w:rPr>
                  </w:pPr>
                  <w:proofErr w:type="spellStart"/>
                  <w:r w:rsidRPr="3D49E98B">
                    <w:rPr>
                      <w:rFonts w:cs="Arial"/>
                      <w:color w:val="000000" w:themeColor="text1"/>
                      <w:lang w:val="nl-BE" w:eastAsia="nl-BE"/>
                    </w:rPr>
                    <w:t>Techn</w:t>
                  </w:r>
                  <w:proofErr w:type="spellEnd"/>
                  <w:r w:rsidRPr="3D49E98B">
                    <w:rPr>
                      <w:rFonts w:cs="Arial"/>
                      <w:color w:val="000000" w:themeColor="text1"/>
                      <w:lang w:val="nl-BE" w:eastAsia="nl-BE"/>
                    </w:rPr>
                    <w:t>. medewerker ruimtelijke ordening</w:t>
                  </w:r>
                </w:p>
              </w:tc>
              <w:tc>
                <w:tcPr>
                  <w:tcW w:w="2777" w:type="dxa"/>
                  <w:tcBorders>
                    <w:top w:val="nil"/>
                    <w:left w:val="nil"/>
                    <w:bottom w:val="single" w:sz="4" w:space="0" w:color="auto"/>
                    <w:right w:val="single" w:sz="4" w:space="0" w:color="auto"/>
                  </w:tcBorders>
                  <w:hideMark/>
                </w:tcPr>
                <w:p w14:paraId="1BA5ADCF"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Technisch medewerker</w:t>
                  </w:r>
                </w:p>
              </w:tc>
              <w:tc>
                <w:tcPr>
                  <w:tcW w:w="2018" w:type="dxa"/>
                  <w:gridSpan w:val="2"/>
                  <w:tcBorders>
                    <w:top w:val="nil"/>
                    <w:left w:val="nil"/>
                    <w:bottom w:val="single" w:sz="4" w:space="0" w:color="auto"/>
                    <w:right w:val="single" w:sz="4" w:space="0" w:color="auto"/>
                  </w:tcBorders>
                  <w:vAlign w:val="center"/>
                  <w:hideMark/>
                </w:tcPr>
                <w:p w14:paraId="3E098C0E"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C1-C3</w:t>
                  </w:r>
                </w:p>
              </w:tc>
            </w:tr>
            <w:tr w:rsidR="009972EF" w14:paraId="0DD3442F"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5E56A0E8"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Medewerker facility</w:t>
                  </w:r>
                </w:p>
              </w:tc>
              <w:tc>
                <w:tcPr>
                  <w:tcW w:w="2777" w:type="dxa"/>
                  <w:tcBorders>
                    <w:top w:val="nil"/>
                    <w:left w:val="nil"/>
                    <w:bottom w:val="single" w:sz="4" w:space="0" w:color="auto"/>
                    <w:right w:val="single" w:sz="4" w:space="0" w:color="auto"/>
                  </w:tcBorders>
                  <w:hideMark/>
                </w:tcPr>
                <w:p w14:paraId="3C67BCC6"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Technisch medewerker</w:t>
                  </w:r>
                </w:p>
              </w:tc>
              <w:tc>
                <w:tcPr>
                  <w:tcW w:w="2018" w:type="dxa"/>
                  <w:gridSpan w:val="2"/>
                  <w:tcBorders>
                    <w:top w:val="nil"/>
                    <w:left w:val="nil"/>
                    <w:bottom w:val="single" w:sz="4" w:space="0" w:color="auto"/>
                    <w:right w:val="single" w:sz="4" w:space="0" w:color="auto"/>
                  </w:tcBorders>
                  <w:vAlign w:val="center"/>
                  <w:hideMark/>
                </w:tcPr>
                <w:p w14:paraId="72C1BF42"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C1-C3</w:t>
                  </w:r>
                </w:p>
              </w:tc>
            </w:tr>
            <w:tr w:rsidR="009972EF" w14:paraId="32655683"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7CEB86A1" w14:textId="77777777" w:rsidR="009972EF" w:rsidRDefault="009972EF" w:rsidP="009972EF">
                  <w:pPr>
                    <w:spacing w:before="0" w:after="0"/>
                    <w:ind w:left="0"/>
                    <w:jc w:val="left"/>
                    <w:rPr>
                      <w:rFonts w:cs="Arial"/>
                      <w:color w:val="000000" w:themeColor="text1"/>
                      <w:lang w:val="nl-BE" w:eastAsia="nl-BE"/>
                    </w:rPr>
                  </w:pPr>
                  <w:proofErr w:type="spellStart"/>
                  <w:r w:rsidRPr="3D49E98B">
                    <w:rPr>
                      <w:rFonts w:cs="Arial"/>
                      <w:color w:val="000000" w:themeColor="text1"/>
                      <w:lang w:val="nl-BE" w:eastAsia="nl-BE"/>
                    </w:rPr>
                    <w:t>Techn.medewerker</w:t>
                  </w:r>
                  <w:proofErr w:type="spellEnd"/>
                  <w:r w:rsidRPr="3D49E98B">
                    <w:rPr>
                      <w:rFonts w:cs="Arial"/>
                      <w:color w:val="000000" w:themeColor="text1"/>
                      <w:lang w:val="nl-BE" w:eastAsia="nl-BE"/>
                    </w:rPr>
                    <w:t>-werkopzichter TUD</w:t>
                  </w:r>
                </w:p>
              </w:tc>
              <w:tc>
                <w:tcPr>
                  <w:tcW w:w="2777" w:type="dxa"/>
                  <w:tcBorders>
                    <w:top w:val="nil"/>
                    <w:left w:val="nil"/>
                    <w:bottom w:val="single" w:sz="4" w:space="0" w:color="auto"/>
                    <w:right w:val="single" w:sz="4" w:space="0" w:color="auto"/>
                  </w:tcBorders>
                  <w:hideMark/>
                </w:tcPr>
                <w:p w14:paraId="7298BA3B"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Technisch medewerker</w:t>
                  </w:r>
                </w:p>
              </w:tc>
              <w:tc>
                <w:tcPr>
                  <w:tcW w:w="2018" w:type="dxa"/>
                  <w:gridSpan w:val="2"/>
                  <w:tcBorders>
                    <w:top w:val="nil"/>
                    <w:left w:val="nil"/>
                    <w:bottom w:val="single" w:sz="4" w:space="0" w:color="auto"/>
                    <w:right w:val="single" w:sz="4" w:space="0" w:color="auto"/>
                  </w:tcBorders>
                  <w:vAlign w:val="center"/>
                  <w:hideMark/>
                </w:tcPr>
                <w:p w14:paraId="682D716D"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C1-C3</w:t>
                  </w:r>
                </w:p>
              </w:tc>
            </w:tr>
            <w:tr w:rsidR="009972EF" w14:paraId="48F35A6B"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74B4B95A"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Werkopzichter patrimonium</w:t>
                  </w:r>
                </w:p>
              </w:tc>
              <w:tc>
                <w:tcPr>
                  <w:tcW w:w="2777" w:type="dxa"/>
                  <w:tcBorders>
                    <w:top w:val="nil"/>
                    <w:left w:val="nil"/>
                    <w:bottom w:val="single" w:sz="4" w:space="0" w:color="auto"/>
                    <w:right w:val="single" w:sz="4" w:space="0" w:color="auto"/>
                  </w:tcBorders>
                  <w:hideMark/>
                </w:tcPr>
                <w:p w14:paraId="5437A2C3"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Technisch medewerker</w:t>
                  </w:r>
                </w:p>
              </w:tc>
              <w:tc>
                <w:tcPr>
                  <w:tcW w:w="2018" w:type="dxa"/>
                  <w:gridSpan w:val="2"/>
                  <w:tcBorders>
                    <w:top w:val="nil"/>
                    <w:left w:val="nil"/>
                    <w:bottom w:val="single" w:sz="4" w:space="0" w:color="auto"/>
                    <w:right w:val="single" w:sz="4" w:space="0" w:color="auto"/>
                  </w:tcBorders>
                  <w:vAlign w:val="center"/>
                  <w:hideMark/>
                </w:tcPr>
                <w:p w14:paraId="756BF06C" w14:textId="77777777" w:rsidR="009972EF" w:rsidRPr="00831F5A" w:rsidRDefault="009972EF" w:rsidP="009972EF">
                  <w:pPr>
                    <w:spacing w:before="0" w:after="0"/>
                    <w:ind w:left="0"/>
                    <w:jc w:val="left"/>
                    <w:rPr>
                      <w:rFonts w:cs="Arial"/>
                      <w:color w:val="000000" w:themeColor="text1"/>
                      <w:lang w:val="nl-BE" w:eastAsia="nl-BE"/>
                    </w:rPr>
                  </w:pPr>
                  <w:r w:rsidRPr="00831F5A">
                    <w:rPr>
                      <w:rFonts w:cs="Arial"/>
                      <w:color w:val="000000" w:themeColor="text1"/>
                      <w:lang w:val="nl-BE" w:eastAsia="nl-BE"/>
                    </w:rPr>
                    <w:t>C1-C3</w:t>
                  </w:r>
                </w:p>
              </w:tc>
            </w:tr>
            <w:tr w:rsidR="009972EF" w14:paraId="0452EB6B"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3AE08606"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Begeleider buitenschoolse kinderopvang</w:t>
                  </w:r>
                </w:p>
              </w:tc>
              <w:tc>
                <w:tcPr>
                  <w:tcW w:w="2777" w:type="dxa"/>
                  <w:tcBorders>
                    <w:top w:val="nil"/>
                    <w:left w:val="nil"/>
                    <w:bottom w:val="single" w:sz="4" w:space="0" w:color="auto"/>
                    <w:right w:val="single" w:sz="4" w:space="0" w:color="auto"/>
                  </w:tcBorders>
                  <w:hideMark/>
                </w:tcPr>
                <w:p w14:paraId="52827523"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Begeleider</w:t>
                  </w:r>
                </w:p>
              </w:tc>
              <w:tc>
                <w:tcPr>
                  <w:tcW w:w="2018" w:type="dxa"/>
                  <w:gridSpan w:val="2"/>
                  <w:tcBorders>
                    <w:top w:val="nil"/>
                    <w:left w:val="nil"/>
                    <w:bottom w:val="single" w:sz="4" w:space="0" w:color="auto"/>
                    <w:right w:val="single" w:sz="4" w:space="0" w:color="auto"/>
                  </w:tcBorders>
                  <w:vAlign w:val="center"/>
                  <w:hideMark/>
                </w:tcPr>
                <w:p w14:paraId="71D49B33" w14:textId="77777777" w:rsidR="009972EF" w:rsidRPr="00831F5A" w:rsidRDefault="009972EF" w:rsidP="009972EF">
                  <w:pPr>
                    <w:spacing w:before="0" w:after="0"/>
                    <w:ind w:left="0"/>
                    <w:rPr>
                      <w:rFonts w:cs="Arial"/>
                      <w:color w:val="000000" w:themeColor="text1"/>
                      <w:lang w:val="nl-BE" w:eastAsia="nl-BE"/>
                    </w:rPr>
                  </w:pPr>
                  <w:r w:rsidRPr="00831F5A">
                    <w:rPr>
                      <w:rFonts w:cs="Arial"/>
                      <w:color w:val="000000" w:themeColor="text1"/>
                      <w:lang w:val="nl-BE" w:eastAsia="nl-BE"/>
                    </w:rPr>
                    <w:t>C1-C3 of IFIC 200</w:t>
                  </w:r>
                </w:p>
              </w:tc>
            </w:tr>
            <w:tr w:rsidR="009972EF" w:rsidRPr="00037A46" w14:paraId="0545E527"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7C1E0CF5"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 openbaar groen</w:t>
                  </w:r>
                </w:p>
              </w:tc>
              <w:tc>
                <w:tcPr>
                  <w:tcW w:w="2777" w:type="dxa"/>
                  <w:tcBorders>
                    <w:top w:val="nil"/>
                    <w:left w:val="nil"/>
                    <w:bottom w:val="single" w:sz="4" w:space="0" w:color="auto"/>
                    <w:right w:val="single" w:sz="4" w:space="0" w:color="auto"/>
                  </w:tcBorders>
                  <w:hideMark/>
                </w:tcPr>
                <w:p w14:paraId="27E40FD6"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w:t>
                  </w:r>
                </w:p>
              </w:tc>
              <w:tc>
                <w:tcPr>
                  <w:tcW w:w="2018" w:type="dxa"/>
                  <w:gridSpan w:val="2"/>
                  <w:tcBorders>
                    <w:top w:val="nil"/>
                    <w:left w:val="nil"/>
                    <w:bottom w:val="single" w:sz="4" w:space="0" w:color="auto"/>
                    <w:right w:val="single" w:sz="4" w:space="0" w:color="auto"/>
                  </w:tcBorders>
                  <w:vAlign w:val="center"/>
                  <w:hideMark/>
                </w:tcPr>
                <w:p w14:paraId="73404FE4"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D4-D5</w:t>
                  </w:r>
                </w:p>
              </w:tc>
            </w:tr>
            <w:tr w:rsidR="009972EF" w:rsidRPr="00037A46" w14:paraId="0BFC57B1"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6574BE71"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 openbare reinheid</w:t>
                  </w:r>
                  <w:r>
                    <w:rPr>
                      <w:rFonts w:cs="Arial"/>
                      <w:color w:val="000000"/>
                      <w:lang w:val="nl-BE" w:eastAsia="nl-BE"/>
                    </w:rPr>
                    <w:t xml:space="preserve"> &amp; begraafplaatsen</w:t>
                  </w:r>
                </w:p>
              </w:tc>
              <w:tc>
                <w:tcPr>
                  <w:tcW w:w="2777" w:type="dxa"/>
                  <w:tcBorders>
                    <w:top w:val="nil"/>
                    <w:left w:val="nil"/>
                    <w:bottom w:val="single" w:sz="4" w:space="0" w:color="auto"/>
                    <w:right w:val="single" w:sz="4" w:space="0" w:color="auto"/>
                  </w:tcBorders>
                  <w:hideMark/>
                </w:tcPr>
                <w:p w14:paraId="4ABAD482"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w:t>
                  </w:r>
                </w:p>
              </w:tc>
              <w:tc>
                <w:tcPr>
                  <w:tcW w:w="2018" w:type="dxa"/>
                  <w:gridSpan w:val="2"/>
                  <w:tcBorders>
                    <w:top w:val="nil"/>
                    <w:left w:val="nil"/>
                    <w:bottom w:val="single" w:sz="4" w:space="0" w:color="auto"/>
                    <w:right w:val="single" w:sz="4" w:space="0" w:color="auto"/>
                  </w:tcBorders>
                  <w:vAlign w:val="center"/>
                  <w:hideMark/>
                </w:tcPr>
                <w:p w14:paraId="7C7768CC"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D4-D5</w:t>
                  </w:r>
                </w:p>
              </w:tc>
            </w:tr>
            <w:tr w:rsidR="009972EF" w:rsidRPr="00037A46" w14:paraId="7BB2C82B"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6ABCE542"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 onderhoud wegen en rioleringen</w:t>
                  </w:r>
                </w:p>
              </w:tc>
              <w:tc>
                <w:tcPr>
                  <w:tcW w:w="2777" w:type="dxa"/>
                  <w:tcBorders>
                    <w:top w:val="nil"/>
                    <w:left w:val="nil"/>
                    <w:bottom w:val="single" w:sz="4" w:space="0" w:color="auto"/>
                    <w:right w:val="single" w:sz="4" w:space="0" w:color="auto"/>
                  </w:tcBorders>
                  <w:hideMark/>
                </w:tcPr>
                <w:p w14:paraId="6BB40B83"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w:t>
                  </w:r>
                </w:p>
              </w:tc>
              <w:tc>
                <w:tcPr>
                  <w:tcW w:w="2018" w:type="dxa"/>
                  <w:gridSpan w:val="2"/>
                  <w:tcBorders>
                    <w:top w:val="nil"/>
                    <w:left w:val="nil"/>
                    <w:bottom w:val="single" w:sz="4" w:space="0" w:color="auto"/>
                    <w:right w:val="single" w:sz="4" w:space="0" w:color="auto"/>
                  </w:tcBorders>
                  <w:vAlign w:val="center"/>
                  <w:hideMark/>
                </w:tcPr>
                <w:p w14:paraId="752A8810"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D4-D5</w:t>
                  </w:r>
                </w:p>
              </w:tc>
            </w:tr>
            <w:tr w:rsidR="009972EF" w:rsidRPr="00037A46" w14:paraId="1D433747"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14B60B4A"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 patrimonium</w:t>
                  </w:r>
                </w:p>
              </w:tc>
              <w:tc>
                <w:tcPr>
                  <w:tcW w:w="2777" w:type="dxa"/>
                  <w:tcBorders>
                    <w:top w:val="nil"/>
                    <w:left w:val="nil"/>
                    <w:bottom w:val="single" w:sz="4" w:space="0" w:color="auto"/>
                    <w:right w:val="single" w:sz="4" w:space="0" w:color="auto"/>
                  </w:tcBorders>
                  <w:hideMark/>
                </w:tcPr>
                <w:p w14:paraId="26DBDE7D"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w:t>
                  </w:r>
                </w:p>
              </w:tc>
              <w:tc>
                <w:tcPr>
                  <w:tcW w:w="2018" w:type="dxa"/>
                  <w:gridSpan w:val="2"/>
                  <w:tcBorders>
                    <w:top w:val="nil"/>
                    <w:left w:val="nil"/>
                    <w:bottom w:val="single" w:sz="4" w:space="0" w:color="auto"/>
                    <w:right w:val="single" w:sz="4" w:space="0" w:color="auto"/>
                  </w:tcBorders>
                  <w:vAlign w:val="center"/>
                  <w:hideMark/>
                </w:tcPr>
                <w:p w14:paraId="5BF33B9F"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D4-D5</w:t>
                  </w:r>
                </w:p>
              </w:tc>
            </w:tr>
            <w:tr w:rsidR="009972EF" w:rsidRPr="00037A46" w14:paraId="0C8C1DCA"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36AC6394"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lastRenderedPageBreak/>
                    <w:t>Ploegbaas vervoer/karweihulp</w:t>
                  </w:r>
                </w:p>
              </w:tc>
              <w:tc>
                <w:tcPr>
                  <w:tcW w:w="2777" w:type="dxa"/>
                  <w:tcBorders>
                    <w:top w:val="nil"/>
                    <w:left w:val="nil"/>
                    <w:bottom w:val="single" w:sz="4" w:space="0" w:color="auto"/>
                    <w:right w:val="single" w:sz="4" w:space="0" w:color="auto"/>
                  </w:tcBorders>
                  <w:hideMark/>
                </w:tcPr>
                <w:p w14:paraId="0E74F4DE"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w:t>
                  </w:r>
                </w:p>
              </w:tc>
              <w:tc>
                <w:tcPr>
                  <w:tcW w:w="2018" w:type="dxa"/>
                  <w:gridSpan w:val="2"/>
                  <w:tcBorders>
                    <w:top w:val="nil"/>
                    <w:left w:val="nil"/>
                    <w:bottom w:val="single" w:sz="4" w:space="0" w:color="auto"/>
                    <w:right w:val="single" w:sz="4" w:space="0" w:color="auto"/>
                  </w:tcBorders>
                  <w:vAlign w:val="center"/>
                  <w:hideMark/>
                </w:tcPr>
                <w:p w14:paraId="37E2A2CB"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D4-D5</w:t>
                  </w:r>
                </w:p>
              </w:tc>
            </w:tr>
            <w:tr w:rsidR="009972EF" w:rsidRPr="00037A46" w14:paraId="6E1E212C"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765F9244"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 schoonmaak</w:t>
                  </w:r>
                </w:p>
              </w:tc>
              <w:tc>
                <w:tcPr>
                  <w:tcW w:w="2777" w:type="dxa"/>
                  <w:tcBorders>
                    <w:top w:val="nil"/>
                    <w:left w:val="nil"/>
                    <w:bottom w:val="single" w:sz="4" w:space="0" w:color="auto"/>
                    <w:right w:val="single" w:sz="4" w:space="0" w:color="auto"/>
                  </w:tcBorders>
                  <w:hideMark/>
                </w:tcPr>
                <w:p w14:paraId="4B7B2A45"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w:t>
                  </w:r>
                </w:p>
              </w:tc>
              <w:tc>
                <w:tcPr>
                  <w:tcW w:w="2018" w:type="dxa"/>
                  <w:gridSpan w:val="2"/>
                  <w:tcBorders>
                    <w:top w:val="nil"/>
                    <w:left w:val="nil"/>
                    <w:bottom w:val="single" w:sz="4" w:space="0" w:color="auto"/>
                    <w:right w:val="single" w:sz="4" w:space="0" w:color="auto"/>
                  </w:tcBorders>
                  <w:vAlign w:val="center"/>
                  <w:hideMark/>
                </w:tcPr>
                <w:p w14:paraId="4F1184BD"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D4-D5</w:t>
                  </w:r>
                </w:p>
              </w:tc>
            </w:tr>
            <w:tr w:rsidR="009972EF" w:rsidRPr="00037A46" w14:paraId="1FEE5369"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14EB7F03"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 garage/magazijn</w:t>
                  </w:r>
                </w:p>
              </w:tc>
              <w:tc>
                <w:tcPr>
                  <w:tcW w:w="2777" w:type="dxa"/>
                  <w:tcBorders>
                    <w:top w:val="nil"/>
                    <w:left w:val="nil"/>
                    <w:bottom w:val="single" w:sz="4" w:space="0" w:color="auto"/>
                    <w:right w:val="single" w:sz="4" w:space="0" w:color="auto"/>
                  </w:tcBorders>
                  <w:hideMark/>
                </w:tcPr>
                <w:p w14:paraId="29744A77"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w:t>
                  </w:r>
                </w:p>
              </w:tc>
              <w:tc>
                <w:tcPr>
                  <w:tcW w:w="2018" w:type="dxa"/>
                  <w:gridSpan w:val="2"/>
                  <w:tcBorders>
                    <w:top w:val="nil"/>
                    <w:left w:val="nil"/>
                    <w:bottom w:val="single" w:sz="4" w:space="0" w:color="auto"/>
                    <w:right w:val="single" w:sz="4" w:space="0" w:color="auto"/>
                  </w:tcBorders>
                  <w:vAlign w:val="center"/>
                  <w:hideMark/>
                </w:tcPr>
                <w:p w14:paraId="6D598FCB"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D4-D5</w:t>
                  </w:r>
                </w:p>
              </w:tc>
            </w:tr>
            <w:tr w:rsidR="009972EF" w:rsidRPr="00037A46" w14:paraId="408E5976"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1502B5F1"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Ploegbaas recyclagepark</w:t>
                  </w:r>
                </w:p>
              </w:tc>
              <w:tc>
                <w:tcPr>
                  <w:tcW w:w="2777" w:type="dxa"/>
                  <w:tcBorders>
                    <w:top w:val="nil"/>
                    <w:left w:val="nil"/>
                    <w:bottom w:val="single" w:sz="4" w:space="0" w:color="auto"/>
                    <w:right w:val="single" w:sz="4" w:space="0" w:color="auto"/>
                  </w:tcBorders>
                  <w:hideMark/>
                </w:tcPr>
                <w:p w14:paraId="240AAD61"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w:t>
                  </w:r>
                </w:p>
              </w:tc>
              <w:tc>
                <w:tcPr>
                  <w:tcW w:w="2018" w:type="dxa"/>
                  <w:gridSpan w:val="2"/>
                  <w:tcBorders>
                    <w:top w:val="nil"/>
                    <w:left w:val="nil"/>
                    <w:bottom w:val="single" w:sz="4" w:space="0" w:color="auto"/>
                    <w:right w:val="single" w:sz="4" w:space="0" w:color="auto"/>
                  </w:tcBorders>
                  <w:vAlign w:val="center"/>
                  <w:hideMark/>
                </w:tcPr>
                <w:p w14:paraId="48AA1903"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D4-D5</w:t>
                  </w:r>
                </w:p>
              </w:tc>
            </w:tr>
            <w:tr w:rsidR="009972EF" w:rsidRPr="00037A46" w14:paraId="35B9F34F"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300AE7BF"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Ploegbaas sport</w:t>
                  </w:r>
                </w:p>
              </w:tc>
              <w:tc>
                <w:tcPr>
                  <w:tcW w:w="2777" w:type="dxa"/>
                  <w:tcBorders>
                    <w:top w:val="nil"/>
                    <w:left w:val="nil"/>
                    <w:bottom w:val="single" w:sz="4" w:space="0" w:color="auto"/>
                    <w:right w:val="single" w:sz="4" w:space="0" w:color="auto"/>
                  </w:tcBorders>
                  <w:hideMark/>
                </w:tcPr>
                <w:p w14:paraId="2D696919"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w:t>
                  </w:r>
                </w:p>
              </w:tc>
              <w:tc>
                <w:tcPr>
                  <w:tcW w:w="2018" w:type="dxa"/>
                  <w:gridSpan w:val="2"/>
                  <w:tcBorders>
                    <w:top w:val="nil"/>
                    <w:left w:val="nil"/>
                    <w:bottom w:val="single" w:sz="4" w:space="0" w:color="auto"/>
                    <w:right w:val="single" w:sz="4" w:space="0" w:color="auto"/>
                  </w:tcBorders>
                  <w:vAlign w:val="center"/>
                  <w:hideMark/>
                </w:tcPr>
                <w:p w14:paraId="3FF1AE56"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D4-D5</w:t>
                  </w:r>
                </w:p>
              </w:tc>
            </w:tr>
            <w:tr w:rsidR="009972EF" w:rsidRPr="00037A46" w14:paraId="46F3BBF3"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tcPr>
                <w:p w14:paraId="39B7DDEA"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Toezichter vrijetijdsinfrastructuur</w:t>
                  </w:r>
                </w:p>
              </w:tc>
              <w:tc>
                <w:tcPr>
                  <w:tcW w:w="2777" w:type="dxa"/>
                  <w:tcBorders>
                    <w:top w:val="nil"/>
                    <w:left w:val="nil"/>
                    <w:bottom w:val="single" w:sz="4" w:space="0" w:color="auto"/>
                    <w:right w:val="single" w:sz="4" w:space="0" w:color="auto"/>
                  </w:tcBorders>
                </w:tcPr>
                <w:p w14:paraId="5DC92708"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Ploegbaas</w:t>
                  </w:r>
                </w:p>
              </w:tc>
              <w:tc>
                <w:tcPr>
                  <w:tcW w:w="2018" w:type="dxa"/>
                  <w:gridSpan w:val="2"/>
                  <w:tcBorders>
                    <w:top w:val="nil"/>
                    <w:left w:val="nil"/>
                    <w:bottom w:val="single" w:sz="4" w:space="0" w:color="auto"/>
                    <w:right w:val="single" w:sz="4" w:space="0" w:color="auto"/>
                  </w:tcBorders>
                  <w:vAlign w:val="center"/>
                </w:tcPr>
                <w:p w14:paraId="08EB539F"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D4-D5</w:t>
                  </w:r>
                </w:p>
              </w:tc>
            </w:tr>
            <w:tr w:rsidR="009972EF" w:rsidRPr="00037A46" w14:paraId="737A0E19"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tcPr>
                <w:p w14:paraId="0F7E342B" w14:textId="77777777" w:rsidR="009972EF" w:rsidRPr="00831F5A" w:rsidRDefault="009972EF" w:rsidP="009972EF">
                  <w:pPr>
                    <w:spacing w:before="0" w:after="0" w:line="259" w:lineRule="auto"/>
                    <w:ind w:left="0"/>
                    <w:jc w:val="left"/>
                    <w:rPr>
                      <w:rFonts w:cs="Arial"/>
                      <w:color w:val="000000" w:themeColor="text1"/>
                      <w:lang w:val="nl-BE" w:eastAsia="nl-BE"/>
                    </w:rPr>
                  </w:pPr>
                  <w:r w:rsidRPr="00831F5A">
                    <w:rPr>
                      <w:rFonts w:cs="Arial"/>
                      <w:color w:val="000000" w:themeColor="text1"/>
                      <w:lang w:val="nl-BE" w:eastAsia="nl-BE"/>
                    </w:rPr>
                    <w:t>Technisch medewerker</w:t>
                  </w:r>
                </w:p>
              </w:tc>
              <w:tc>
                <w:tcPr>
                  <w:tcW w:w="2777" w:type="dxa"/>
                  <w:tcBorders>
                    <w:top w:val="nil"/>
                    <w:left w:val="nil"/>
                    <w:bottom w:val="single" w:sz="4" w:space="0" w:color="auto"/>
                    <w:right w:val="single" w:sz="4" w:space="0" w:color="auto"/>
                  </w:tcBorders>
                </w:tcPr>
                <w:p w14:paraId="77A415C2" w14:textId="77777777" w:rsidR="009972EF" w:rsidRDefault="009972EF" w:rsidP="009972EF">
                  <w:pPr>
                    <w:spacing w:before="0" w:after="0"/>
                    <w:ind w:left="0"/>
                    <w:jc w:val="left"/>
                    <w:rPr>
                      <w:rFonts w:cs="Arial"/>
                      <w:color w:val="000000"/>
                      <w:lang w:val="nl-BE" w:eastAsia="nl-BE"/>
                    </w:rPr>
                  </w:pPr>
                  <w:r>
                    <w:rPr>
                      <w:rFonts w:cs="Arial"/>
                      <w:color w:val="000000"/>
                      <w:lang w:val="nl-BE" w:eastAsia="nl-BE"/>
                    </w:rPr>
                    <w:t>Arbeider</w:t>
                  </w:r>
                </w:p>
              </w:tc>
              <w:tc>
                <w:tcPr>
                  <w:tcW w:w="2018" w:type="dxa"/>
                  <w:gridSpan w:val="2"/>
                  <w:tcBorders>
                    <w:top w:val="nil"/>
                    <w:left w:val="nil"/>
                    <w:bottom w:val="single" w:sz="4" w:space="0" w:color="auto"/>
                    <w:right w:val="single" w:sz="4" w:space="0" w:color="auto"/>
                  </w:tcBorders>
                  <w:vAlign w:val="center"/>
                </w:tcPr>
                <w:p w14:paraId="6CE39FE5" w14:textId="77777777" w:rsidR="009972EF" w:rsidRDefault="009972EF" w:rsidP="009972EF">
                  <w:pPr>
                    <w:spacing w:before="0" w:after="0"/>
                    <w:ind w:left="0"/>
                    <w:jc w:val="left"/>
                    <w:rPr>
                      <w:rFonts w:cs="Arial"/>
                      <w:color w:val="000000"/>
                      <w:lang w:val="nl-BE" w:eastAsia="nl-BE"/>
                    </w:rPr>
                  </w:pPr>
                  <w:r>
                    <w:rPr>
                      <w:rFonts w:cs="Arial"/>
                      <w:color w:val="000000"/>
                      <w:lang w:val="nl-BE" w:eastAsia="nl-BE"/>
                    </w:rPr>
                    <w:t>D4</w:t>
                  </w:r>
                </w:p>
              </w:tc>
            </w:tr>
            <w:tr w:rsidR="009972EF" w:rsidRPr="00037A46" w14:paraId="011FA742"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tcPr>
                <w:p w14:paraId="2C7BC34E" w14:textId="77777777" w:rsidR="009972EF" w:rsidRPr="00831F5A" w:rsidRDefault="009972EF" w:rsidP="009972EF">
                  <w:pPr>
                    <w:spacing w:before="0" w:after="0" w:line="259" w:lineRule="auto"/>
                    <w:ind w:left="0"/>
                    <w:jc w:val="left"/>
                    <w:rPr>
                      <w:rFonts w:cs="Arial"/>
                      <w:color w:val="000000" w:themeColor="text1"/>
                      <w:lang w:val="nl-BE" w:eastAsia="nl-BE"/>
                    </w:rPr>
                  </w:pPr>
                  <w:r w:rsidRPr="00831F5A">
                    <w:rPr>
                      <w:rFonts w:cs="Arial"/>
                      <w:color w:val="000000" w:themeColor="text1"/>
                      <w:lang w:val="nl-BE" w:eastAsia="nl-BE"/>
                    </w:rPr>
                    <w:t>Adm. medewerker</w:t>
                  </w:r>
                </w:p>
              </w:tc>
              <w:tc>
                <w:tcPr>
                  <w:tcW w:w="2777" w:type="dxa"/>
                  <w:tcBorders>
                    <w:top w:val="nil"/>
                    <w:left w:val="nil"/>
                    <w:bottom w:val="single" w:sz="4" w:space="0" w:color="auto"/>
                    <w:right w:val="single" w:sz="4" w:space="0" w:color="auto"/>
                  </w:tcBorders>
                </w:tcPr>
                <w:p w14:paraId="2300424E"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Bediende</w:t>
                  </w:r>
                </w:p>
              </w:tc>
              <w:tc>
                <w:tcPr>
                  <w:tcW w:w="2018" w:type="dxa"/>
                  <w:gridSpan w:val="2"/>
                  <w:tcBorders>
                    <w:top w:val="nil"/>
                    <w:left w:val="nil"/>
                    <w:bottom w:val="single" w:sz="4" w:space="0" w:color="auto"/>
                    <w:right w:val="single" w:sz="4" w:space="0" w:color="auto"/>
                  </w:tcBorders>
                  <w:vAlign w:val="center"/>
                </w:tcPr>
                <w:p w14:paraId="5BFC824D"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D1-D3</w:t>
                  </w:r>
                </w:p>
              </w:tc>
            </w:tr>
            <w:tr w:rsidR="009972EF" w:rsidRPr="00037A46" w14:paraId="2A84A238"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366035F1" w14:textId="77777777" w:rsidR="009972EF" w:rsidRPr="00831F5A" w:rsidRDefault="009972EF" w:rsidP="009972EF">
                  <w:pPr>
                    <w:spacing w:before="0" w:after="0" w:line="259" w:lineRule="auto"/>
                    <w:ind w:left="0"/>
                    <w:jc w:val="left"/>
                    <w:rPr>
                      <w:rFonts w:cs="Arial"/>
                      <w:color w:val="000000" w:themeColor="text1"/>
                      <w:lang w:val="nl-BE" w:eastAsia="nl-BE"/>
                    </w:rPr>
                  </w:pPr>
                  <w:r w:rsidRPr="00831F5A">
                    <w:rPr>
                      <w:rFonts w:cs="Arial"/>
                      <w:color w:val="000000" w:themeColor="text1"/>
                      <w:lang w:val="nl-BE" w:eastAsia="nl-BE"/>
                    </w:rPr>
                    <w:t>Schoonmaker</w:t>
                  </w:r>
                </w:p>
              </w:tc>
              <w:tc>
                <w:tcPr>
                  <w:tcW w:w="2777" w:type="dxa"/>
                  <w:tcBorders>
                    <w:top w:val="nil"/>
                    <w:left w:val="nil"/>
                    <w:bottom w:val="single" w:sz="4" w:space="0" w:color="auto"/>
                    <w:right w:val="single" w:sz="4" w:space="0" w:color="auto"/>
                  </w:tcBorders>
                  <w:hideMark/>
                </w:tcPr>
                <w:p w14:paraId="2402236A"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Logistieke hulp</w:t>
                  </w:r>
                </w:p>
              </w:tc>
              <w:tc>
                <w:tcPr>
                  <w:tcW w:w="2018" w:type="dxa"/>
                  <w:gridSpan w:val="2"/>
                  <w:tcBorders>
                    <w:top w:val="nil"/>
                    <w:left w:val="nil"/>
                    <w:bottom w:val="single" w:sz="4" w:space="0" w:color="auto"/>
                    <w:right w:val="single" w:sz="4" w:space="0" w:color="auto"/>
                  </w:tcBorders>
                  <w:vAlign w:val="center"/>
                  <w:hideMark/>
                </w:tcPr>
                <w:p w14:paraId="011555AE"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D1-D3</w:t>
                  </w:r>
                </w:p>
              </w:tc>
            </w:tr>
            <w:tr w:rsidR="009972EF" w14:paraId="3F72A9BB"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3D50060D" w14:textId="77777777" w:rsidR="009972EF" w:rsidRPr="00831F5A" w:rsidRDefault="009972EF" w:rsidP="009972EF">
                  <w:pPr>
                    <w:spacing w:before="0" w:after="0"/>
                    <w:ind w:left="0"/>
                    <w:jc w:val="left"/>
                    <w:rPr>
                      <w:rFonts w:cs="Arial"/>
                      <w:color w:val="000000" w:themeColor="text1"/>
                      <w:lang w:val="nl-BE" w:eastAsia="nl-BE"/>
                    </w:rPr>
                  </w:pPr>
                  <w:r w:rsidRPr="00831F5A">
                    <w:rPr>
                      <w:rFonts w:cs="Arial"/>
                      <w:color w:val="000000" w:themeColor="text1"/>
                      <w:lang w:val="nl-BE" w:eastAsia="nl-BE"/>
                    </w:rPr>
                    <w:t>Onthaalbediende/animator toerisme</w:t>
                  </w:r>
                </w:p>
              </w:tc>
              <w:tc>
                <w:tcPr>
                  <w:tcW w:w="2777" w:type="dxa"/>
                  <w:tcBorders>
                    <w:top w:val="nil"/>
                    <w:left w:val="nil"/>
                    <w:bottom w:val="single" w:sz="4" w:space="0" w:color="auto"/>
                    <w:right w:val="single" w:sz="4" w:space="0" w:color="auto"/>
                  </w:tcBorders>
                  <w:hideMark/>
                </w:tcPr>
                <w:p w14:paraId="4204FF8B"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Bediende</w:t>
                  </w:r>
                </w:p>
              </w:tc>
              <w:tc>
                <w:tcPr>
                  <w:tcW w:w="2018" w:type="dxa"/>
                  <w:gridSpan w:val="2"/>
                  <w:tcBorders>
                    <w:top w:val="nil"/>
                    <w:left w:val="nil"/>
                    <w:bottom w:val="single" w:sz="4" w:space="0" w:color="auto"/>
                    <w:right w:val="single" w:sz="4" w:space="0" w:color="auto"/>
                  </w:tcBorders>
                  <w:vAlign w:val="center"/>
                  <w:hideMark/>
                </w:tcPr>
                <w:p w14:paraId="54CC5F59"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D1-D3</w:t>
                  </w:r>
                </w:p>
              </w:tc>
            </w:tr>
            <w:tr w:rsidR="009972EF" w14:paraId="6B654920"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2CE640F4" w14:textId="77777777" w:rsidR="009972EF" w:rsidRPr="00831F5A" w:rsidRDefault="009972EF" w:rsidP="009972EF">
                  <w:pPr>
                    <w:spacing w:before="0" w:after="0"/>
                    <w:ind w:left="0"/>
                    <w:jc w:val="left"/>
                    <w:rPr>
                      <w:rFonts w:cs="Arial"/>
                      <w:color w:val="000000" w:themeColor="text1"/>
                      <w:lang w:val="nl-BE" w:eastAsia="nl-BE"/>
                    </w:rPr>
                  </w:pPr>
                  <w:r w:rsidRPr="00831F5A">
                    <w:rPr>
                      <w:rFonts w:cs="Arial"/>
                      <w:color w:val="000000" w:themeColor="text1"/>
                      <w:lang w:val="nl-BE" w:eastAsia="nl-BE"/>
                    </w:rPr>
                    <w:t>Onthaalbediende/animator kasteel</w:t>
                  </w:r>
                </w:p>
              </w:tc>
              <w:tc>
                <w:tcPr>
                  <w:tcW w:w="2777" w:type="dxa"/>
                  <w:tcBorders>
                    <w:top w:val="nil"/>
                    <w:left w:val="nil"/>
                    <w:bottom w:val="single" w:sz="4" w:space="0" w:color="auto"/>
                    <w:right w:val="single" w:sz="4" w:space="0" w:color="auto"/>
                  </w:tcBorders>
                  <w:hideMark/>
                </w:tcPr>
                <w:p w14:paraId="18569833"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Bediende</w:t>
                  </w:r>
                </w:p>
              </w:tc>
              <w:tc>
                <w:tcPr>
                  <w:tcW w:w="2018" w:type="dxa"/>
                  <w:gridSpan w:val="2"/>
                  <w:tcBorders>
                    <w:top w:val="nil"/>
                    <w:left w:val="nil"/>
                    <w:bottom w:val="single" w:sz="4" w:space="0" w:color="auto"/>
                    <w:right w:val="single" w:sz="4" w:space="0" w:color="auto"/>
                  </w:tcBorders>
                  <w:vAlign w:val="center"/>
                  <w:hideMark/>
                </w:tcPr>
                <w:p w14:paraId="4D19A1E9"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D1-D3</w:t>
                  </w:r>
                </w:p>
              </w:tc>
            </w:tr>
            <w:tr w:rsidR="009972EF" w:rsidRPr="00037A46" w14:paraId="3CED7892"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27B33687"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Groenarbeider</w:t>
                  </w:r>
                </w:p>
              </w:tc>
              <w:tc>
                <w:tcPr>
                  <w:tcW w:w="2777" w:type="dxa"/>
                  <w:tcBorders>
                    <w:top w:val="nil"/>
                    <w:left w:val="nil"/>
                    <w:bottom w:val="single" w:sz="4" w:space="0" w:color="auto"/>
                    <w:right w:val="single" w:sz="4" w:space="0" w:color="auto"/>
                  </w:tcBorders>
                  <w:hideMark/>
                </w:tcPr>
                <w:p w14:paraId="213FB415" w14:textId="77777777" w:rsidR="009972EF" w:rsidRPr="00037A46" w:rsidRDefault="009972EF" w:rsidP="009972EF">
                  <w:pPr>
                    <w:spacing w:before="0" w:after="0" w:line="259" w:lineRule="auto"/>
                    <w:ind w:left="0"/>
                    <w:jc w:val="left"/>
                  </w:pPr>
                  <w:r w:rsidRPr="316121E7">
                    <w:rPr>
                      <w:rFonts w:cs="Arial"/>
                      <w:color w:val="000000" w:themeColor="text1"/>
                      <w:lang w:val="nl-BE" w:eastAsia="nl-BE"/>
                    </w:rPr>
                    <w:t xml:space="preserve">Arbeider </w:t>
                  </w:r>
                </w:p>
              </w:tc>
              <w:tc>
                <w:tcPr>
                  <w:tcW w:w="2018" w:type="dxa"/>
                  <w:gridSpan w:val="2"/>
                  <w:tcBorders>
                    <w:top w:val="nil"/>
                    <w:left w:val="nil"/>
                    <w:bottom w:val="single" w:sz="4" w:space="0" w:color="auto"/>
                    <w:right w:val="single" w:sz="4" w:space="0" w:color="auto"/>
                  </w:tcBorders>
                  <w:vAlign w:val="center"/>
                  <w:hideMark/>
                </w:tcPr>
                <w:p w14:paraId="23EC57B5"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D1-D3</w:t>
                  </w:r>
                </w:p>
              </w:tc>
            </w:tr>
            <w:tr w:rsidR="009972EF" w:rsidRPr="00037A46" w14:paraId="651C02A8"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tcPr>
                <w:p w14:paraId="7D374D41"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Arbeider toezicht/schoonmaak</w:t>
                  </w:r>
                </w:p>
              </w:tc>
              <w:tc>
                <w:tcPr>
                  <w:tcW w:w="2777" w:type="dxa"/>
                  <w:tcBorders>
                    <w:top w:val="nil"/>
                    <w:left w:val="nil"/>
                    <w:bottom w:val="single" w:sz="4" w:space="0" w:color="auto"/>
                    <w:right w:val="single" w:sz="4" w:space="0" w:color="auto"/>
                  </w:tcBorders>
                </w:tcPr>
                <w:p w14:paraId="4D9BBD1C" w14:textId="77777777" w:rsidR="009972EF" w:rsidRPr="316121E7" w:rsidRDefault="009972EF" w:rsidP="009972EF">
                  <w:pPr>
                    <w:spacing w:before="0" w:after="0" w:line="259" w:lineRule="auto"/>
                    <w:ind w:left="0"/>
                    <w:jc w:val="left"/>
                    <w:rPr>
                      <w:rFonts w:cs="Arial"/>
                      <w:color w:val="000000" w:themeColor="text1"/>
                      <w:lang w:val="nl-BE" w:eastAsia="nl-BE"/>
                    </w:rPr>
                  </w:pPr>
                  <w:r>
                    <w:rPr>
                      <w:rFonts w:cs="Arial"/>
                      <w:color w:val="000000" w:themeColor="text1"/>
                      <w:lang w:val="nl-BE" w:eastAsia="nl-BE"/>
                    </w:rPr>
                    <w:t>Arbeider</w:t>
                  </w:r>
                </w:p>
              </w:tc>
              <w:tc>
                <w:tcPr>
                  <w:tcW w:w="2018" w:type="dxa"/>
                  <w:gridSpan w:val="2"/>
                  <w:tcBorders>
                    <w:top w:val="nil"/>
                    <w:left w:val="nil"/>
                    <w:bottom w:val="single" w:sz="4" w:space="0" w:color="auto"/>
                    <w:right w:val="single" w:sz="4" w:space="0" w:color="auto"/>
                  </w:tcBorders>
                  <w:vAlign w:val="center"/>
                </w:tcPr>
                <w:p w14:paraId="6AB2B6CF"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D1-D3</w:t>
                  </w:r>
                </w:p>
              </w:tc>
            </w:tr>
            <w:tr w:rsidR="009972EF" w:rsidRPr="00037A46" w14:paraId="765C0289"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7E9ED09A"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Arbeider openbare reinheid</w:t>
                  </w:r>
                </w:p>
              </w:tc>
              <w:tc>
                <w:tcPr>
                  <w:tcW w:w="2777" w:type="dxa"/>
                  <w:tcBorders>
                    <w:top w:val="nil"/>
                    <w:left w:val="nil"/>
                    <w:bottom w:val="single" w:sz="4" w:space="0" w:color="auto"/>
                    <w:right w:val="single" w:sz="4" w:space="0" w:color="auto"/>
                  </w:tcBorders>
                  <w:hideMark/>
                </w:tcPr>
                <w:p w14:paraId="2DB5A187" w14:textId="77777777" w:rsidR="009972EF" w:rsidRPr="00037A46" w:rsidRDefault="009972EF" w:rsidP="009972EF">
                  <w:pPr>
                    <w:spacing w:before="0" w:after="0" w:line="259" w:lineRule="auto"/>
                    <w:ind w:left="0"/>
                    <w:jc w:val="left"/>
                  </w:pPr>
                  <w:r w:rsidRPr="316121E7">
                    <w:rPr>
                      <w:rFonts w:cs="Arial"/>
                      <w:color w:val="000000" w:themeColor="text1"/>
                      <w:lang w:val="nl-BE" w:eastAsia="nl-BE"/>
                    </w:rPr>
                    <w:t>Arbeider</w:t>
                  </w:r>
                </w:p>
              </w:tc>
              <w:tc>
                <w:tcPr>
                  <w:tcW w:w="2018" w:type="dxa"/>
                  <w:gridSpan w:val="2"/>
                  <w:tcBorders>
                    <w:top w:val="nil"/>
                    <w:left w:val="nil"/>
                    <w:bottom w:val="single" w:sz="4" w:space="0" w:color="auto"/>
                    <w:right w:val="single" w:sz="4" w:space="0" w:color="auto"/>
                  </w:tcBorders>
                  <w:vAlign w:val="center"/>
                  <w:hideMark/>
                </w:tcPr>
                <w:p w14:paraId="2C027C01"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D1-D3</w:t>
                  </w:r>
                </w:p>
              </w:tc>
            </w:tr>
            <w:tr w:rsidR="009972EF" w:rsidRPr="00037A46" w14:paraId="621D1470"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42DA293F"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Arbeider vervoer/ signalisatie</w:t>
                  </w:r>
                </w:p>
              </w:tc>
              <w:tc>
                <w:tcPr>
                  <w:tcW w:w="2777" w:type="dxa"/>
                  <w:tcBorders>
                    <w:top w:val="nil"/>
                    <w:left w:val="nil"/>
                    <w:bottom w:val="single" w:sz="4" w:space="0" w:color="auto"/>
                    <w:right w:val="single" w:sz="4" w:space="0" w:color="auto"/>
                  </w:tcBorders>
                  <w:hideMark/>
                </w:tcPr>
                <w:p w14:paraId="466D29E2" w14:textId="77777777" w:rsidR="009972EF" w:rsidRPr="00037A46" w:rsidRDefault="009972EF" w:rsidP="009972EF">
                  <w:pPr>
                    <w:spacing w:before="0" w:after="0" w:line="259" w:lineRule="auto"/>
                    <w:ind w:left="0"/>
                    <w:jc w:val="left"/>
                  </w:pPr>
                  <w:r w:rsidRPr="0069E27D">
                    <w:rPr>
                      <w:rFonts w:cs="Arial"/>
                      <w:color w:val="000000" w:themeColor="text1"/>
                      <w:lang w:val="nl-BE" w:eastAsia="nl-BE"/>
                    </w:rPr>
                    <w:t>Arbeider</w:t>
                  </w:r>
                </w:p>
              </w:tc>
              <w:tc>
                <w:tcPr>
                  <w:tcW w:w="2018" w:type="dxa"/>
                  <w:gridSpan w:val="2"/>
                  <w:tcBorders>
                    <w:top w:val="nil"/>
                    <w:left w:val="nil"/>
                    <w:bottom w:val="single" w:sz="4" w:space="0" w:color="auto"/>
                    <w:right w:val="single" w:sz="4" w:space="0" w:color="auto"/>
                  </w:tcBorders>
                  <w:vAlign w:val="center"/>
                  <w:hideMark/>
                </w:tcPr>
                <w:p w14:paraId="64EC8E54"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D1-D3</w:t>
                  </w:r>
                </w:p>
              </w:tc>
            </w:tr>
            <w:tr w:rsidR="009972EF" w:rsidRPr="00037A46" w14:paraId="4693455D"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10A60A6C"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Arbeider begraafplaatsen</w:t>
                  </w:r>
                </w:p>
              </w:tc>
              <w:tc>
                <w:tcPr>
                  <w:tcW w:w="2777" w:type="dxa"/>
                  <w:tcBorders>
                    <w:top w:val="nil"/>
                    <w:left w:val="nil"/>
                    <w:bottom w:val="single" w:sz="4" w:space="0" w:color="auto"/>
                    <w:right w:val="single" w:sz="4" w:space="0" w:color="auto"/>
                  </w:tcBorders>
                  <w:hideMark/>
                </w:tcPr>
                <w:p w14:paraId="4CEA7CC4" w14:textId="77777777" w:rsidR="009972EF" w:rsidRPr="00037A46" w:rsidRDefault="009972EF" w:rsidP="009972EF">
                  <w:pPr>
                    <w:spacing w:before="0" w:after="0" w:line="259" w:lineRule="auto"/>
                    <w:ind w:left="0"/>
                    <w:jc w:val="left"/>
                  </w:pPr>
                  <w:r w:rsidRPr="0069E27D">
                    <w:rPr>
                      <w:rFonts w:cs="Arial"/>
                      <w:color w:val="000000" w:themeColor="text1"/>
                      <w:lang w:val="nl-BE" w:eastAsia="nl-BE"/>
                    </w:rPr>
                    <w:t>Arbeider</w:t>
                  </w:r>
                </w:p>
              </w:tc>
              <w:tc>
                <w:tcPr>
                  <w:tcW w:w="2018" w:type="dxa"/>
                  <w:gridSpan w:val="2"/>
                  <w:tcBorders>
                    <w:top w:val="nil"/>
                    <w:left w:val="nil"/>
                    <w:bottom w:val="single" w:sz="4" w:space="0" w:color="auto"/>
                    <w:right w:val="single" w:sz="4" w:space="0" w:color="auto"/>
                  </w:tcBorders>
                  <w:vAlign w:val="center"/>
                  <w:hideMark/>
                </w:tcPr>
                <w:p w14:paraId="5AC1597F"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D1-D3</w:t>
                  </w:r>
                </w:p>
              </w:tc>
            </w:tr>
            <w:tr w:rsidR="009972EF" w:rsidRPr="00037A46" w14:paraId="3E844DA6"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hideMark/>
                </w:tcPr>
                <w:p w14:paraId="1AD8CDAA"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Arbeider gebouwen</w:t>
                  </w:r>
                </w:p>
              </w:tc>
              <w:tc>
                <w:tcPr>
                  <w:tcW w:w="2777" w:type="dxa"/>
                  <w:tcBorders>
                    <w:top w:val="single" w:sz="4" w:space="0" w:color="auto"/>
                    <w:left w:val="nil"/>
                    <w:bottom w:val="single" w:sz="4" w:space="0" w:color="auto"/>
                    <w:right w:val="single" w:sz="4" w:space="0" w:color="auto"/>
                  </w:tcBorders>
                  <w:hideMark/>
                </w:tcPr>
                <w:p w14:paraId="0A56B42C" w14:textId="77777777" w:rsidR="009972EF" w:rsidRPr="00037A46" w:rsidRDefault="009972EF" w:rsidP="009972EF">
                  <w:pPr>
                    <w:spacing w:before="0" w:after="0" w:line="259" w:lineRule="auto"/>
                    <w:ind w:left="0"/>
                    <w:jc w:val="left"/>
                  </w:pPr>
                  <w:r w:rsidRPr="0069E27D">
                    <w:rPr>
                      <w:rFonts w:cs="Arial"/>
                      <w:color w:val="000000" w:themeColor="text1"/>
                      <w:lang w:val="nl-BE" w:eastAsia="nl-BE"/>
                    </w:rPr>
                    <w:t>Arbeider</w:t>
                  </w:r>
                </w:p>
              </w:tc>
              <w:tc>
                <w:tcPr>
                  <w:tcW w:w="2018" w:type="dxa"/>
                  <w:gridSpan w:val="2"/>
                  <w:tcBorders>
                    <w:top w:val="single" w:sz="4" w:space="0" w:color="auto"/>
                    <w:left w:val="nil"/>
                    <w:bottom w:val="single" w:sz="4" w:space="0" w:color="auto"/>
                    <w:right w:val="single" w:sz="4" w:space="0" w:color="auto"/>
                  </w:tcBorders>
                  <w:vAlign w:val="center"/>
                  <w:hideMark/>
                </w:tcPr>
                <w:p w14:paraId="3B4AC56A"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D1-D3</w:t>
                  </w:r>
                </w:p>
              </w:tc>
            </w:tr>
            <w:tr w:rsidR="009972EF" w:rsidRPr="00037A46" w14:paraId="2F9C80B5"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hideMark/>
                </w:tcPr>
                <w:p w14:paraId="74A3A07C"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Arbeider garage/magazijn</w:t>
                  </w:r>
                </w:p>
              </w:tc>
              <w:tc>
                <w:tcPr>
                  <w:tcW w:w="2777" w:type="dxa"/>
                  <w:tcBorders>
                    <w:top w:val="single" w:sz="4" w:space="0" w:color="auto"/>
                    <w:left w:val="nil"/>
                    <w:bottom w:val="single" w:sz="4" w:space="0" w:color="auto"/>
                    <w:right w:val="single" w:sz="4" w:space="0" w:color="auto"/>
                  </w:tcBorders>
                  <w:hideMark/>
                </w:tcPr>
                <w:p w14:paraId="4450A451" w14:textId="77777777" w:rsidR="009972EF" w:rsidRPr="00037A46" w:rsidRDefault="009972EF" w:rsidP="009972EF">
                  <w:pPr>
                    <w:spacing w:before="0" w:after="0" w:line="259" w:lineRule="auto"/>
                    <w:ind w:left="0"/>
                    <w:jc w:val="left"/>
                  </w:pPr>
                  <w:r w:rsidRPr="0069E27D">
                    <w:rPr>
                      <w:rFonts w:cs="Arial"/>
                      <w:color w:val="000000" w:themeColor="text1"/>
                      <w:lang w:val="nl-BE" w:eastAsia="nl-BE"/>
                    </w:rPr>
                    <w:t>Arbeider</w:t>
                  </w:r>
                </w:p>
              </w:tc>
              <w:tc>
                <w:tcPr>
                  <w:tcW w:w="2018" w:type="dxa"/>
                  <w:gridSpan w:val="2"/>
                  <w:tcBorders>
                    <w:top w:val="single" w:sz="4" w:space="0" w:color="auto"/>
                    <w:left w:val="nil"/>
                    <w:bottom w:val="single" w:sz="4" w:space="0" w:color="auto"/>
                    <w:right w:val="single" w:sz="4" w:space="0" w:color="auto"/>
                  </w:tcBorders>
                  <w:vAlign w:val="center"/>
                  <w:hideMark/>
                </w:tcPr>
                <w:p w14:paraId="64BC8739"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D1-D3</w:t>
                  </w:r>
                </w:p>
              </w:tc>
            </w:tr>
            <w:tr w:rsidR="009972EF" w:rsidRPr="00037A46" w14:paraId="354D5B7F"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220261EB"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Arbeider wegen en rioleringen</w:t>
                  </w:r>
                </w:p>
              </w:tc>
              <w:tc>
                <w:tcPr>
                  <w:tcW w:w="2777" w:type="dxa"/>
                  <w:tcBorders>
                    <w:top w:val="nil"/>
                    <w:left w:val="nil"/>
                    <w:bottom w:val="single" w:sz="4" w:space="0" w:color="auto"/>
                    <w:right w:val="single" w:sz="4" w:space="0" w:color="auto"/>
                  </w:tcBorders>
                  <w:hideMark/>
                </w:tcPr>
                <w:p w14:paraId="507336C2" w14:textId="77777777" w:rsidR="009972EF" w:rsidRPr="00037A46" w:rsidRDefault="009972EF" w:rsidP="009972EF">
                  <w:pPr>
                    <w:spacing w:before="0" w:after="0" w:line="259" w:lineRule="auto"/>
                    <w:ind w:left="0"/>
                    <w:jc w:val="left"/>
                  </w:pPr>
                  <w:r w:rsidRPr="0069E27D">
                    <w:rPr>
                      <w:rFonts w:cs="Arial"/>
                      <w:color w:val="000000" w:themeColor="text1"/>
                      <w:lang w:val="nl-BE" w:eastAsia="nl-BE"/>
                    </w:rPr>
                    <w:t>Arbeider</w:t>
                  </w:r>
                </w:p>
              </w:tc>
              <w:tc>
                <w:tcPr>
                  <w:tcW w:w="2018" w:type="dxa"/>
                  <w:gridSpan w:val="2"/>
                  <w:tcBorders>
                    <w:top w:val="nil"/>
                    <w:left w:val="nil"/>
                    <w:bottom w:val="single" w:sz="4" w:space="0" w:color="auto"/>
                    <w:right w:val="single" w:sz="4" w:space="0" w:color="auto"/>
                  </w:tcBorders>
                  <w:vAlign w:val="center"/>
                  <w:hideMark/>
                </w:tcPr>
                <w:p w14:paraId="6F0887C4"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D1-D3</w:t>
                  </w:r>
                </w:p>
              </w:tc>
            </w:tr>
            <w:tr w:rsidR="009972EF" w:rsidRPr="00037A46" w14:paraId="64565AEA"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73BBE330"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Technieker CC de Meent</w:t>
                  </w:r>
                </w:p>
              </w:tc>
              <w:tc>
                <w:tcPr>
                  <w:tcW w:w="2777" w:type="dxa"/>
                  <w:tcBorders>
                    <w:top w:val="nil"/>
                    <w:left w:val="nil"/>
                    <w:bottom w:val="single" w:sz="4" w:space="0" w:color="auto"/>
                    <w:right w:val="single" w:sz="4" w:space="0" w:color="auto"/>
                  </w:tcBorders>
                  <w:hideMark/>
                </w:tcPr>
                <w:p w14:paraId="0A07904B" w14:textId="77777777" w:rsidR="009972EF" w:rsidRPr="00037A46" w:rsidRDefault="009972EF" w:rsidP="009972EF">
                  <w:pPr>
                    <w:spacing w:before="0" w:after="0" w:line="259" w:lineRule="auto"/>
                    <w:ind w:left="0"/>
                    <w:jc w:val="left"/>
                  </w:pPr>
                  <w:r w:rsidRPr="2A3843DD">
                    <w:rPr>
                      <w:rFonts w:cs="Arial"/>
                      <w:color w:val="000000" w:themeColor="text1"/>
                      <w:lang w:val="nl-BE" w:eastAsia="nl-BE"/>
                    </w:rPr>
                    <w:t>Arbeider</w:t>
                  </w:r>
                </w:p>
              </w:tc>
              <w:tc>
                <w:tcPr>
                  <w:tcW w:w="2018" w:type="dxa"/>
                  <w:gridSpan w:val="2"/>
                  <w:tcBorders>
                    <w:top w:val="nil"/>
                    <w:left w:val="nil"/>
                    <w:bottom w:val="single" w:sz="4" w:space="0" w:color="auto"/>
                    <w:right w:val="single" w:sz="4" w:space="0" w:color="auto"/>
                  </w:tcBorders>
                  <w:vAlign w:val="center"/>
                  <w:hideMark/>
                </w:tcPr>
                <w:p w14:paraId="5F37376E"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D1-D3</w:t>
                  </w:r>
                </w:p>
              </w:tc>
            </w:tr>
            <w:tr w:rsidR="009972EF" w:rsidRPr="00037A46" w14:paraId="7C4053DF"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5FEAA8AF"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Onderhoudsmedewerker</w:t>
                  </w:r>
                </w:p>
              </w:tc>
              <w:tc>
                <w:tcPr>
                  <w:tcW w:w="2777" w:type="dxa"/>
                  <w:tcBorders>
                    <w:top w:val="nil"/>
                    <w:left w:val="nil"/>
                    <w:bottom w:val="single" w:sz="4" w:space="0" w:color="auto"/>
                    <w:right w:val="single" w:sz="4" w:space="0" w:color="auto"/>
                  </w:tcBorders>
                  <w:hideMark/>
                </w:tcPr>
                <w:p w14:paraId="48562E12" w14:textId="77777777" w:rsidR="009972EF" w:rsidRPr="00037A46" w:rsidRDefault="009972EF" w:rsidP="009972EF">
                  <w:pPr>
                    <w:spacing w:before="0" w:after="0" w:line="259" w:lineRule="auto"/>
                    <w:ind w:left="0"/>
                    <w:jc w:val="left"/>
                  </w:pPr>
                  <w:r w:rsidRPr="2A3843DD">
                    <w:rPr>
                      <w:rFonts w:cs="Arial"/>
                      <w:color w:val="000000" w:themeColor="text1"/>
                      <w:lang w:val="nl-BE" w:eastAsia="nl-BE"/>
                    </w:rPr>
                    <w:t>Arbeider</w:t>
                  </w:r>
                </w:p>
              </w:tc>
              <w:tc>
                <w:tcPr>
                  <w:tcW w:w="2018" w:type="dxa"/>
                  <w:gridSpan w:val="2"/>
                  <w:tcBorders>
                    <w:top w:val="nil"/>
                    <w:left w:val="nil"/>
                    <w:bottom w:val="single" w:sz="4" w:space="0" w:color="auto"/>
                    <w:right w:val="single" w:sz="4" w:space="0" w:color="auto"/>
                  </w:tcBorders>
                  <w:vAlign w:val="center"/>
                  <w:hideMark/>
                </w:tcPr>
                <w:p w14:paraId="2D3242FB"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D1-D3</w:t>
                  </w:r>
                </w:p>
              </w:tc>
            </w:tr>
            <w:tr w:rsidR="009972EF" w:rsidRPr="00037A46" w14:paraId="0E0925F3"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4ADE9729"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Schrijnwerker</w:t>
                  </w:r>
                </w:p>
              </w:tc>
              <w:tc>
                <w:tcPr>
                  <w:tcW w:w="2777" w:type="dxa"/>
                  <w:tcBorders>
                    <w:top w:val="nil"/>
                    <w:left w:val="nil"/>
                    <w:bottom w:val="single" w:sz="4" w:space="0" w:color="auto"/>
                    <w:right w:val="single" w:sz="4" w:space="0" w:color="auto"/>
                  </w:tcBorders>
                  <w:hideMark/>
                </w:tcPr>
                <w:p w14:paraId="5859D131" w14:textId="77777777" w:rsidR="009972EF" w:rsidRPr="00037A46" w:rsidRDefault="009972EF" w:rsidP="009972EF">
                  <w:pPr>
                    <w:spacing w:before="0" w:after="0" w:line="259" w:lineRule="auto"/>
                    <w:ind w:left="0"/>
                    <w:jc w:val="left"/>
                  </w:pPr>
                  <w:r w:rsidRPr="50B80847">
                    <w:rPr>
                      <w:rFonts w:cs="Arial"/>
                      <w:color w:val="000000" w:themeColor="text1"/>
                      <w:lang w:val="nl-BE" w:eastAsia="nl-BE"/>
                    </w:rPr>
                    <w:t>Arbeider</w:t>
                  </w:r>
                </w:p>
              </w:tc>
              <w:tc>
                <w:tcPr>
                  <w:tcW w:w="2018" w:type="dxa"/>
                  <w:gridSpan w:val="2"/>
                  <w:tcBorders>
                    <w:top w:val="nil"/>
                    <w:left w:val="nil"/>
                    <w:bottom w:val="single" w:sz="4" w:space="0" w:color="auto"/>
                    <w:right w:val="single" w:sz="4" w:space="0" w:color="auto"/>
                  </w:tcBorders>
                  <w:vAlign w:val="center"/>
                  <w:hideMark/>
                </w:tcPr>
                <w:p w14:paraId="08BB21B7"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D1-D3</w:t>
                  </w:r>
                </w:p>
              </w:tc>
            </w:tr>
            <w:tr w:rsidR="009972EF" w:rsidRPr="00037A46" w14:paraId="6CF079FF"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1001A529"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Parkwachter</w:t>
                  </w:r>
                </w:p>
              </w:tc>
              <w:tc>
                <w:tcPr>
                  <w:tcW w:w="2777" w:type="dxa"/>
                  <w:tcBorders>
                    <w:top w:val="nil"/>
                    <w:left w:val="nil"/>
                    <w:bottom w:val="single" w:sz="4" w:space="0" w:color="auto"/>
                    <w:right w:val="single" w:sz="4" w:space="0" w:color="auto"/>
                  </w:tcBorders>
                  <w:hideMark/>
                </w:tcPr>
                <w:p w14:paraId="2A29CD1E" w14:textId="77777777" w:rsidR="009972EF" w:rsidRPr="00037A46" w:rsidRDefault="009972EF" w:rsidP="009972EF">
                  <w:pPr>
                    <w:spacing w:before="0" w:after="0" w:line="259" w:lineRule="auto"/>
                    <w:ind w:left="0"/>
                    <w:jc w:val="left"/>
                  </w:pPr>
                  <w:r w:rsidRPr="50B80847">
                    <w:rPr>
                      <w:rFonts w:cs="Arial"/>
                      <w:color w:val="000000" w:themeColor="text1"/>
                      <w:lang w:val="nl-BE" w:eastAsia="nl-BE"/>
                    </w:rPr>
                    <w:t>Arbeider</w:t>
                  </w:r>
                </w:p>
              </w:tc>
              <w:tc>
                <w:tcPr>
                  <w:tcW w:w="2018" w:type="dxa"/>
                  <w:gridSpan w:val="2"/>
                  <w:tcBorders>
                    <w:top w:val="nil"/>
                    <w:left w:val="nil"/>
                    <w:bottom w:val="single" w:sz="4" w:space="0" w:color="auto"/>
                    <w:right w:val="single" w:sz="4" w:space="0" w:color="auto"/>
                  </w:tcBorders>
                  <w:vAlign w:val="center"/>
                  <w:hideMark/>
                </w:tcPr>
                <w:p w14:paraId="20AECCB8"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D1-D3</w:t>
                  </w:r>
                </w:p>
              </w:tc>
            </w:tr>
            <w:tr w:rsidR="009972EF" w:rsidRPr="00037A46" w14:paraId="767A3E2D"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60850C98"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Chauffeur bibliobus</w:t>
                  </w:r>
                </w:p>
              </w:tc>
              <w:tc>
                <w:tcPr>
                  <w:tcW w:w="2777" w:type="dxa"/>
                  <w:tcBorders>
                    <w:top w:val="nil"/>
                    <w:left w:val="nil"/>
                    <w:bottom w:val="single" w:sz="4" w:space="0" w:color="auto"/>
                    <w:right w:val="single" w:sz="4" w:space="0" w:color="auto"/>
                  </w:tcBorders>
                  <w:hideMark/>
                </w:tcPr>
                <w:p w14:paraId="6B40FEDB" w14:textId="77777777" w:rsidR="009972EF" w:rsidRPr="00037A46" w:rsidRDefault="009972EF" w:rsidP="009972EF">
                  <w:pPr>
                    <w:spacing w:before="0" w:after="0" w:line="259" w:lineRule="auto"/>
                    <w:ind w:left="0"/>
                    <w:jc w:val="left"/>
                  </w:pPr>
                  <w:r w:rsidRPr="50B80847">
                    <w:rPr>
                      <w:rFonts w:cs="Arial"/>
                      <w:color w:val="000000" w:themeColor="text1"/>
                      <w:lang w:val="nl-BE" w:eastAsia="nl-BE"/>
                    </w:rPr>
                    <w:t>Arbeider</w:t>
                  </w:r>
                </w:p>
              </w:tc>
              <w:tc>
                <w:tcPr>
                  <w:tcW w:w="2018" w:type="dxa"/>
                  <w:gridSpan w:val="2"/>
                  <w:tcBorders>
                    <w:top w:val="nil"/>
                    <w:left w:val="nil"/>
                    <w:bottom w:val="single" w:sz="4" w:space="0" w:color="auto"/>
                    <w:right w:val="single" w:sz="4" w:space="0" w:color="auto"/>
                  </w:tcBorders>
                  <w:vAlign w:val="center"/>
                  <w:hideMark/>
                </w:tcPr>
                <w:p w14:paraId="377DF705"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D1-D3</w:t>
                  </w:r>
                </w:p>
              </w:tc>
            </w:tr>
            <w:tr w:rsidR="009972EF" w:rsidRPr="00037A46" w14:paraId="535374F0"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4AB02980"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Toezichter middagtoezicht</w:t>
                  </w:r>
                </w:p>
              </w:tc>
              <w:tc>
                <w:tcPr>
                  <w:tcW w:w="2777" w:type="dxa"/>
                  <w:tcBorders>
                    <w:top w:val="nil"/>
                    <w:left w:val="nil"/>
                    <w:bottom w:val="single" w:sz="4" w:space="0" w:color="auto"/>
                    <w:right w:val="single" w:sz="4" w:space="0" w:color="auto"/>
                  </w:tcBorders>
                  <w:hideMark/>
                </w:tcPr>
                <w:p w14:paraId="6334F5BB"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Toezichter</w:t>
                  </w:r>
                </w:p>
              </w:tc>
              <w:tc>
                <w:tcPr>
                  <w:tcW w:w="2018" w:type="dxa"/>
                  <w:gridSpan w:val="2"/>
                  <w:tcBorders>
                    <w:top w:val="nil"/>
                    <w:left w:val="nil"/>
                    <w:bottom w:val="single" w:sz="4" w:space="0" w:color="auto"/>
                    <w:right w:val="single" w:sz="4" w:space="0" w:color="auto"/>
                  </w:tcBorders>
                  <w:vAlign w:val="center"/>
                  <w:hideMark/>
                </w:tcPr>
                <w:p w14:paraId="01C3E5CC"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D1-D3</w:t>
                  </w:r>
                </w:p>
              </w:tc>
            </w:tr>
          </w:tbl>
          <w:p w14:paraId="7A7883B8" w14:textId="2C10D0F7" w:rsidR="00D350B6" w:rsidRPr="00037A46" w:rsidRDefault="00D350B6" w:rsidP="00F41C24">
            <w:pPr>
              <w:spacing w:before="0" w:after="0"/>
              <w:ind w:left="0"/>
              <w:jc w:val="left"/>
              <w:rPr>
                <w:rFonts w:cs="Arial"/>
                <w:b/>
                <w:bCs/>
                <w:color w:val="000000"/>
                <w:lang w:val="nl-BE" w:eastAsia="nl-BE"/>
              </w:rPr>
            </w:pPr>
          </w:p>
        </w:tc>
      </w:tr>
      <w:tr w:rsidR="00D350B6" w:rsidRPr="00037A46" w14:paraId="5C4DB1AE" w14:textId="77777777" w:rsidTr="009972EF">
        <w:trPr>
          <w:trHeight w:val="300"/>
        </w:trPr>
        <w:tc>
          <w:tcPr>
            <w:tcW w:w="3947" w:type="dxa"/>
            <w:tcBorders>
              <w:top w:val="nil"/>
              <w:left w:val="nil"/>
              <w:bottom w:val="nil"/>
              <w:right w:val="nil"/>
            </w:tcBorders>
            <w:noWrap/>
            <w:vAlign w:val="bottom"/>
          </w:tcPr>
          <w:p w14:paraId="208E57B3" w14:textId="77777777" w:rsidR="00D350B6" w:rsidRPr="00037A46" w:rsidRDefault="00D350B6" w:rsidP="00F41C24">
            <w:pPr>
              <w:spacing w:before="0" w:after="0"/>
              <w:ind w:left="0"/>
              <w:rPr>
                <w:rFonts w:cs="Arial"/>
                <w:color w:val="000000"/>
                <w:lang w:val="nl-BE" w:eastAsia="nl-BE"/>
              </w:rPr>
            </w:pPr>
          </w:p>
        </w:tc>
        <w:tc>
          <w:tcPr>
            <w:tcW w:w="2949" w:type="dxa"/>
            <w:tcBorders>
              <w:top w:val="nil"/>
              <w:left w:val="nil"/>
              <w:bottom w:val="nil"/>
              <w:right w:val="nil"/>
            </w:tcBorders>
            <w:noWrap/>
            <w:vAlign w:val="bottom"/>
          </w:tcPr>
          <w:p w14:paraId="0FC73B95" w14:textId="77777777" w:rsidR="00D350B6" w:rsidRPr="00037A46" w:rsidRDefault="00D350B6" w:rsidP="00F41C24">
            <w:pPr>
              <w:spacing w:before="0" w:after="0"/>
              <w:ind w:left="0"/>
              <w:jc w:val="left"/>
              <w:rPr>
                <w:rFonts w:ascii="Times New Roman" w:hAnsi="Times New Roman"/>
                <w:lang w:val="nl-BE" w:eastAsia="nl-BE"/>
              </w:rPr>
            </w:pPr>
          </w:p>
        </w:tc>
        <w:tc>
          <w:tcPr>
            <w:tcW w:w="1001" w:type="dxa"/>
            <w:tcBorders>
              <w:top w:val="nil"/>
              <w:left w:val="nil"/>
              <w:bottom w:val="nil"/>
              <w:right w:val="nil"/>
            </w:tcBorders>
            <w:noWrap/>
            <w:vAlign w:val="bottom"/>
          </w:tcPr>
          <w:p w14:paraId="69457687" w14:textId="77777777" w:rsidR="00D350B6" w:rsidRPr="00037A46" w:rsidRDefault="00D350B6" w:rsidP="00F41C24">
            <w:pPr>
              <w:spacing w:before="0" w:after="0"/>
              <w:ind w:left="0"/>
              <w:jc w:val="center"/>
              <w:rPr>
                <w:rFonts w:ascii="Times New Roman" w:hAnsi="Times New Roman"/>
                <w:lang w:val="nl-BE" w:eastAsia="nl-BE"/>
              </w:rPr>
            </w:pPr>
          </w:p>
        </w:tc>
        <w:tc>
          <w:tcPr>
            <w:tcW w:w="1343" w:type="dxa"/>
            <w:tcBorders>
              <w:top w:val="nil"/>
              <w:left w:val="nil"/>
              <w:bottom w:val="nil"/>
              <w:right w:val="nil"/>
            </w:tcBorders>
            <w:noWrap/>
            <w:vAlign w:val="bottom"/>
          </w:tcPr>
          <w:p w14:paraId="28E10A1D" w14:textId="77777777" w:rsidR="00D350B6" w:rsidRPr="00037A46" w:rsidRDefault="00D350B6" w:rsidP="00F41C24">
            <w:pPr>
              <w:spacing w:before="0" w:after="0"/>
              <w:ind w:left="0"/>
              <w:jc w:val="left"/>
              <w:rPr>
                <w:rFonts w:ascii="Times New Roman" w:hAnsi="Times New Roman"/>
                <w:lang w:val="nl-BE" w:eastAsia="nl-BE"/>
              </w:rPr>
            </w:pPr>
          </w:p>
        </w:tc>
      </w:tr>
      <w:tr w:rsidR="00D350B6" w:rsidRPr="00037A46" w14:paraId="2701A8E0" w14:textId="77777777" w:rsidTr="009972EF">
        <w:trPr>
          <w:trHeight w:val="300"/>
        </w:trPr>
        <w:tc>
          <w:tcPr>
            <w:tcW w:w="9240" w:type="dxa"/>
            <w:gridSpan w:val="4"/>
            <w:tcBorders>
              <w:top w:val="nil"/>
              <w:left w:val="nil"/>
              <w:bottom w:val="nil"/>
              <w:right w:val="nil"/>
            </w:tcBorders>
            <w:noWrap/>
            <w:vAlign w:val="center"/>
          </w:tcPr>
          <w:p w14:paraId="2BA6546D" w14:textId="3161152B" w:rsidR="00D350B6" w:rsidRPr="00037A46" w:rsidRDefault="00D350B6" w:rsidP="00F41C24">
            <w:pPr>
              <w:spacing w:before="0" w:after="0"/>
              <w:ind w:left="0"/>
              <w:rPr>
                <w:rFonts w:cs="Arial"/>
                <w:b/>
                <w:bCs/>
                <w:color w:val="000000"/>
                <w:lang w:val="nl-BE" w:eastAsia="nl-BE"/>
              </w:rPr>
            </w:pPr>
          </w:p>
        </w:tc>
      </w:tr>
    </w:tbl>
    <w:p w14:paraId="46FAA982" w14:textId="77777777" w:rsidR="00B772A6" w:rsidRPr="00037A46" w:rsidRDefault="00B772A6" w:rsidP="00AA08B3">
      <w:pPr>
        <w:pStyle w:val="Kop5"/>
        <w:spacing w:after="240"/>
      </w:pPr>
    </w:p>
    <w:p w14:paraId="1945CDC6" w14:textId="004CF586" w:rsidR="00A521CE" w:rsidRPr="00037A46" w:rsidRDefault="00B772A6" w:rsidP="00B207F3">
      <w:pPr>
        <w:pStyle w:val="Kop1"/>
      </w:pPr>
      <w:bookmarkStart w:id="319" w:name="_Toc215739066"/>
      <w:r w:rsidRPr="00037A46">
        <w:lastRenderedPageBreak/>
        <w:t xml:space="preserve">BIJLAGE </w:t>
      </w:r>
      <w:r w:rsidR="00D350B6">
        <w:t>I</w:t>
      </w:r>
      <w:r w:rsidRPr="00037A46">
        <w:t>V:</w:t>
      </w:r>
      <w:r w:rsidR="003A11FB" w:rsidRPr="00037A46">
        <w:t xml:space="preserve"> VORMING</w:t>
      </w:r>
      <w:r w:rsidR="00BE47A8" w:rsidRPr="00037A46">
        <w:t>S</w:t>
      </w:r>
      <w:r w:rsidR="003A11FB" w:rsidRPr="00037A46">
        <w:t>REGLEMENT</w:t>
      </w:r>
      <w:bookmarkEnd w:id="319"/>
      <w:r w:rsidR="003A11FB" w:rsidRPr="00037A46">
        <w:t xml:space="preserve"> </w:t>
      </w:r>
      <w:bookmarkStart w:id="320" w:name="_Toc282092041"/>
      <w:bookmarkStart w:id="321" w:name="_Toc282168242"/>
      <w:bookmarkStart w:id="322" w:name="_Toc282524066"/>
      <w:bookmarkStart w:id="323" w:name="_Toc283214479"/>
    </w:p>
    <w:p w14:paraId="25F3EDD6" w14:textId="5A1B828D" w:rsidR="00DE7984" w:rsidRPr="00037A46" w:rsidRDefault="00DE7984" w:rsidP="008C1193">
      <w:pPr>
        <w:pStyle w:val="Kop3"/>
      </w:pPr>
      <w:bookmarkStart w:id="324" w:name="_Toc282092044"/>
      <w:bookmarkStart w:id="325" w:name="_Toc282168245"/>
      <w:bookmarkStart w:id="326" w:name="_Toc282524069"/>
      <w:bookmarkStart w:id="327" w:name="_Toc283214482"/>
      <w:bookmarkStart w:id="328" w:name="_Toc110948269"/>
      <w:bookmarkStart w:id="329" w:name="_Toc177724315"/>
      <w:bookmarkStart w:id="330" w:name="_Toc177724983"/>
      <w:bookmarkStart w:id="331" w:name="_Toc215739067"/>
      <w:bookmarkEnd w:id="320"/>
      <w:bookmarkEnd w:id="321"/>
      <w:bookmarkEnd w:id="322"/>
      <w:bookmarkEnd w:id="323"/>
      <w:r w:rsidRPr="00037A46">
        <w:t xml:space="preserve">Afdeling </w:t>
      </w:r>
      <w:r w:rsidR="00873194" w:rsidRPr="00037A46">
        <w:t>1</w:t>
      </w:r>
      <w:r w:rsidRPr="00037A46">
        <w:t>. Strategische uitgangspunten</w:t>
      </w:r>
      <w:bookmarkEnd w:id="324"/>
      <w:bookmarkEnd w:id="325"/>
      <w:bookmarkEnd w:id="326"/>
      <w:bookmarkEnd w:id="327"/>
      <w:bookmarkEnd w:id="328"/>
      <w:bookmarkEnd w:id="329"/>
      <w:bookmarkEnd w:id="330"/>
      <w:bookmarkEnd w:id="331"/>
      <w:r w:rsidRPr="00037A46">
        <w:t xml:space="preserve"> </w:t>
      </w:r>
    </w:p>
    <w:p w14:paraId="19F7FA78" w14:textId="77777777" w:rsidR="0036319B" w:rsidRPr="00037A46" w:rsidRDefault="0036319B" w:rsidP="0036319B">
      <w:pPr>
        <w:pStyle w:val="Kop5"/>
        <w:rPr>
          <w:rFonts w:ascii="VerdanaFID174HGSet1" w:hAnsi="VerdanaFID174HGSet1" w:cs="VerdanaFID174HGSet1"/>
        </w:rPr>
      </w:pPr>
      <w:r w:rsidRPr="00037A46">
        <w:t xml:space="preserve">Artikel </w:t>
      </w:r>
      <w:r w:rsidR="00873194" w:rsidRPr="00037A46">
        <w:t>1</w:t>
      </w:r>
      <w:r w:rsidR="00DE7984" w:rsidRPr="00037A46">
        <w:rPr>
          <w:rFonts w:ascii="VerdanaFID174HGSet1" w:hAnsi="VerdanaFID174HGSet1" w:cs="VerdanaFID174HGSet1"/>
        </w:rPr>
        <w:t xml:space="preserve"> </w:t>
      </w:r>
    </w:p>
    <w:p w14:paraId="59508B42" w14:textId="77777777" w:rsidR="00DE7984" w:rsidRPr="00037A46" w:rsidRDefault="00DE7984" w:rsidP="00617C5B">
      <w:pPr>
        <w:pStyle w:val="OpmaakprofielUitvullen"/>
        <w:ind w:left="0"/>
        <w:rPr>
          <w:rFonts w:ascii="VerdanaFID174HGSet1" w:hAnsi="VerdanaFID174HGSet1" w:cs="VerdanaFID174HGSet1"/>
        </w:rPr>
      </w:pPr>
      <w:r w:rsidRPr="00037A46">
        <w:t>Omschrijving VTO</w:t>
      </w:r>
      <w:r w:rsidRPr="00037A46">
        <w:rPr>
          <w:rFonts w:ascii="VerdanaFID174HGSet1" w:hAnsi="VerdanaFID174HGSet1" w:cs="VerdanaFID174HGSet1"/>
        </w:rPr>
        <w:t xml:space="preserve"> </w:t>
      </w:r>
    </w:p>
    <w:p w14:paraId="01FB4FA0" w14:textId="77777777" w:rsidR="00DE7984" w:rsidRPr="00037A46" w:rsidRDefault="00DE7984" w:rsidP="00617C5B">
      <w:pPr>
        <w:pStyle w:val="OpmaakprofielUitvullen"/>
        <w:ind w:left="0"/>
      </w:pPr>
      <w:r w:rsidRPr="00037A46">
        <w:t>Onder Vorming-Training-Opleiding wordt elk begeleid en gestructureerd leertraject verstaan. Daarbij is het onbelangrijk of die vorming intern of extern aan het bestuur georganiseerd wordt. Tevens is het onbelangrijk hoe lang deze vorming duurt. Tenslotte kan vorming zowel individueel als in groepsverband worden georganiseerd.</w:t>
      </w:r>
      <w:r w:rsidR="00D25EEA" w:rsidRPr="00037A46">
        <w:rPr>
          <w:smallCaps/>
          <w:vertAlign w:val="superscript"/>
        </w:rPr>
        <w:t xml:space="preserve">  </w:t>
      </w:r>
    </w:p>
    <w:p w14:paraId="212A6F24" w14:textId="77777777" w:rsidR="00DE7984" w:rsidRPr="00037A46" w:rsidRDefault="00DE7984" w:rsidP="00617C5B">
      <w:pPr>
        <w:pStyle w:val="OpmaakprofielUitvullen"/>
        <w:ind w:left="0"/>
      </w:pPr>
      <w:r w:rsidRPr="00037A46">
        <w:t>Het gaat hierbij om de ontwikkeling van competenties met het oog op een beter, een meer kwaliteitsvol, functioneren in het vervullen van functies en taken die deel uitmaken van de opdracht en de missie</w:t>
      </w:r>
      <w:r w:rsidR="00D25EEA" w:rsidRPr="00037A46">
        <w:rPr>
          <w:rStyle w:val="Voetnootmarkering"/>
        </w:rPr>
        <w:t xml:space="preserve">  </w:t>
      </w:r>
      <w:r w:rsidRPr="00037A46">
        <w:t xml:space="preserve"> van de organisatie en met het oog op het in staat stellen van de medewerkers om bij te dragen tot kennisontwikkeling</w:t>
      </w:r>
      <w:r w:rsidR="00145472" w:rsidRPr="00037A46">
        <w:t>, -behoud</w:t>
      </w:r>
      <w:r w:rsidRPr="00037A46">
        <w:t xml:space="preserve"> </w:t>
      </w:r>
      <w:r w:rsidR="00145472" w:rsidRPr="00037A46">
        <w:t>en –overdracht ten voordele van onze organisatie.</w:t>
      </w:r>
    </w:p>
    <w:p w14:paraId="73F66C87" w14:textId="77777777" w:rsidR="0036319B" w:rsidRPr="00037A46" w:rsidRDefault="0036319B" w:rsidP="00617C5B">
      <w:pPr>
        <w:pStyle w:val="Kop5"/>
      </w:pPr>
      <w:r w:rsidRPr="00037A46">
        <w:t>Artikel</w:t>
      </w:r>
      <w:r w:rsidR="00DE7984" w:rsidRPr="00037A46">
        <w:t xml:space="preserve"> </w:t>
      </w:r>
      <w:r w:rsidR="00873194" w:rsidRPr="00037A46">
        <w:t>2</w:t>
      </w:r>
      <w:r w:rsidR="00DE7984" w:rsidRPr="00037A46">
        <w:t xml:space="preserve"> </w:t>
      </w:r>
    </w:p>
    <w:p w14:paraId="4FAE6D94" w14:textId="77777777" w:rsidR="00DE7984" w:rsidRPr="00037A46" w:rsidRDefault="00DE7984" w:rsidP="00617C5B">
      <w:pPr>
        <w:pStyle w:val="OpmaakprofielUitvullen"/>
        <w:ind w:left="0"/>
      </w:pPr>
      <w:r w:rsidRPr="00037A46">
        <w:t>Positie van VTO in de organisatie</w:t>
      </w:r>
    </w:p>
    <w:p w14:paraId="71AEAE64" w14:textId="77777777" w:rsidR="00DE7984" w:rsidRPr="00037A46" w:rsidRDefault="00DE7984" w:rsidP="00617C5B">
      <w:pPr>
        <w:pStyle w:val="OpmaakprofielUitvullen"/>
        <w:ind w:left="0"/>
      </w:pPr>
      <w:r w:rsidRPr="00037A46">
        <w:t xml:space="preserve">De hoofdfunctie van VTO binnen het </w:t>
      </w:r>
      <w:r w:rsidR="007706C1" w:rsidRPr="00037A46">
        <w:t>bestuur</w:t>
      </w:r>
      <w:r w:rsidRPr="00037A46">
        <w:t xml:space="preserve"> is </w:t>
      </w:r>
      <w:proofErr w:type="spellStart"/>
      <w:r w:rsidRPr="00037A46">
        <w:t>organisationele</w:t>
      </w:r>
      <w:proofErr w:type="spellEnd"/>
      <w:r w:rsidRPr="00037A46">
        <w:t xml:space="preserve"> ontwikkeling nastreven via persoonlijke ontwikkeling, waardoor een kwaliteitsvolle en professionele dienstverlening mogelijk wordt gemaakt. Naast deze persoonlijke en </w:t>
      </w:r>
      <w:proofErr w:type="spellStart"/>
      <w:r w:rsidRPr="00037A46">
        <w:t>organisationele</w:t>
      </w:r>
      <w:proofErr w:type="spellEnd"/>
      <w:r w:rsidRPr="00037A46">
        <w:t xml:space="preserve"> ontwikkeling hecht het bestuur ook belang aan de volgende nevenfuncties van VTO: motivatie, kennismakingsmogelijkheid met nieuwe materie, ontmoetingsplaats en beloningsinstrument.</w:t>
      </w:r>
    </w:p>
    <w:p w14:paraId="5565142F" w14:textId="77777777" w:rsidR="00510A83" w:rsidRPr="00037A46" w:rsidRDefault="00510A83" w:rsidP="00510A83">
      <w:pPr>
        <w:pStyle w:val="Kop3"/>
      </w:pPr>
      <w:bookmarkStart w:id="332" w:name="_Toc110948270"/>
      <w:bookmarkStart w:id="333" w:name="_Toc177724316"/>
      <w:bookmarkStart w:id="334" w:name="_Toc177724984"/>
      <w:bookmarkStart w:id="335" w:name="_Toc215739068"/>
      <w:bookmarkStart w:id="336" w:name="_Toc282092047"/>
      <w:bookmarkStart w:id="337" w:name="_Toc282168248"/>
      <w:bookmarkStart w:id="338" w:name="_Toc282524072"/>
      <w:bookmarkStart w:id="339" w:name="_Toc283214485"/>
      <w:bookmarkStart w:id="340" w:name="_Toc282092045"/>
      <w:bookmarkStart w:id="341" w:name="_Toc282168246"/>
      <w:bookmarkStart w:id="342" w:name="_Toc282524070"/>
      <w:bookmarkStart w:id="343" w:name="_Toc283214483"/>
      <w:r w:rsidRPr="00037A46">
        <w:t xml:space="preserve">Afdeling </w:t>
      </w:r>
      <w:r w:rsidR="00873194" w:rsidRPr="00037A46">
        <w:t>2</w:t>
      </w:r>
      <w:r w:rsidRPr="00037A46">
        <w:t>.</w:t>
      </w:r>
      <w:r w:rsidRPr="00037A46">
        <w:rPr>
          <w:rFonts w:ascii="StandardSymL" w:hAnsi="StandardSymL" w:cs="StandardSymL"/>
          <w:sz w:val="21"/>
          <w:szCs w:val="21"/>
        </w:rPr>
        <w:t xml:space="preserve"> </w:t>
      </w:r>
      <w:r w:rsidRPr="00037A46">
        <w:t>Vormingsrechten en -plichten</w:t>
      </w:r>
      <w:bookmarkEnd w:id="332"/>
      <w:bookmarkEnd w:id="333"/>
      <w:bookmarkEnd w:id="334"/>
      <w:bookmarkEnd w:id="335"/>
      <w:r w:rsidR="00D25EEA" w:rsidRPr="00037A46">
        <w:rPr>
          <w:rStyle w:val="Voetnootmarkering"/>
        </w:rPr>
        <w:t xml:space="preserve">  </w:t>
      </w:r>
      <w:bookmarkEnd w:id="336"/>
      <w:bookmarkEnd w:id="337"/>
      <w:bookmarkEnd w:id="338"/>
      <w:bookmarkEnd w:id="339"/>
    </w:p>
    <w:p w14:paraId="21C4319B" w14:textId="77777777" w:rsidR="00510A83" w:rsidRPr="00037A46" w:rsidRDefault="00510A83" w:rsidP="00510A83">
      <w:pPr>
        <w:pStyle w:val="Kop5"/>
      </w:pPr>
      <w:r w:rsidRPr="00037A46">
        <w:t xml:space="preserve">Artikel </w:t>
      </w:r>
      <w:r w:rsidR="00873194" w:rsidRPr="00037A46">
        <w:t>3</w:t>
      </w:r>
    </w:p>
    <w:p w14:paraId="7EAFDBAD" w14:textId="208551AF" w:rsidR="00510A83" w:rsidRPr="00E57000" w:rsidRDefault="00510A83" w:rsidP="00617C5B">
      <w:pPr>
        <w:pStyle w:val="OpmaakprofielUitvullen"/>
        <w:ind w:left="0"/>
        <w:rPr>
          <w:bCs/>
        </w:rPr>
      </w:pPr>
      <w:r w:rsidRPr="00E57000">
        <w:rPr>
          <w:bCs/>
        </w:rPr>
        <w:t>§1</w:t>
      </w:r>
      <w:r w:rsidR="00E57000" w:rsidRPr="00E57000">
        <w:rPr>
          <w:bCs/>
        </w:rPr>
        <w:t>.</w:t>
      </w:r>
      <w:r w:rsidRPr="00E57000">
        <w:rPr>
          <w:bCs/>
        </w:rPr>
        <w:t xml:space="preserve"> De personeelsleden hebben recht op informatie over alle aspecten die nuttig</w:t>
      </w:r>
      <w:r w:rsidR="007827FB" w:rsidRPr="00E57000">
        <w:rPr>
          <w:bCs/>
        </w:rPr>
        <w:t xml:space="preserve"> </w:t>
      </w:r>
      <w:r w:rsidRPr="00E57000">
        <w:rPr>
          <w:bCs/>
        </w:rPr>
        <w:t xml:space="preserve">zijn voor de uitoefening van de functie die hun is opgedragen. </w:t>
      </w:r>
    </w:p>
    <w:p w14:paraId="3B8B69EB" w14:textId="77777777" w:rsidR="00510A83" w:rsidRPr="00E57000" w:rsidRDefault="00510A83" w:rsidP="00617C5B">
      <w:pPr>
        <w:pStyle w:val="OpmaakprofielUitvullen"/>
        <w:ind w:left="0"/>
        <w:rPr>
          <w:bCs/>
        </w:rPr>
      </w:pPr>
      <w:r w:rsidRPr="00E57000">
        <w:rPr>
          <w:bCs/>
        </w:rPr>
        <w:t xml:space="preserve"> Zij hebben onder de voorwaarden bepaald in dit vormingsreglement recht op opleiding indien die opleiding vereist is om te kunnen voldoen aan de aanwervings- of bevorderingsvoorwaarden. </w:t>
      </w:r>
    </w:p>
    <w:p w14:paraId="6E6B2FC4" w14:textId="2664192B" w:rsidR="00510A83" w:rsidRPr="00E57000" w:rsidRDefault="00510A83" w:rsidP="00617C5B">
      <w:pPr>
        <w:pStyle w:val="OpmaakprofielUitvullen"/>
        <w:ind w:left="0"/>
        <w:rPr>
          <w:bCs/>
        </w:rPr>
      </w:pPr>
      <w:r w:rsidRPr="00E57000">
        <w:rPr>
          <w:bCs/>
        </w:rPr>
        <w:t>§2</w:t>
      </w:r>
      <w:r w:rsidR="00E57000" w:rsidRPr="00E57000">
        <w:rPr>
          <w:bCs/>
        </w:rPr>
        <w:t>.</w:t>
      </w:r>
      <w:r w:rsidRPr="00E57000">
        <w:rPr>
          <w:bCs/>
        </w:rPr>
        <w:t xml:space="preserve"> De personeelsleden houden zich op de hoogte van de ontwikkelingen en de nieuwe inzichten in de wetgeving en materies waarmee zij beroepshalve belast zijn.</w:t>
      </w:r>
    </w:p>
    <w:p w14:paraId="2114526A" w14:textId="7EA5F3AD" w:rsidR="00510A83" w:rsidRPr="00037A46" w:rsidRDefault="00510A83" w:rsidP="00617C5B">
      <w:pPr>
        <w:pStyle w:val="OpmaakprofielUitvullen"/>
        <w:ind w:left="0"/>
      </w:pPr>
      <w:r w:rsidRPr="00E57000">
        <w:rPr>
          <w:bCs/>
        </w:rPr>
        <w:t>§3</w:t>
      </w:r>
      <w:r w:rsidR="00E57000" w:rsidRPr="00E57000">
        <w:rPr>
          <w:bCs/>
        </w:rPr>
        <w:t>.</w:t>
      </w:r>
      <w:r w:rsidRPr="00E57000">
        <w:rPr>
          <w:bCs/>
        </w:rPr>
        <w:t xml:space="preserve"> De vormingsverantwoordelijke</w:t>
      </w:r>
      <w:r w:rsidRPr="00037A46">
        <w:t xml:space="preserve"> zorgt in samenwerking met de </w:t>
      </w:r>
      <w:r w:rsidR="00087182">
        <w:t>leidinggevenden</w:t>
      </w:r>
      <w:r w:rsidRPr="00037A46">
        <w:t xml:space="preserve"> en </w:t>
      </w:r>
      <w:r w:rsidR="00637322" w:rsidRPr="00037A46">
        <w:t xml:space="preserve">de </w:t>
      </w:r>
      <w:r w:rsidR="003474E1" w:rsidRPr="00037A46">
        <w:t>algemeen directeur</w:t>
      </w:r>
      <w:r w:rsidRPr="00037A46">
        <w:t xml:space="preserve"> voor de concrete invulling van het vormingsrecht en van de vormingsplicht op basis van de</w:t>
      </w:r>
      <w:r w:rsidR="00A92823" w:rsidRPr="00037A46">
        <w:t xml:space="preserve"> vastgestelde vormingsbehoeften</w:t>
      </w:r>
      <w:r w:rsidRPr="00037A46">
        <w:t>.</w:t>
      </w:r>
    </w:p>
    <w:p w14:paraId="23AA68AD" w14:textId="6197AE5F" w:rsidR="00DE7984" w:rsidRPr="00037A46" w:rsidRDefault="00DE7984" w:rsidP="008C1193">
      <w:pPr>
        <w:pStyle w:val="Kop3"/>
      </w:pPr>
      <w:bookmarkStart w:id="344" w:name="_Toc110948271"/>
      <w:bookmarkStart w:id="345" w:name="_Toc177724317"/>
      <w:bookmarkStart w:id="346" w:name="_Toc177724985"/>
      <w:bookmarkStart w:id="347" w:name="_Toc215739069"/>
      <w:r w:rsidRPr="00037A46">
        <w:t xml:space="preserve">Afdeling </w:t>
      </w:r>
      <w:r w:rsidR="00873194" w:rsidRPr="00037A46">
        <w:t>3</w:t>
      </w:r>
      <w:r w:rsidR="0015419A" w:rsidRPr="00037A46">
        <w:t>.</w:t>
      </w:r>
      <w:r w:rsidRPr="00037A46">
        <w:t xml:space="preserve"> Actoren en bevoegdheden</w:t>
      </w:r>
      <w:bookmarkEnd w:id="340"/>
      <w:bookmarkEnd w:id="341"/>
      <w:bookmarkEnd w:id="342"/>
      <w:bookmarkEnd w:id="343"/>
      <w:bookmarkEnd w:id="344"/>
      <w:bookmarkEnd w:id="345"/>
      <w:bookmarkEnd w:id="346"/>
      <w:bookmarkEnd w:id="347"/>
    </w:p>
    <w:p w14:paraId="5B7E8937" w14:textId="77777777" w:rsidR="0036319B" w:rsidRPr="00037A46" w:rsidRDefault="0036319B" w:rsidP="0036319B">
      <w:pPr>
        <w:pStyle w:val="Kop5"/>
        <w:rPr>
          <w:rFonts w:ascii="VerdanaFID174HGSet1" w:hAnsi="VerdanaFID174HGSet1" w:cs="VerdanaFID174HGSet1"/>
        </w:rPr>
      </w:pPr>
      <w:r w:rsidRPr="00037A46">
        <w:t>Artikel</w:t>
      </w:r>
      <w:r w:rsidR="00A521CE" w:rsidRPr="00037A46">
        <w:t xml:space="preserve"> </w:t>
      </w:r>
      <w:r w:rsidR="00873194" w:rsidRPr="00037A46">
        <w:t>4</w:t>
      </w:r>
    </w:p>
    <w:p w14:paraId="2062F10D" w14:textId="77777777" w:rsidR="00DE7984" w:rsidRPr="00037A46" w:rsidRDefault="00DE7984" w:rsidP="00617C5B">
      <w:pPr>
        <w:pStyle w:val="OpmaakprofielUitvullen"/>
        <w:ind w:left="0"/>
      </w:pPr>
      <w:r w:rsidRPr="00037A46">
        <w:t>De Gemeenteraad</w:t>
      </w:r>
      <w:r w:rsidR="001802E8" w:rsidRPr="00037A46">
        <w:t>/</w:t>
      </w:r>
      <w:r w:rsidR="00A92823" w:rsidRPr="00037A46">
        <w:t>OCMW-</w:t>
      </w:r>
      <w:r w:rsidR="001802E8" w:rsidRPr="00037A46">
        <w:t>raad</w:t>
      </w:r>
      <w:r w:rsidRPr="00037A46">
        <w:t xml:space="preserve"> beslist over de nodige middelen in de begroting. Het vormingsbudget vormt de grens waarbinnen de andere actoren inhoud kunnen geven aan het VTO-beleid van het bestuur.</w:t>
      </w:r>
    </w:p>
    <w:p w14:paraId="0EC6530C" w14:textId="77777777" w:rsidR="0036319B" w:rsidRPr="00037A46" w:rsidRDefault="0036319B" w:rsidP="00617C5B">
      <w:pPr>
        <w:pStyle w:val="Kop5"/>
        <w:rPr>
          <w:rFonts w:ascii="VerdanaFID174HGSet1" w:hAnsi="VerdanaFID174HGSet1" w:cs="VerdanaFID174HGSet1"/>
        </w:rPr>
      </w:pPr>
      <w:r w:rsidRPr="00037A46">
        <w:t>Artikel</w:t>
      </w:r>
      <w:r w:rsidR="009E63B5" w:rsidRPr="00037A46">
        <w:t xml:space="preserve"> </w:t>
      </w:r>
      <w:r w:rsidR="00873194" w:rsidRPr="00037A46">
        <w:t>5</w:t>
      </w:r>
    </w:p>
    <w:p w14:paraId="696CA63C" w14:textId="77777777" w:rsidR="00DE7984" w:rsidRPr="00037A46" w:rsidRDefault="5EF21F4C" w:rsidP="00617C5B">
      <w:pPr>
        <w:pStyle w:val="OpmaakprofielUitvullen"/>
        <w:ind w:left="0"/>
      </w:pPr>
      <w:r>
        <w:t xml:space="preserve">De </w:t>
      </w:r>
      <w:r w:rsidR="310F5243">
        <w:t>algemeen directeur</w:t>
      </w:r>
      <w:r>
        <w:t xml:space="preserve"> is eindverantwoordelijke van het vormingsgebeuren.</w:t>
      </w:r>
    </w:p>
    <w:p w14:paraId="08C639C7" w14:textId="77777777" w:rsidR="0036319B" w:rsidRPr="00037A46" w:rsidRDefault="0036319B" w:rsidP="00617C5B">
      <w:pPr>
        <w:pStyle w:val="Kop5"/>
        <w:rPr>
          <w:rFonts w:ascii="VerdanaFID174HGSet1" w:hAnsi="VerdanaFID174HGSet1" w:cs="VerdanaFID174HGSet1"/>
        </w:rPr>
      </w:pPr>
      <w:r w:rsidRPr="00037A46">
        <w:t>Artikel</w:t>
      </w:r>
      <w:r w:rsidR="00A521CE" w:rsidRPr="00037A46">
        <w:t xml:space="preserve"> </w:t>
      </w:r>
      <w:r w:rsidR="00873194" w:rsidRPr="00037A46">
        <w:t>6</w:t>
      </w:r>
    </w:p>
    <w:p w14:paraId="37A32C29" w14:textId="77777777" w:rsidR="00DE7984" w:rsidRPr="00037A46" w:rsidRDefault="00DE7984" w:rsidP="00617C5B">
      <w:pPr>
        <w:pStyle w:val="OpmaakprofielUitvullen"/>
        <w:ind w:left="0"/>
      </w:pPr>
      <w:r w:rsidRPr="00037A46">
        <w:lastRenderedPageBreak/>
        <w:t>De vormings</w:t>
      </w:r>
      <w:r w:rsidR="00A521CE" w:rsidRPr="00037A46">
        <w:t>verantwoordelijke</w:t>
      </w:r>
      <w:r w:rsidRPr="00037A46">
        <w:t xml:space="preserve"> fungeert als coördinator tussen de verschillende actoren tijdens de organisatie van het opleidingsgebeuren. Hij/zij stelt de vormingsplanning op waarin de inhoud, de wijze van organiseren en de opvolging van de individuele en collectieve vormingstrajecten worden vastgesteld.</w:t>
      </w:r>
    </w:p>
    <w:p w14:paraId="09E1E276" w14:textId="77777777" w:rsidR="00DE7984" w:rsidRPr="00037A46" w:rsidRDefault="00DE7984" w:rsidP="00617C5B">
      <w:pPr>
        <w:pStyle w:val="OpmaakprofielUitvullen"/>
        <w:ind w:left="0"/>
      </w:pPr>
      <w:r w:rsidRPr="00037A46">
        <w:t xml:space="preserve">Hij/zij beheert en bewaakt het vormingsbudget en vraagt, indien nodig, in overleg met de </w:t>
      </w:r>
      <w:r w:rsidR="003474E1" w:rsidRPr="00037A46">
        <w:t>financieel directeur</w:t>
      </w:r>
      <w:r w:rsidRPr="00037A46">
        <w:t xml:space="preserve"> een wijziging van het budget aan.</w:t>
      </w:r>
    </w:p>
    <w:p w14:paraId="39B979DF" w14:textId="77777777" w:rsidR="0036319B" w:rsidRPr="00831F5A" w:rsidRDefault="0036319B" w:rsidP="00617C5B">
      <w:pPr>
        <w:pStyle w:val="Kop5"/>
      </w:pPr>
      <w:r w:rsidRPr="00831F5A">
        <w:t>Artikel</w:t>
      </w:r>
      <w:r w:rsidR="009E63B5" w:rsidRPr="00831F5A">
        <w:t xml:space="preserve"> </w:t>
      </w:r>
      <w:r w:rsidR="00873194" w:rsidRPr="00831F5A">
        <w:t>7</w:t>
      </w:r>
    </w:p>
    <w:p w14:paraId="1B8531E9" w14:textId="5009F0A0" w:rsidR="00DE7984" w:rsidRPr="00831F5A" w:rsidRDefault="00DE7984" w:rsidP="00617C5B">
      <w:pPr>
        <w:pStyle w:val="OpmaakprofielUitvullen"/>
        <w:ind w:left="0"/>
      </w:pPr>
      <w:r w:rsidRPr="00831F5A">
        <w:t xml:space="preserve">De </w:t>
      </w:r>
      <w:r w:rsidR="00087182" w:rsidRPr="00831F5A">
        <w:t>leidinggevende</w:t>
      </w:r>
      <w:r w:rsidRPr="00831F5A">
        <w:t xml:space="preserve"> waaronder het personeelslid ressorteert, is medeverantwoordelijk voor de detectie van individuele en organisatorische vormingsbehoeften en –noden. Deze behoeften kunnen ook besproken worden tijdens evaluatie- en functioneringsgesprekken. De </w:t>
      </w:r>
      <w:r w:rsidR="00087182" w:rsidRPr="00831F5A">
        <w:t>leidinggevende</w:t>
      </w:r>
      <w:r w:rsidRPr="00831F5A">
        <w:t xml:space="preserve"> adviseert de aanvragen, ondersteunt het VTO-beleid en zorgt voor een actieve resultaatmeting. </w:t>
      </w:r>
    </w:p>
    <w:p w14:paraId="5FD87F93" w14:textId="77777777" w:rsidR="0036319B" w:rsidRPr="00831F5A" w:rsidRDefault="0036319B" w:rsidP="00617C5B">
      <w:pPr>
        <w:pStyle w:val="Kop5"/>
      </w:pPr>
      <w:r w:rsidRPr="00831F5A">
        <w:t xml:space="preserve">Artikel </w:t>
      </w:r>
      <w:r w:rsidR="00873194" w:rsidRPr="00831F5A">
        <w:t>8</w:t>
      </w:r>
    </w:p>
    <w:p w14:paraId="0FA312A2" w14:textId="4C40B824" w:rsidR="00DE7984" w:rsidRPr="00037A46" w:rsidRDefault="00DE7984" w:rsidP="00617C5B">
      <w:pPr>
        <w:pStyle w:val="OpmaakprofielUitvullen"/>
        <w:ind w:left="0"/>
      </w:pPr>
      <w:r w:rsidRPr="00831F5A">
        <w:t>Het betrokken personeelslid engageert zich om het geleerde toe te passen in de praktijk en om op de afgesproken wijze verslag uit te brengen aan de collega’s</w:t>
      </w:r>
      <w:r w:rsidR="00A521CE" w:rsidRPr="00831F5A">
        <w:t xml:space="preserve"> en</w:t>
      </w:r>
      <w:r w:rsidRPr="00831F5A">
        <w:t xml:space="preserve"> </w:t>
      </w:r>
      <w:r w:rsidR="00087182" w:rsidRPr="00831F5A">
        <w:t>leidinggevende</w:t>
      </w:r>
      <w:r w:rsidRPr="00831F5A">
        <w:t>.</w:t>
      </w:r>
    </w:p>
    <w:p w14:paraId="7E0E775C" w14:textId="5FA7C49B" w:rsidR="00DE7984" w:rsidRPr="00037A46" w:rsidRDefault="00DE7984" w:rsidP="008C1193">
      <w:pPr>
        <w:pStyle w:val="Kop3"/>
      </w:pPr>
      <w:bookmarkStart w:id="348" w:name="_Toc282092046"/>
      <w:bookmarkStart w:id="349" w:name="_Toc282168247"/>
      <w:bookmarkStart w:id="350" w:name="_Toc282524071"/>
      <w:bookmarkStart w:id="351" w:name="_Toc283214484"/>
      <w:bookmarkStart w:id="352" w:name="_Toc110948272"/>
      <w:bookmarkStart w:id="353" w:name="_Toc177724318"/>
      <w:bookmarkStart w:id="354" w:name="_Toc177724986"/>
      <w:bookmarkStart w:id="355" w:name="_Toc215739070"/>
      <w:r w:rsidRPr="00037A46">
        <w:t xml:space="preserve">Afdeling </w:t>
      </w:r>
      <w:r w:rsidR="007431CC" w:rsidRPr="00037A46">
        <w:t>4</w:t>
      </w:r>
      <w:r w:rsidR="009317FA" w:rsidRPr="00037A46">
        <w:t>.</w:t>
      </w:r>
      <w:r w:rsidRPr="00037A46">
        <w:rPr>
          <w:rFonts w:ascii="StandardSymL" w:hAnsi="StandardSymL" w:cs="StandardSymL"/>
          <w:sz w:val="21"/>
          <w:szCs w:val="21"/>
        </w:rPr>
        <w:t xml:space="preserve"> </w:t>
      </w:r>
      <w:r w:rsidRPr="00037A46">
        <w:t>Procedure</w:t>
      </w:r>
      <w:bookmarkEnd w:id="348"/>
      <w:bookmarkEnd w:id="349"/>
      <w:bookmarkEnd w:id="350"/>
      <w:bookmarkEnd w:id="351"/>
      <w:bookmarkEnd w:id="352"/>
      <w:bookmarkEnd w:id="353"/>
      <w:bookmarkEnd w:id="354"/>
      <w:bookmarkEnd w:id="355"/>
    </w:p>
    <w:p w14:paraId="0C061290" w14:textId="77777777" w:rsidR="0036319B" w:rsidRPr="00037A46" w:rsidRDefault="0036319B" w:rsidP="0036319B">
      <w:pPr>
        <w:pStyle w:val="Kop5"/>
      </w:pPr>
      <w:r w:rsidRPr="00037A46">
        <w:t>Artikel</w:t>
      </w:r>
      <w:r w:rsidR="00DE7984" w:rsidRPr="00037A46">
        <w:t xml:space="preserve"> </w:t>
      </w:r>
      <w:r w:rsidR="00873194" w:rsidRPr="00037A46">
        <w:t>9</w:t>
      </w:r>
    </w:p>
    <w:p w14:paraId="6002E7D1" w14:textId="525B27C1" w:rsidR="00DE7984" w:rsidRPr="00831F5A" w:rsidRDefault="00DE7984" w:rsidP="00617C5B">
      <w:pPr>
        <w:pStyle w:val="OpmaakprofielUitvullen"/>
        <w:ind w:left="0"/>
      </w:pPr>
      <w:r w:rsidRPr="00037A46">
        <w:t xml:space="preserve">Het personeelslid legt zijn verzoek tot het </w:t>
      </w:r>
      <w:r w:rsidRPr="00831F5A">
        <w:t xml:space="preserve">volgen van de vorming aan zijn </w:t>
      </w:r>
      <w:r w:rsidR="00087182" w:rsidRPr="00831F5A">
        <w:t>leidinggevende</w:t>
      </w:r>
      <w:r w:rsidRPr="00831F5A">
        <w:t xml:space="preserve"> voor via </w:t>
      </w:r>
      <w:r w:rsidR="00492AF2" w:rsidRPr="00831F5A">
        <w:t>een</w:t>
      </w:r>
      <w:r w:rsidRPr="00831F5A">
        <w:t xml:space="preserve"> aanvraagformulier. Deze laatste geeft advies en maakt de aanvraag over aan de vormings</w:t>
      </w:r>
      <w:r w:rsidR="00492AF2" w:rsidRPr="00831F5A">
        <w:t>verantwoordelijke</w:t>
      </w:r>
      <w:r w:rsidRPr="00831F5A">
        <w:t xml:space="preserve">, die de aanvraag verder behandelt in het kader van een verplichte, niet-verplichte of </w:t>
      </w:r>
      <w:r w:rsidR="00492AF2" w:rsidRPr="00831F5A">
        <w:t>langlopende</w:t>
      </w:r>
      <w:r w:rsidRPr="00831F5A">
        <w:t xml:space="preserve"> vormingsactiviteit.</w:t>
      </w:r>
    </w:p>
    <w:p w14:paraId="6A841E08" w14:textId="22506EA4" w:rsidR="00DE7984" w:rsidRPr="00831F5A" w:rsidRDefault="00DE7984" w:rsidP="00617C5B">
      <w:pPr>
        <w:pStyle w:val="OpmaakprofielUitvullen"/>
        <w:ind w:left="0"/>
      </w:pPr>
      <w:r w:rsidRPr="00831F5A">
        <w:t xml:space="preserve">Ook door de </w:t>
      </w:r>
      <w:r w:rsidR="00087182" w:rsidRPr="00831F5A">
        <w:t>leidinggevende, teamverantwoordelijke, clusterverantwoordelijke</w:t>
      </w:r>
      <w:r w:rsidRPr="00831F5A">
        <w:t xml:space="preserve">, </w:t>
      </w:r>
      <w:r w:rsidR="003474E1" w:rsidRPr="00831F5A">
        <w:t>algemeen directeur</w:t>
      </w:r>
      <w:r w:rsidRPr="00831F5A">
        <w:t xml:space="preserve"> of vormings</w:t>
      </w:r>
      <w:r w:rsidR="00492AF2" w:rsidRPr="00831F5A">
        <w:t>verantwoordelijke</w:t>
      </w:r>
      <w:r w:rsidRPr="00831F5A">
        <w:t xml:space="preserve"> kunnen medewerkers -al dan niet verplicht- naar </w:t>
      </w:r>
      <w:r w:rsidR="00492AF2" w:rsidRPr="00831F5A">
        <w:t xml:space="preserve">een </w:t>
      </w:r>
      <w:r w:rsidRPr="00831F5A">
        <w:t>vorming gestuurd worden.</w:t>
      </w:r>
    </w:p>
    <w:p w14:paraId="69810254" w14:textId="77777777" w:rsidR="0036319B" w:rsidRPr="00831F5A" w:rsidRDefault="0036319B" w:rsidP="00617C5B">
      <w:pPr>
        <w:pStyle w:val="Kop5"/>
      </w:pPr>
      <w:r w:rsidRPr="00831F5A">
        <w:t>Artikel</w:t>
      </w:r>
      <w:r w:rsidR="00DE7984" w:rsidRPr="00831F5A">
        <w:t xml:space="preserve"> 1</w:t>
      </w:r>
      <w:r w:rsidR="00873194" w:rsidRPr="00831F5A">
        <w:t>0</w:t>
      </w:r>
    </w:p>
    <w:p w14:paraId="15434029" w14:textId="77777777" w:rsidR="00DE7984" w:rsidRPr="00831F5A" w:rsidRDefault="003D31D0" w:rsidP="00617C5B">
      <w:pPr>
        <w:ind w:left="0"/>
      </w:pPr>
      <w:r w:rsidRPr="00831F5A">
        <w:t>Voor alle betalende vormingsactiviteiten wordt een bestelbon opge</w:t>
      </w:r>
      <w:r w:rsidR="00A76997" w:rsidRPr="00831F5A">
        <w:t>maakt door de personeelsdienst</w:t>
      </w:r>
      <w:r w:rsidR="00D635C7" w:rsidRPr="00831F5A">
        <w:rPr>
          <w:b/>
        </w:rPr>
        <w:t xml:space="preserve"> </w:t>
      </w:r>
      <w:r w:rsidR="00D635C7" w:rsidRPr="00831F5A">
        <w:t xml:space="preserve">of wordt er een </w:t>
      </w:r>
      <w:r w:rsidR="007827FB" w:rsidRPr="00831F5A">
        <w:t xml:space="preserve">vastlegging in budget </w:t>
      </w:r>
      <w:r w:rsidR="00D635C7" w:rsidRPr="00831F5A">
        <w:t xml:space="preserve">gedaan </w:t>
      </w:r>
      <w:r w:rsidR="007827FB" w:rsidRPr="00831F5A">
        <w:t xml:space="preserve">via </w:t>
      </w:r>
      <w:r w:rsidR="00D635C7" w:rsidRPr="00831F5A">
        <w:t xml:space="preserve">de </w:t>
      </w:r>
      <w:r w:rsidR="007827FB" w:rsidRPr="00831F5A">
        <w:t>dienst financiën</w:t>
      </w:r>
      <w:r w:rsidR="00A76997" w:rsidRPr="00831F5A">
        <w:t>.</w:t>
      </w:r>
    </w:p>
    <w:p w14:paraId="50013119" w14:textId="77777777" w:rsidR="0036319B" w:rsidRPr="00831F5A" w:rsidRDefault="0036319B" w:rsidP="00617C5B">
      <w:pPr>
        <w:pStyle w:val="Kop5"/>
      </w:pPr>
      <w:r w:rsidRPr="00831F5A">
        <w:t>Artikel</w:t>
      </w:r>
      <w:r w:rsidR="00A521CE" w:rsidRPr="00831F5A">
        <w:t xml:space="preserve"> 1</w:t>
      </w:r>
      <w:r w:rsidR="00873194" w:rsidRPr="00831F5A">
        <w:t>1</w:t>
      </w:r>
    </w:p>
    <w:p w14:paraId="58C55B81" w14:textId="77777777" w:rsidR="00DE7984" w:rsidRPr="00037A46" w:rsidRDefault="009A1C67" w:rsidP="00617C5B">
      <w:pPr>
        <w:ind w:left="0"/>
      </w:pPr>
      <w:r w:rsidRPr="00831F5A">
        <w:t xml:space="preserve">Bij twijfel of </w:t>
      </w:r>
      <w:r w:rsidR="00492AF2" w:rsidRPr="00831F5A">
        <w:t>bij onenigheid/discussie</w:t>
      </w:r>
      <w:r w:rsidRPr="00831F5A">
        <w:t xml:space="preserve"> wordt het dossier</w:t>
      </w:r>
      <w:r w:rsidR="00306F49" w:rsidRPr="00037A46">
        <w:t xml:space="preserve"> </w:t>
      </w:r>
      <w:r w:rsidRPr="00037A46">
        <w:t xml:space="preserve">ter goedkeuring voorgelegd aan de </w:t>
      </w:r>
      <w:r w:rsidR="003474E1" w:rsidRPr="00037A46">
        <w:t>algemeen directeur</w:t>
      </w:r>
      <w:r w:rsidR="00D25EEA" w:rsidRPr="00037A46">
        <w:rPr>
          <w:rStyle w:val="Voetnootmarkering"/>
          <w:rFonts w:cs="Arial"/>
          <w:sz w:val="22"/>
          <w:szCs w:val="22"/>
        </w:rPr>
        <w:t xml:space="preserve">  </w:t>
      </w:r>
      <w:r w:rsidRPr="00037A46">
        <w:t>.</w:t>
      </w:r>
    </w:p>
    <w:p w14:paraId="26545262" w14:textId="77777777" w:rsidR="0036319B" w:rsidRPr="00037A46" w:rsidRDefault="0036319B" w:rsidP="00617C5B">
      <w:pPr>
        <w:pStyle w:val="Kop5"/>
      </w:pPr>
      <w:r w:rsidRPr="00037A46">
        <w:t>Artikel</w:t>
      </w:r>
      <w:r w:rsidR="00A521CE" w:rsidRPr="00037A46">
        <w:t xml:space="preserve"> 1</w:t>
      </w:r>
      <w:r w:rsidR="00873194" w:rsidRPr="00037A46">
        <w:t>2</w:t>
      </w:r>
    </w:p>
    <w:p w14:paraId="0BE9505F" w14:textId="77777777" w:rsidR="009A1C67" w:rsidRPr="00037A46" w:rsidRDefault="00031331" w:rsidP="00617C5B">
      <w:pPr>
        <w:ind w:left="0"/>
      </w:pPr>
      <w:r w:rsidRPr="00037A46">
        <w:t xml:space="preserve">Alle vormingen betreffende </w:t>
      </w:r>
      <w:r w:rsidR="00377CE2" w:rsidRPr="00037A46">
        <w:t xml:space="preserve">langlopende </w:t>
      </w:r>
      <w:r w:rsidR="009A1C67" w:rsidRPr="00037A46">
        <w:t xml:space="preserve">opleidingen m.b.t. bepaalde onderwerpen die de dienst aanbelangen, opleidingen van 1 of meerdere schooljaren, reguliere opleidingen en/of andere opleidingen die leiden tot het behalen van attesten, getuigschriften of HOKT-diploma’s om aangeworven te kunnen worden of om door te stromen naar een hogere functie bij bevordering worden afzonderlijk voorgelegd aan de </w:t>
      </w:r>
      <w:r w:rsidR="003474E1" w:rsidRPr="00037A46">
        <w:t>algemeen directeur</w:t>
      </w:r>
      <w:r w:rsidR="00D25EEA" w:rsidRPr="00037A46">
        <w:rPr>
          <w:rStyle w:val="Voetnootmarkering"/>
          <w:rFonts w:cs="Arial"/>
          <w:sz w:val="22"/>
          <w:szCs w:val="22"/>
        </w:rPr>
        <w:t xml:space="preserve">  </w:t>
      </w:r>
      <w:r w:rsidR="009A1C67" w:rsidRPr="00037A46">
        <w:t xml:space="preserve">. </w:t>
      </w:r>
    </w:p>
    <w:p w14:paraId="10BD0D07" w14:textId="77777777" w:rsidR="0036319B" w:rsidRPr="00037A46" w:rsidRDefault="0036319B" w:rsidP="00617C5B">
      <w:pPr>
        <w:pStyle w:val="Kop5"/>
      </w:pPr>
      <w:r w:rsidRPr="00037A46">
        <w:t>Artikel</w:t>
      </w:r>
      <w:r w:rsidR="00510A83" w:rsidRPr="00037A46">
        <w:t xml:space="preserve"> 1</w:t>
      </w:r>
      <w:r w:rsidR="00873194" w:rsidRPr="00037A46">
        <w:t>3</w:t>
      </w:r>
    </w:p>
    <w:p w14:paraId="3FA98814" w14:textId="77777777" w:rsidR="0036319B" w:rsidRPr="00037A46" w:rsidRDefault="009A1C67" w:rsidP="00617C5B">
      <w:pPr>
        <w:ind w:left="0"/>
      </w:pPr>
      <w:r w:rsidRPr="00037A46">
        <w:t xml:space="preserve">De reservatie van de kredieten gebeurt steeds aan de hand van een aanvraagformulier tot het volgen van een vorming of aan de hand van een besluit van de </w:t>
      </w:r>
      <w:r w:rsidR="003474E1" w:rsidRPr="00037A46">
        <w:t>algemeen directeur</w:t>
      </w:r>
      <w:r w:rsidRPr="00037A46">
        <w:t>.</w:t>
      </w:r>
    </w:p>
    <w:p w14:paraId="65D64C7E" w14:textId="77777777" w:rsidR="00510A83" w:rsidRPr="00037A46" w:rsidRDefault="00510A83" w:rsidP="00617C5B">
      <w:pPr>
        <w:pStyle w:val="Kop5"/>
      </w:pPr>
      <w:r w:rsidRPr="00037A46">
        <w:t>Artikel 1</w:t>
      </w:r>
      <w:r w:rsidR="00873194" w:rsidRPr="00037A46">
        <w:t>4</w:t>
      </w:r>
    </w:p>
    <w:p w14:paraId="694166D2" w14:textId="77777777" w:rsidR="00510A83" w:rsidRPr="00037A46" w:rsidRDefault="00510A83" w:rsidP="00617C5B">
      <w:pPr>
        <w:ind w:left="0"/>
      </w:pPr>
      <w:r w:rsidRPr="00037A46">
        <w:t>Na goedkeuring van de vormingsaanvraag is de medewerker zelf verantwoordelijk voor de inschrijving.</w:t>
      </w:r>
    </w:p>
    <w:p w14:paraId="0D127975" w14:textId="76ABD901" w:rsidR="00DE7984" w:rsidRPr="00037A46" w:rsidRDefault="00DE7984" w:rsidP="00617C5B">
      <w:pPr>
        <w:pStyle w:val="Kop3"/>
      </w:pPr>
      <w:bookmarkStart w:id="356" w:name="_Toc282092050"/>
      <w:bookmarkStart w:id="357" w:name="_Toc282168251"/>
      <w:bookmarkStart w:id="358" w:name="_Toc282524075"/>
      <w:bookmarkStart w:id="359" w:name="_Toc283214488"/>
      <w:bookmarkStart w:id="360" w:name="_Toc110948273"/>
      <w:bookmarkStart w:id="361" w:name="_Toc177724319"/>
      <w:bookmarkStart w:id="362" w:name="_Toc177724987"/>
      <w:bookmarkStart w:id="363" w:name="_Toc215739071"/>
      <w:r w:rsidRPr="00037A46">
        <w:lastRenderedPageBreak/>
        <w:t xml:space="preserve">Afdeling </w:t>
      </w:r>
      <w:r w:rsidR="00873194" w:rsidRPr="00037A46">
        <w:t>5</w:t>
      </w:r>
      <w:r w:rsidRPr="00037A46">
        <w:t>. Vormingsbeslissing</w:t>
      </w:r>
      <w:bookmarkEnd w:id="356"/>
      <w:bookmarkEnd w:id="357"/>
      <w:bookmarkEnd w:id="358"/>
      <w:bookmarkEnd w:id="359"/>
      <w:bookmarkEnd w:id="360"/>
      <w:bookmarkEnd w:id="361"/>
      <w:bookmarkEnd w:id="362"/>
      <w:bookmarkEnd w:id="363"/>
    </w:p>
    <w:p w14:paraId="18CA37F3" w14:textId="77777777" w:rsidR="00596977" w:rsidRPr="00037A46" w:rsidRDefault="0036319B" w:rsidP="00617C5B">
      <w:pPr>
        <w:pStyle w:val="Kop5"/>
        <w:rPr>
          <w:rFonts w:ascii="VerdanaFID174HGSet1" w:hAnsi="VerdanaFID174HGSet1" w:cs="VerdanaFID174HGSet1"/>
        </w:rPr>
      </w:pPr>
      <w:r w:rsidRPr="00037A46">
        <w:t>Artikel</w:t>
      </w:r>
      <w:r w:rsidR="0040640A" w:rsidRPr="00037A46">
        <w:t xml:space="preserve"> 1</w:t>
      </w:r>
      <w:r w:rsidR="00D635C7" w:rsidRPr="00037A46">
        <w:t>5</w:t>
      </w:r>
    </w:p>
    <w:p w14:paraId="20D132D5" w14:textId="77777777" w:rsidR="00DE7984" w:rsidRPr="00037A46" w:rsidRDefault="00DE7984" w:rsidP="00617C5B">
      <w:pPr>
        <w:pStyle w:val="OpmaakprofielUitvullen"/>
        <w:ind w:left="0"/>
      </w:pPr>
      <w:r w:rsidRPr="00037A46">
        <w:t>De beslissing tot het opleggen van, het toelaten tot of het weigeren van een vorming wordt afdoende gemotiveerd.</w:t>
      </w:r>
    </w:p>
    <w:p w14:paraId="1497C8C8" w14:textId="77777777" w:rsidR="00DE7984" w:rsidRPr="00037A46" w:rsidRDefault="00DE7984" w:rsidP="00617C5B">
      <w:pPr>
        <w:pStyle w:val="OpmaakprofielUitvullen"/>
        <w:ind w:left="0"/>
      </w:pPr>
      <w:r w:rsidRPr="00037A46">
        <w:t>De toestemming voor deelname aan een vormingsactiviteit kan geweigerd worden op grond van de volgende algemene criteria:</w:t>
      </w:r>
    </w:p>
    <w:p w14:paraId="1DFE6B5D" w14:textId="51DF08B4" w:rsidR="00DE7984" w:rsidRPr="00037A46" w:rsidRDefault="00CF5177" w:rsidP="009D4C40">
      <w:pPr>
        <w:numPr>
          <w:ilvl w:val="0"/>
          <w:numId w:val="21"/>
        </w:numPr>
        <w:autoSpaceDE w:val="0"/>
        <w:autoSpaceDN w:val="0"/>
        <w:adjustRightInd w:val="0"/>
        <w:spacing w:before="0" w:after="0"/>
      </w:pPr>
      <w:r w:rsidRPr="00037A46">
        <w:t>Het</w:t>
      </w:r>
      <w:r w:rsidR="00DE7984" w:rsidRPr="00037A46">
        <w:t xml:space="preserve"> dienstbelang, meer bepaald de minimale personeelsaanwezigheid die vereist is voor een goede werking van de dienst op het tijdstip dat de vormingsactiviteit doorgaat;</w:t>
      </w:r>
    </w:p>
    <w:p w14:paraId="446985EF" w14:textId="4C5A474B" w:rsidR="00DE7984" w:rsidRPr="00037A46" w:rsidRDefault="00CF5177" w:rsidP="009D4C40">
      <w:pPr>
        <w:numPr>
          <w:ilvl w:val="0"/>
          <w:numId w:val="21"/>
        </w:numPr>
        <w:autoSpaceDE w:val="0"/>
        <w:autoSpaceDN w:val="0"/>
        <w:adjustRightInd w:val="0"/>
        <w:spacing w:before="0" w:after="0"/>
      </w:pPr>
      <w:r w:rsidRPr="00037A46">
        <w:t>Het</w:t>
      </w:r>
      <w:r w:rsidR="00DE7984" w:rsidRPr="00037A46">
        <w:t xml:space="preserve"> gebrek aan inhoudelijke relevantie of meerwaarde van de aanvraag voor het bestuur of voor het personeelslid in kwestie;</w:t>
      </w:r>
    </w:p>
    <w:p w14:paraId="1F43EFAD" w14:textId="18A9B61D" w:rsidR="00DE7984" w:rsidRPr="00037A46" w:rsidRDefault="00CF5177" w:rsidP="009D4C40">
      <w:pPr>
        <w:numPr>
          <w:ilvl w:val="0"/>
          <w:numId w:val="21"/>
        </w:numPr>
        <w:autoSpaceDE w:val="0"/>
        <w:autoSpaceDN w:val="0"/>
        <w:adjustRightInd w:val="0"/>
        <w:spacing w:before="0" w:after="0"/>
      </w:pPr>
      <w:r w:rsidRPr="00037A46">
        <w:t>Praktische</w:t>
      </w:r>
      <w:r w:rsidR="00DE7984" w:rsidRPr="00037A46">
        <w:t xml:space="preserve"> bezwaren zoals de prioriteiten in het vormingsplan, de bestaande voorrangsregels, een te hoge prijs of geen financiële ruimte binnen het budget.</w:t>
      </w:r>
    </w:p>
    <w:p w14:paraId="0C4E8F20" w14:textId="77777777" w:rsidR="005D5672" w:rsidRPr="00037A46" w:rsidRDefault="0036319B" w:rsidP="005D5672">
      <w:pPr>
        <w:pStyle w:val="Kop5"/>
      </w:pPr>
      <w:r w:rsidRPr="00037A46">
        <w:t>Artikel</w:t>
      </w:r>
      <w:r w:rsidR="0040640A" w:rsidRPr="00037A46">
        <w:t xml:space="preserve"> 1</w:t>
      </w:r>
      <w:r w:rsidR="00D635C7" w:rsidRPr="00037A46">
        <w:t>6</w:t>
      </w:r>
    </w:p>
    <w:p w14:paraId="3CD578D8" w14:textId="6E941B96" w:rsidR="00DE7984" w:rsidRPr="00037A46" w:rsidRDefault="00DE7984" w:rsidP="00617C5B">
      <w:pPr>
        <w:pStyle w:val="OpmaakprofielUitvullen"/>
        <w:ind w:left="0"/>
      </w:pPr>
      <w:r w:rsidRPr="00037A46">
        <w:t xml:space="preserve">Als de vorming om één van deze redenen geweigerd wordt, kan in overleg met </w:t>
      </w:r>
      <w:r w:rsidR="00E0628E">
        <w:t>de</w:t>
      </w:r>
      <w:r w:rsidRPr="00037A46">
        <w:t xml:space="preserve"> </w:t>
      </w:r>
      <w:r w:rsidR="00E0628E">
        <w:t xml:space="preserve">teamverantwoordelijke </w:t>
      </w:r>
      <w:r w:rsidRPr="00037A46">
        <w:t>en het personeelslid een geschikt vormingsalternatief aangeboden worden.</w:t>
      </w:r>
    </w:p>
    <w:p w14:paraId="6489D57A" w14:textId="6A2D6100" w:rsidR="00DE7984" w:rsidRPr="00037A46" w:rsidRDefault="00DE7984" w:rsidP="005D5672">
      <w:pPr>
        <w:pStyle w:val="Kop3"/>
      </w:pPr>
      <w:bookmarkStart w:id="364" w:name="_Toc282092051"/>
      <w:bookmarkStart w:id="365" w:name="_Toc282168252"/>
      <w:bookmarkStart w:id="366" w:name="_Toc282524076"/>
      <w:bookmarkStart w:id="367" w:name="_Toc283214489"/>
      <w:bookmarkStart w:id="368" w:name="_Toc110948274"/>
      <w:bookmarkStart w:id="369" w:name="_Toc177724320"/>
      <w:bookmarkStart w:id="370" w:name="_Toc177724988"/>
      <w:bookmarkStart w:id="371" w:name="_Toc215739072"/>
      <w:r w:rsidRPr="00037A46">
        <w:t xml:space="preserve">Afdeling </w:t>
      </w:r>
      <w:r w:rsidR="00873194" w:rsidRPr="00037A46">
        <w:t>6</w:t>
      </w:r>
      <w:r w:rsidRPr="00037A46">
        <w:t>. Arbeidstijd en kosten</w:t>
      </w:r>
      <w:bookmarkEnd w:id="364"/>
      <w:bookmarkEnd w:id="365"/>
      <w:bookmarkEnd w:id="366"/>
      <w:bookmarkEnd w:id="367"/>
      <w:bookmarkEnd w:id="368"/>
      <w:bookmarkEnd w:id="369"/>
      <w:bookmarkEnd w:id="370"/>
      <w:bookmarkEnd w:id="371"/>
    </w:p>
    <w:p w14:paraId="16CF8F73" w14:textId="77777777" w:rsidR="00DE7984" w:rsidRPr="00037A46" w:rsidRDefault="00DE7984" w:rsidP="005D5672">
      <w:pPr>
        <w:pStyle w:val="Kop4"/>
        <w:shd w:val="clear" w:color="auto" w:fill="auto"/>
        <w:rPr>
          <w:rFonts w:cs="Arial"/>
          <w:b w:val="0"/>
          <w:sz w:val="20"/>
        </w:rPr>
      </w:pPr>
      <w:bookmarkStart w:id="372" w:name="_Toc282092052"/>
      <w:bookmarkStart w:id="373" w:name="_Toc282168253"/>
      <w:bookmarkStart w:id="374" w:name="_Toc282524077"/>
      <w:bookmarkStart w:id="375" w:name="_Toc283214490"/>
      <w:bookmarkStart w:id="376" w:name="_Toc110948275"/>
      <w:r w:rsidRPr="00037A46">
        <w:rPr>
          <w:rFonts w:cs="Arial"/>
          <w:b w:val="0"/>
          <w:sz w:val="20"/>
        </w:rPr>
        <w:t xml:space="preserve">Onderafdeling </w:t>
      </w:r>
      <w:r w:rsidR="0015419A" w:rsidRPr="00037A46">
        <w:rPr>
          <w:rFonts w:cs="Arial"/>
          <w:b w:val="0"/>
          <w:sz w:val="20"/>
        </w:rPr>
        <w:t>1</w:t>
      </w:r>
      <w:r w:rsidR="009317FA" w:rsidRPr="00037A46">
        <w:rPr>
          <w:rFonts w:cs="Arial"/>
          <w:b w:val="0"/>
          <w:sz w:val="20"/>
        </w:rPr>
        <w:t>.</w:t>
      </w:r>
      <w:r w:rsidRPr="00037A46">
        <w:rPr>
          <w:rFonts w:cs="Arial"/>
          <w:b w:val="0"/>
          <w:sz w:val="20"/>
        </w:rPr>
        <w:t xml:space="preserve"> Verplichte vormingsactiviteiten</w:t>
      </w:r>
      <w:bookmarkEnd w:id="372"/>
      <w:bookmarkEnd w:id="373"/>
      <w:bookmarkEnd w:id="374"/>
      <w:bookmarkEnd w:id="375"/>
      <w:bookmarkEnd w:id="376"/>
    </w:p>
    <w:p w14:paraId="33BEF85C" w14:textId="77777777" w:rsidR="008E6DAB" w:rsidRPr="00507F98" w:rsidRDefault="0036319B" w:rsidP="008E6DAB">
      <w:pPr>
        <w:pStyle w:val="Kop5"/>
        <w:rPr>
          <w:bCs/>
        </w:rPr>
      </w:pPr>
      <w:r w:rsidRPr="00507F98">
        <w:rPr>
          <w:bCs/>
        </w:rPr>
        <w:t>Artikel</w:t>
      </w:r>
      <w:r w:rsidR="0040640A" w:rsidRPr="00507F98">
        <w:rPr>
          <w:bCs/>
        </w:rPr>
        <w:t xml:space="preserve"> 1</w:t>
      </w:r>
      <w:r w:rsidR="00D635C7" w:rsidRPr="00507F98">
        <w:rPr>
          <w:bCs/>
        </w:rPr>
        <w:t>7</w:t>
      </w:r>
    </w:p>
    <w:p w14:paraId="404AA322" w14:textId="006CEFF9" w:rsidR="00145472" w:rsidRPr="00E57000" w:rsidRDefault="00DE7984" w:rsidP="00617C5B">
      <w:pPr>
        <w:pStyle w:val="OpmaakprofielUitvullen"/>
        <w:ind w:left="0"/>
      </w:pPr>
      <w:r w:rsidRPr="00E57000">
        <w:t>§1</w:t>
      </w:r>
      <w:r w:rsidR="00E57000" w:rsidRPr="00E57000">
        <w:t>.</w:t>
      </w:r>
      <w:r w:rsidRPr="00E57000">
        <w:t xml:space="preserve"> </w:t>
      </w:r>
      <w:r w:rsidR="00F11E53" w:rsidRPr="00E57000">
        <w:t>Alle vorming</w:t>
      </w:r>
      <w:r w:rsidR="001C4A09" w:rsidRPr="00E57000">
        <w:t xml:space="preserve">en, </w:t>
      </w:r>
      <w:r w:rsidR="004A3012" w:rsidRPr="00E57000">
        <w:t xml:space="preserve">studiedagen, infosessies, </w:t>
      </w:r>
      <w:r w:rsidR="0090549A" w:rsidRPr="00E57000">
        <w:t xml:space="preserve">seminaries, congressen, </w:t>
      </w:r>
      <w:r w:rsidR="001C4A09" w:rsidRPr="00E57000">
        <w:t>trainingen, opleidingen</w:t>
      </w:r>
      <w:r w:rsidR="00F11E53" w:rsidRPr="00E57000">
        <w:t xml:space="preserve"> </w:t>
      </w:r>
      <w:r w:rsidR="004A3012" w:rsidRPr="00E57000">
        <w:t xml:space="preserve">en dergelijke </w:t>
      </w:r>
      <w:r w:rsidR="00F11E53" w:rsidRPr="00E57000">
        <w:t>die gevolgd worden naar aanleiding van:</w:t>
      </w:r>
    </w:p>
    <w:p w14:paraId="0A6134A9" w14:textId="6EA99876" w:rsidR="00F11E53" w:rsidRPr="00E57000" w:rsidRDefault="00CF5177" w:rsidP="009D4C40">
      <w:pPr>
        <w:pStyle w:val="OpmaakprofielUitvullen"/>
        <w:numPr>
          <w:ilvl w:val="0"/>
          <w:numId w:val="108"/>
        </w:numPr>
      </w:pPr>
      <w:r w:rsidRPr="00E57000">
        <w:t>Een</w:t>
      </w:r>
      <w:r w:rsidR="00F11E53" w:rsidRPr="00E57000">
        <w:t xml:space="preserve"> functionerings</w:t>
      </w:r>
      <w:r w:rsidR="000A2877" w:rsidRPr="00E57000">
        <w:t>- en/of evaluatiegesprek</w:t>
      </w:r>
    </w:p>
    <w:p w14:paraId="4E2DDAAF" w14:textId="00DD8E54" w:rsidR="000A2877" w:rsidRPr="00E57000" w:rsidRDefault="00CF5177" w:rsidP="009D4C40">
      <w:pPr>
        <w:pStyle w:val="OpmaakprofielUitvullen"/>
        <w:numPr>
          <w:ilvl w:val="0"/>
          <w:numId w:val="108"/>
        </w:numPr>
      </w:pPr>
      <w:r w:rsidRPr="00E57000">
        <w:t>Een</w:t>
      </w:r>
      <w:r w:rsidR="000A2877" w:rsidRPr="00E57000">
        <w:t xml:space="preserve"> procedure van mobiliteit, herstructurering, reorganisatie, bevordering</w:t>
      </w:r>
    </w:p>
    <w:p w14:paraId="502B5A9E" w14:textId="65BDE80C" w:rsidR="000A2877" w:rsidRPr="00E57000" w:rsidRDefault="00CF5177" w:rsidP="009D4C40">
      <w:pPr>
        <w:pStyle w:val="OpmaakprofielUitvullen"/>
        <w:numPr>
          <w:ilvl w:val="0"/>
          <w:numId w:val="108"/>
        </w:numPr>
      </w:pPr>
      <w:r w:rsidRPr="00E57000">
        <w:t>Een</w:t>
      </w:r>
      <w:r w:rsidR="00B70943" w:rsidRPr="00E57000">
        <w:t xml:space="preserve"> </w:t>
      </w:r>
      <w:r w:rsidR="000A2877" w:rsidRPr="00E57000">
        <w:t xml:space="preserve">implementatie van nieuwe werkmethodes, nieuwe informaticatoepassingen en </w:t>
      </w:r>
      <w:r w:rsidR="00617C5B" w:rsidRPr="00E57000">
        <w:t>i</w:t>
      </w:r>
      <w:r w:rsidR="000A2877" w:rsidRPr="00E57000">
        <w:t>nfrastructuur</w:t>
      </w:r>
    </w:p>
    <w:p w14:paraId="7DFA5E28" w14:textId="4F6752E8" w:rsidR="000A2877" w:rsidRPr="00E57000" w:rsidRDefault="00CF5177" w:rsidP="009D4C40">
      <w:pPr>
        <w:pStyle w:val="OpmaakprofielUitvullen"/>
        <w:numPr>
          <w:ilvl w:val="0"/>
          <w:numId w:val="108"/>
        </w:numPr>
      </w:pPr>
      <w:r w:rsidRPr="00E57000">
        <w:t>Een</w:t>
      </w:r>
      <w:r w:rsidR="00E14A1D" w:rsidRPr="00E57000">
        <w:t xml:space="preserve"> aanstelling in een functie waarbij </w:t>
      </w:r>
      <w:r w:rsidR="00770C96" w:rsidRPr="00E57000">
        <w:t>een specifiek attest, diploma, getuigschrift vereist is</w:t>
      </w:r>
      <w:r w:rsidR="00617C5B" w:rsidRPr="00E57000">
        <w:t xml:space="preserve"> </w:t>
      </w:r>
      <w:r w:rsidR="00E14A1D" w:rsidRPr="00E57000">
        <w:t>e</w:t>
      </w:r>
      <w:r w:rsidR="000A2877" w:rsidRPr="00E57000">
        <w:t>n</w:t>
      </w:r>
      <w:r w:rsidR="007706C1" w:rsidRPr="00E57000">
        <w:t>/of</w:t>
      </w:r>
      <w:r w:rsidR="000A2877" w:rsidRPr="00E57000">
        <w:t xml:space="preserve"> die</w:t>
      </w:r>
      <w:r w:rsidR="00B70943" w:rsidRPr="00E57000">
        <w:t xml:space="preserve"> nodig zijn</w:t>
      </w:r>
      <w:r w:rsidR="000A2877" w:rsidRPr="00E57000">
        <w:t>:</w:t>
      </w:r>
    </w:p>
    <w:p w14:paraId="08FB100F" w14:textId="5CC8846C" w:rsidR="000A2877" w:rsidRPr="00E57000" w:rsidRDefault="00CF5177" w:rsidP="009D4C40">
      <w:pPr>
        <w:pStyle w:val="OpmaakprofielUitvullen"/>
        <w:numPr>
          <w:ilvl w:val="1"/>
          <w:numId w:val="108"/>
        </w:numPr>
      </w:pPr>
      <w:r w:rsidRPr="00E57000">
        <w:t>Voor</w:t>
      </w:r>
      <w:r w:rsidR="00A92823" w:rsidRPr="00E57000">
        <w:t xml:space="preserve"> de inwerking</w:t>
      </w:r>
      <w:r w:rsidR="000A2877" w:rsidRPr="00E57000">
        <w:t xml:space="preserve"> in een al dan niet nieuwe functie</w:t>
      </w:r>
    </w:p>
    <w:p w14:paraId="22A3B5BD" w14:textId="22498F71" w:rsidR="007706C1" w:rsidRPr="00E57000" w:rsidRDefault="007706C1" w:rsidP="009D4C40">
      <w:pPr>
        <w:pStyle w:val="OpmaakprofielUitvullen"/>
        <w:numPr>
          <w:ilvl w:val="1"/>
          <w:numId w:val="108"/>
        </w:numPr>
      </w:pPr>
      <w:r w:rsidRPr="00E57000">
        <w:t xml:space="preserve">om up </w:t>
      </w:r>
      <w:proofErr w:type="spellStart"/>
      <w:r w:rsidRPr="00E57000">
        <w:t>to</w:t>
      </w:r>
      <w:proofErr w:type="spellEnd"/>
      <w:r w:rsidRPr="00E57000">
        <w:t xml:space="preserve"> date te blijven met actuele thema’s, regelgevingen …</w:t>
      </w:r>
    </w:p>
    <w:p w14:paraId="7D7FE687" w14:textId="77777777" w:rsidR="001C4A09" w:rsidRPr="00E57000" w:rsidRDefault="001C4A09" w:rsidP="00780792">
      <w:pPr>
        <w:pStyle w:val="OpmaakprofielUitvullen"/>
      </w:pPr>
      <w:r w:rsidRPr="00E57000">
        <w:t>worden beschouwd als een “verplichte” vormingsactiviteit.</w:t>
      </w:r>
    </w:p>
    <w:p w14:paraId="74890E9D" w14:textId="40310168" w:rsidR="00DE7984" w:rsidRPr="00E57000" w:rsidRDefault="00145472" w:rsidP="00E57000">
      <w:pPr>
        <w:pStyle w:val="OpmaakprofielUitvullen"/>
        <w:ind w:left="0"/>
      </w:pPr>
      <w:r w:rsidRPr="00E57000">
        <w:t>§2</w:t>
      </w:r>
      <w:r w:rsidR="00E57000" w:rsidRPr="00E57000">
        <w:t>.</w:t>
      </w:r>
      <w:r w:rsidRPr="00E57000">
        <w:t xml:space="preserve"> </w:t>
      </w:r>
      <w:r w:rsidR="00DE7984" w:rsidRPr="00E57000">
        <w:t>Indien een personeelslid een verplichte vormingsactiviteit volgt, dan vormen</w:t>
      </w:r>
      <w:r w:rsidR="00E57000" w:rsidRPr="00E57000">
        <w:t xml:space="preserve"> v</w:t>
      </w:r>
      <w:r w:rsidR="00DE7984" w:rsidRPr="00E57000">
        <w:t xml:space="preserve">olgende activiteiten dienstactiviteit: </w:t>
      </w:r>
    </w:p>
    <w:p w14:paraId="49029C1D" w14:textId="77777777" w:rsidR="00DE7984" w:rsidRPr="00E57000" w:rsidRDefault="00DE7984" w:rsidP="009D4C40">
      <w:pPr>
        <w:pStyle w:val="OpmaakprofielUitvullen"/>
        <w:numPr>
          <w:ilvl w:val="0"/>
          <w:numId w:val="109"/>
        </w:numPr>
      </w:pPr>
      <w:r w:rsidRPr="00E57000">
        <w:t>de vormingstijd;</w:t>
      </w:r>
    </w:p>
    <w:p w14:paraId="042BE0C7" w14:textId="77777777" w:rsidR="00DE7984" w:rsidRPr="00E57000" w:rsidRDefault="00DE7984" w:rsidP="009D4C40">
      <w:pPr>
        <w:pStyle w:val="OpmaakprofielUitvullen"/>
        <w:numPr>
          <w:ilvl w:val="0"/>
          <w:numId w:val="109"/>
        </w:numPr>
      </w:pPr>
      <w:r w:rsidRPr="00E57000">
        <w:t>de tijd nodig voor het afleggen van de proeven of examens;</w:t>
      </w:r>
    </w:p>
    <w:p w14:paraId="225AD669" w14:textId="18DC3D65" w:rsidR="00DE7984" w:rsidRPr="00E57000" w:rsidRDefault="05062A21" w:rsidP="009D4C40">
      <w:pPr>
        <w:pStyle w:val="OpmaakprofielUitvullen"/>
        <w:numPr>
          <w:ilvl w:val="0"/>
          <w:numId w:val="109"/>
        </w:numPr>
      </w:pPr>
      <w:r w:rsidRPr="00E57000">
        <w:t>de verplaatsingstijd. De verplaatsingstijd geeft recht op compensatieverlof aan 100%</w:t>
      </w:r>
      <w:r w:rsidR="00885C89" w:rsidRPr="00E57000">
        <w:t>.</w:t>
      </w:r>
    </w:p>
    <w:p w14:paraId="636D99F6" w14:textId="05358A80" w:rsidR="00DE7984" w:rsidRPr="00037A46" w:rsidRDefault="00DE7984" w:rsidP="00E57000">
      <w:pPr>
        <w:pStyle w:val="OpmaakprofielUitvullen"/>
        <w:ind w:left="0"/>
      </w:pPr>
      <w:r w:rsidRPr="00E57000">
        <w:t>§</w:t>
      </w:r>
      <w:r w:rsidR="00145472" w:rsidRPr="00E57000">
        <w:t>3</w:t>
      </w:r>
      <w:r w:rsidR="00E57000" w:rsidRPr="00E57000">
        <w:t>.</w:t>
      </w:r>
      <w:r w:rsidRPr="00E57000">
        <w:t xml:space="preserve"> Indien</w:t>
      </w:r>
      <w:r w:rsidRPr="00037A46">
        <w:t xml:space="preserve"> een personeelslid een verplichte vormingsactiviteit volgt, dan worden de kosten</w:t>
      </w:r>
      <w:r w:rsidR="00E57000">
        <w:t xml:space="preserve"> </w:t>
      </w:r>
      <w:r w:rsidRPr="00037A46">
        <w:t>verbonden aan die vorming door het bestuur ten laste genomen.</w:t>
      </w:r>
    </w:p>
    <w:p w14:paraId="7EB866E1" w14:textId="77777777" w:rsidR="00DE7984" w:rsidRPr="00037A46" w:rsidRDefault="00DE7984" w:rsidP="00780792">
      <w:pPr>
        <w:pStyle w:val="OpmaakprofielUitvullen"/>
      </w:pPr>
      <w:r w:rsidRPr="00037A46">
        <w:t xml:space="preserve">Die kosten omvatten o.a.: </w:t>
      </w:r>
    </w:p>
    <w:p w14:paraId="034FB0E4" w14:textId="77777777" w:rsidR="00DE7984" w:rsidRPr="00037A46" w:rsidRDefault="00DE7984" w:rsidP="009D4C40">
      <w:pPr>
        <w:pStyle w:val="OpmaakprofielUitvullen"/>
        <w:numPr>
          <w:ilvl w:val="0"/>
          <w:numId w:val="110"/>
        </w:numPr>
      </w:pPr>
      <w:r w:rsidRPr="00037A46">
        <w:t>het inschrijvings</w:t>
      </w:r>
      <w:r w:rsidR="00760073" w:rsidRPr="00037A46">
        <w:t>geld</w:t>
      </w:r>
      <w:r w:rsidRPr="00037A46">
        <w:t>;</w:t>
      </w:r>
    </w:p>
    <w:p w14:paraId="2341C4B7" w14:textId="77777777" w:rsidR="00DE7984" w:rsidRPr="00037A46" w:rsidRDefault="00DE7984" w:rsidP="009D4C40">
      <w:pPr>
        <w:pStyle w:val="OpmaakprofielUitvullen"/>
        <w:numPr>
          <w:ilvl w:val="0"/>
          <w:numId w:val="110"/>
        </w:numPr>
      </w:pPr>
      <w:r w:rsidRPr="00037A46">
        <w:lastRenderedPageBreak/>
        <w:t>de kosten van de cursussen</w:t>
      </w:r>
      <w:r w:rsidR="00760073" w:rsidRPr="00037A46">
        <w:t>/literatuurboeken</w:t>
      </w:r>
      <w:r w:rsidRPr="00037A46">
        <w:t>;</w:t>
      </w:r>
    </w:p>
    <w:p w14:paraId="2D246891" w14:textId="77777777" w:rsidR="00DE7984" w:rsidRPr="00037A46" w:rsidRDefault="00DE7984" w:rsidP="009D4C40">
      <w:pPr>
        <w:pStyle w:val="OpmaakprofielUitvullen"/>
        <w:numPr>
          <w:ilvl w:val="0"/>
          <w:numId w:val="110"/>
        </w:numPr>
      </w:pPr>
      <w:r w:rsidRPr="00037A46">
        <w:t>de verplaatsingskosten;</w:t>
      </w:r>
    </w:p>
    <w:p w14:paraId="68CC431D" w14:textId="77777777" w:rsidR="00DE7984" w:rsidRPr="00037A46" w:rsidRDefault="00DE7984" w:rsidP="009D4C40">
      <w:pPr>
        <w:pStyle w:val="OpmaakprofielUitvullen"/>
        <w:numPr>
          <w:ilvl w:val="0"/>
          <w:numId w:val="110"/>
        </w:numPr>
      </w:pPr>
      <w:r w:rsidRPr="00037A46">
        <w:t>de eventuele verblijfskosten.</w:t>
      </w:r>
    </w:p>
    <w:p w14:paraId="7F379177" w14:textId="77777777" w:rsidR="00DE7984" w:rsidRPr="00037A46" w:rsidRDefault="00DE7984" w:rsidP="00617C5B">
      <w:pPr>
        <w:pStyle w:val="OpmaakprofielUitvullen"/>
        <w:ind w:left="0"/>
      </w:pPr>
      <w:r w:rsidRPr="00037A46">
        <w:t>Deze kosten worden rechtstreeks betaald aan de vormingsorganisatie</w:t>
      </w:r>
      <w:r w:rsidR="00760073" w:rsidRPr="00037A46">
        <w:t xml:space="preserve"> </w:t>
      </w:r>
      <w:r w:rsidRPr="00037A46">
        <w:t>of aan het personeelslid op voorlegging van de nodige bewijsstukken.</w:t>
      </w:r>
    </w:p>
    <w:p w14:paraId="11D46B95" w14:textId="67EC1D99" w:rsidR="00F1329C" w:rsidRPr="00037A46" w:rsidRDefault="00DE7984" w:rsidP="00617C5B">
      <w:pPr>
        <w:pStyle w:val="OpmaakprofielUitvullen"/>
        <w:ind w:left="0"/>
      </w:pPr>
      <w:r w:rsidRPr="00E57000">
        <w:rPr>
          <w:bCs/>
        </w:rPr>
        <w:t>§</w:t>
      </w:r>
      <w:r w:rsidR="00145472" w:rsidRPr="00E57000">
        <w:rPr>
          <w:bCs/>
        </w:rPr>
        <w:t>4</w:t>
      </w:r>
      <w:r w:rsidR="00E57000">
        <w:rPr>
          <w:b/>
        </w:rPr>
        <w:t>.</w:t>
      </w:r>
      <w:r w:rsidR="008E6DAB" w:rsidRPr="00037A46">
        <w:t xml:space="preserve"> </w:t>
      </w:r>
      <w:r w:rsidR="00F1329C" w:rsidRPr="00037A46">
        <w:t xml:space="preserve">Vormingstijd </w:t>
      </w:r>
      <w:r w:rsidR="00FB14DB" w:rsidRPr="00037A46">
        <w:t xml:space="preserve">die valt buiten de diensturen </w:t>
      </w:r>
      <w:r w:rsidR="00F1329C" w:rsidRPr="00037A46">
        <w:t>ge</w:t>
      </w:r>
      <w:r w:rsidR="00A76997" w:rsidRPr="00037A46">
        <w:t>eft</w:t>
      </w:r>
      <w:r w:rsidR="00F1329C" w:rsidRPr="00037A46">
        <w:t xml:space="preserve"> recht op compensatieverlof aan 100%. Nachtelijke vormingsactiviteiten (tussen 22u en 06u) en activiteiten op een zaterdag, zon- of feestdag geven recht op extra </w:t>
      </w:r>
      <w:r w:rsidR="000B17AD" w:rsidRPr="00037A46">
        <w:t>inhaalrust</w:t>
      </w:r>
      <w:r w:rsidR="000B17AD" w:rsidRPr="00037A46">
        <w:rPr>
          <w:vertAlign w:val="superscript"/>
        </w:rPr>
        <w:t>.</w:t>
      </w:r>
    </w:p>
    <w:p w14:paraId="53ED801D" w14:textId="77777777" w:rsidR="00DE7984" w:rsidRPr="004634CE" w:rsidRDefault="00DE7984" w:rsidP="004634CE">
      <w:pPr>
        <w:pStyle w:val="Kop4"/>
        <w:shd w:val="clear" w:color="auto" w:fill="auto"/>
        <w:rPr>
          <w:rFonts w:cs="Arial"/>
          <w:b w:val="0"/>
          <w:sz w:val="20"/>
        </w:rPr>
      </w:pPr>
      <w:bookmarkStart w:id="377" w:name="_Toc282092053"/>
      <w:bookmarkStart w:id="378" w:name="_Toc282168254"/>
      <w:bookmarkStart w:id="379" w:name="_Toc282524078"/>
      <w:bookmarkStart w:id="380" w:name="_Toc283214491"/>
      <w:r w:rsidRPr="004634CE">
        <w:rPr>
          <w:rFonts w:cs="Arial"/>
          <w:b w:val="0"/>
          <w:sz w:val="20"/>
        </w:rPr>
        <w:t xml:space="preserve">Onderafdeling </w:t>
      </w:r>
      <w:r w:rsidR="006E77EB" w:rsidRPr="004634CE">
        <w:rPr>
          <w:rFonts w:cs="Arial"/>
          <w:b w:val="0"/>
          <w:sz w:val="20"/>
        </w:rPr>
        <w:t>2</w:t>
      </w:r>
      <w:r w:rsidR="009317FA" w:rsidRPr="004634CE">
        <w:rPr>
          <w:rFonts w:cs="Arial"/>
          <w:b w:val="0"/>
          <w:sz w:val="20"/>
        </w:rPr>
        <w:t>.</w:t>
      </w:r>
      <w:r w:rsidRPr="004634CE">
        <w:rPr>
          <w:rFonts w:cs="Arial"/>
          <w:b w:val="0"/>
          <w:sz w:val="20"/>
        </w:rPr>
        <w:t xml:space="preserve"> </w:t>
      </w:r>
      <w:bookmarkEnd w:id="377"/>
      <w:bookmarkEnd w:id="378"/>
      <w:bookmarkEnd w:id="379"/>
      <w:bookmarkEnd w:id="380"/>
      <w:r w:rsidR="000772D5" w:rsidRPr="004634CE">
        <w:rPr>
          <w:rFonts w:cs="Arial"/>
          <w:b w:val="0"/>
          <w:sz w:val="20"/>
        </w:rPr>
        <w:t>Niet-verplichte vormingsactiviteiten</w:t>
      </w:r>
    </w:p>
    <w:p w14:paraId="5958C5B4" w14:textId="77777777" w:rsidR="006E77EB" w:rsidRPr="00037A46" w:rsidRDefault="0036319B" w:rsidP="00EB478C">
      <w:pPr>
        <w:pStyle w:val="Kop5"/>
        <w:rPr>
          <w:rFonts w:ascii="VerdanaFID174HGSet1" w:hAnsi="VerdanaFID174HGSet1" w:cs="VerdanaFID174HGSet1"/>
        </w:rPr>
      </w:pPr>
      <w:r w:rsidRPr="00037A46">
        <w:t>Artikel</w:t>
      </w:r>
      <w:r w:rsidR="00DE7984" w:rsidRPr="00037A46">
        <w:t xml:space="preserve"> </w:t>
      </w:r>
      <w:r w:rsidR="00D635C7" w:rsidRPr="00037A46">
        <w:t>18</w:t>
      </w:r>
    </w:p>
    <w:p w14:paraId="3DA57D2E" w14:textId="58A4F507" w:rsidR="00E14A1D" w:rsidRPr="00E57000" w:rsidRDefault="00DE7984" w:rsidP="00617C5B">
      <w:pPr>
        <w:pStyle w:val="OpmaakprofielUitvullen"/>
        <w:ind w:left="0"/>
        <w:rPr>
          <w:bCs/>
        </w:rPr>
      </w:pPr>
      <w:r w:rsidRPr="00E57000">
        <w:rPr>
          <w:bCs/>
        </w:rPr>
        <w:t>§1</w:t>
      </w:r>
      <w:r w:rsidR="00E57000" w:rsidRPr="00E57000">
        <w:rPr>
          <w:bCs/>
        </w:rPr>
        <w:t>.</w:t>
      </w:r>
      <w:r w:rsidR="00EB478C" w:rsidRPr="00E57000">
        <w:rPr>
          <w:bCs/>
        </w:rPr>
        <w:t xml:space="preserve"> </w:t>
      </w:r>
      <w:r w:rsidR="000772D5" w:rsidRPr="00E57000">
        <w:rPr>
          <w:bCs/>
        </w:rPr>
        <w:t>Ook voor een “niet-verplichte vormingsactiviteit” kan men</w:t>
      </w:r>
      <w:r w:rsidR="0022048D" w:rsidRPr="00E57000">
        <w:rPr>
          <w:bCs/>
        </w:rPr>
        <w:t xml:space="preserve"> </w:t>
      </w:r>
      <w:r w:rsidR="00DD469B" w:rsidRPr="00E57000">
        <w:rPr>
          <w:bCs/>
        </w:rPr>
        <w:t xml:space="preserve">toestemming krijgen. </w:t>
      </w:r>
      <w:r w:rsidR="000772D5" w:rsidRPr="00E57000">
        <w:rPr>
          <w:bCs/>
        </w:rPr>
        <w:t xml:space="preserve">Personeelsleden </w:t>
      </w:r>
      <w:r w:rsidR="00BF3037" w:rsidRPr="00E57000">
        <w:rPr>
          <w:bCs/>
        </w:rPr>
        <w:t>die een nieuwe uitdaging willen aangaan of zich professioneel willen versterken met een erkend diploma of getuigschrift op zak</w:t>
      </w:r>
      <w:r w:rsidR="000772D5" w:rsidRPr="00E57000">
        <w:rPr>
          <w:bCs/>
        </w:rPr>
        <w:t xml:space="preserve"> kunnen een aanvraag indienen voor een niet-verplichte opleiding</w:t>
      </w:r>
      <w:r w:rsidR="00BF3037" w:rsidRPr="00E57000">
        <w:rPr>
          <w:bCs/>
        </w:rPr>
        <w:t>.</w:t>
      </w:r>
    </w:p>
    <w:p w14:paraId="10C0320B" w14:textId="2E243B97" w:rsidR="002B6CDF" w:rsidRPr="00E57000" w:rsidRDefault="1C823611" w:rsidP="00617C5B">
      <w:pPr>
        <w:pStyle w:val="OpmaakprofielUitvullen"/>
        <w:ind w:left="0"/>
        <w:rPr>
          <w:bCs/>
        </w:rPr>
      </w:pPr>
      <w:r w:rsidRPr="00E57000">
        <w:rPr>
          <w:bCs/>
        </w:rPr>
        <w:t>§2</w:t>
      </w:r>
      <w:r w:rsidR="00E57000" w:rsidRPr="00E57000">
        <w:rPr>
          <w:bCs/>
        </w:rPr>
        <w:t>.</w:t>
      </w:r>
      <w:r w:rsidRPr="00E57000">
        <w:rPr>
          <w:bCs/>
        </w:rPr>
        <w:t xml:space="preserve"> </w:t>
      </w:r>
      <w:r w:rsidR="354AB07A" w:rsidRPr="00E57000">
        <w:rPr>
          <w:bCs/>
        </w:rPr>
        <w:t xml:space="preserve">Indien een personeelslid </w:t>
      </w:r>
      <w:r w:rsidR="77DC3FAF" w:rsidRPr="00E57000">
        <w:rPr>
          <w:bCs/>
        </w:rPr>
        <w:t>in dat kader een vormingsactiviteit</w:t>
      </w:r>
      <w:r w:rsidR="354AB07A" w:rsidRPr="00E57000">
        <w:rPr>
          <w:bCs/>
        </w:rPr>
        <w:t xml:space="preserve"> volgt, dan betaalt betrokkene </w:t>
      </w:r>
      <w:r w:rsidR="6A1366CA" w:rsidRPr="00E57000">
        <w:rPr>
          <w:bCs/>
        </w:rPr>
        <w:t xml:space="preserve">in eerste instantie </w:t>
      </w:r>
      <w:r w:rsidR="354AB07A" w:rsidRPr="00E57000">
        <w:rPr>
          <w:bCs/>
        </w:rPr>
        <w:t xml:space="preserve">zelf alle financiële kosten van de vorming. </w:t>
      </w:r>
    </w:p>
    <w:p w14:paraId="384C8BCA" w14:textId="77777777" w:rsidR="002B6CDF" w:rsidRPr="00E57000" w:rsidRDefault="002B6CDF" w:rsidP="00617C5B">
      <w:pPr>
        <w:pStyle w:val="OpmaakprofielUitvullen"/>
        <w:ind w:left="0"/>
        <w:rPr>
          <w:bCs/>
        </w:rPr>
      </w:pPr>
      <w:r w:rsidRPr="00E57000">
        <w:rPr>
          <w:bCs/>
        </w:rPr>
        <w:t>Met het oog op de toepas</w:t>
      </w:r>
      <w:r w:rsidR="00BF3037" w:rsidRPr="00E57000">
        <w:rPr>
          <w:bCs/>
        </w:rPr>
        <w:t>sing van § 6</w:t>
      </w:r>
      <w:r w:rsidRPr="00E57000">
        <w:rPr>
          <w:bCs/>
        </w:rPr>
        <w:t xml:space="preserve"> van dit artikel dient betrokkene alle nuttige bewijzen in verband met de gemaakte vormingskosten te bewaren.</w:t>
      </w:r>
    </w:p>
    <w:p w14:paraId="6B9B9C45" w14:textId="3AE8BAAC" w:rsidR="000772D5" w:rsidRPr="00E57000" w:rsidRDefault="354AB07A" w:rsidP="00617C5B">
      <w:pPr>
        <w:pStyle w:val="OpmaakprofielUitvullen"/>
        <w:ind w:left="0"/>
        <w:rPr>
          <w:bCs/>
        </w:rPr>
      </w:pPr>
      <w:r w:rsidRPr="00E57000">
        <w:rPr>
          <w:bCs/>
        </w:rPr>
        <w:t>§</w:t>
      </w:r>
      <w:r w:rsidR="1C823611" w:rsidRPr="00E57000">
        <w:rPr>
          <w:bCs/>
        </w:rPr>
        <w:t>3</w:t>
      </w:r>
      <w:r w:rsidR="00E57000" w:rsidRPr="00E57000">
        <w:rPr>
          <w:bCs/>
        </w:rPr>
        <w:t>.</w:t>
      </w:r>
      <w:r w:rsidRPr="00E57000">
        <w:rPr>
          <w:bCs/>
        </w:rPr>
        <w:t xml:space="preserve"> </w:t>
      </w:r>
      <w:r w:rsidR="77DC3FAF" w:rsidRPr="00E57000">
        <w:rPr>
          <w:bCs/>
        </w:rPr>
        <w:t xml:space="preserve">Vormingstijd en verplaatsingstijd </w:t>
      </w:r>
      <w:r w:rsidRPr="00E57000">
        <w:rPr>
          <w:bCs/>
        </w:rPr>
        <w:t xml:space="preserve">vormen geen arbeidstijd. </w:t>
      </w:r>
    </w:p>
    <w:p w14:paraId="4BC705BE" w14:textId="77777777" w:rsidR="002B6CDF" w:rsidRPr="00E57000" w:rsidRDefault="002B6CDF" w:rsidP="00617C5B">
      <w:pPr>
        <w:pStyle w:val="OpmaakprofielUitvullen"/>
        <w:ind w:left="0"/>
        <w:rPr>
          <w:bCs/>
        </w:rPr>
      </w:pPr>
      <w:r w:rsidRPr="00E57000">
        <w:rPr>
          <w:bCs/>
        </w:rPr>
        <w:t xml:space="preserve">Desgewenst moet betrokkene daartoe een andere vorm van verlof nemen, of voldoen aan de desbetreffende voorwaarden tot het bekomen van verlof zoals bepaald in artikel </w:t>
      </w:r>
      <w:r w:rsidR="00E5151E" w:rsidRPr="00E57000">
        <w:rPr>
          <w:bCs/>
        </w:rPr>
        <w:t>2</w:t>
      </w:r>
      <w:r w:rsidR="00D635C7" w:rsidRPr="00E57000">
        <w:rPr>
          <w:bCs/>
        </w:rPr>
        <w:t>9</w:t>
      </w:r>
      <w:r w:rsidRPr="00E57000">
        <w:rPr>
          <w:bCs/>
        </w:rPr>
        <w:t>.</w:t>
      </w:r>
    </w:p>
    <w:p w14:paraId="2D341B79" w14:textId="0AB9D9AA" w:rsidR="002B6CDF" w:rsidRPr="00E57000" w:rsidRDefault="002B6CDF" w:rsidP="00617C5B">
      <w:pPr>
        <w:pStyle w:val="OpmaakprofielUitvullen"/>
        <w:ind w:left="0"/>
        <w:rPr>
          <w:bCs/>
        </w:rPr>
      </w:pPr>
      <w:r w:rsidRPr="00E57000">
        <w:rPr>
          <w:bCs/>
        </w:rPr>
        <w:t>§</w:t>
      </w:r>
      <w:r w:rsidR="00BF3037" w:rsidRPr="00E57000">
        <w:rPr>
          <w:bCs/>
        </w:rPr>
        <w:t>4</w:t>
      </w:r>
      <w:r w:rsidR="00E57000" w:rsidRPr="00E57000">
        <w:rPr>
          <w:bCs/>
        </w:rPr>
        <w:t>.</w:t>
      </w:r>
      <w:r w:rsidRPr="00E57000">
        <w:rPr>
          <w:bCs/>
        </w:rPr>
        <w:t xml:space="preserve"> De financiële kosten worden onder volgende voorwaarden terugbetaald door het bestuur:</w:t>
      </w:r>
    </w:p>
    <w:p w14:paraId="430EB571" w14:textId="306DDC36" w:rsidR="0022020F" w:rsidRPr="00E57000" w:rsidRDefault="000B17AD" w:rsidP="009D4C40">
      <w:pPr>
        <w:pStyle w:val="OpmaakprofielUitvullen"/>
        <w:numPr>
          <w:ilvl w:val="0"/>
          <w:numId w:val="111"/>
        </w:numPr>
        <w:rPr>
          <w:bCs/>
        </w:rPr>
      </w:pPr>
      <w:r w:rsidRPr="00E57000">
        <w:rPr>
          <w:bCs/>
        </w:rPr>
        <w:t>De</w:t>
      </w:r>
      <w:r w:rsidR="0022020F" w:rsidRPr="00E57000">
        <w:rPr>
          <w:bCs/>
        </w:rPr>
        <w:t xml:space="preserve"> opleiding </w:t>
      </w:r>
      <w:r w:rsidR="006F5222" w:rsidRPr="00E57000">
        <w:rPr>
          <w:bCs/>
        </w:rPr>
        <w:t>biedt een meerwaarde</w:t>
      </w:r>
      <w:r w:rsidR="0022020F" w:rsidRPr="00E57000">
        <w:rPr>
          <w:bCs/>
        </w:rPr>
        <w:t xml:space="preserve"> voor de uitoefening van de functie en/of </w:t>
      </w:r>
      <w:r w:rsidR="006F5222" w:rsidRPr="00E57000">
        <w:rPr>
          <w:bCs/>
        </w:rPr>
        <w:t>draagt bij</w:t>
      </w:r>
      <w:r w:rsidR="0022020F" w:rsidRPr="00E57000">
        <w:rPr>
          <w:bCs/>
        </w:rPr>
        <w:t xml:space="preserve"> tot de loopbaanontwikkeling van het personeelslid binnen de organisatie</w:t>
      </w:r>
      <w:r w:rsidR="006F5222" w:rsidRPr="00E57000">
        <w:rPr>
          <w:bCs/>
        </w:rPr>
        <w:t>;</w:t>
      </w:r>
    </w:p>
    <w:p w14:paraId="26538AA4" w14:textId="50D1FE55" w:rsidR="002B6CDF" w:rsidRPr="00E57000" w:rsidRDefault="000B17AD" w:rsidP="009D4C40">
      <w:pPr>
        <w:pStyle w:val="OpmaakprofielUitvullen"/>
        <w:numPr>
          <w:ilvl w:val="0"/>
          <w:numId w:val="111"/>
        </w:numPr>
        <w:rPr>
          <w:bCs/>
        </w:rPr>
      </w:pPr>
      <w:r w:rsidRPr="00E57000">
        <w:rPr>
          <w:bCs/>
        </w:rPr>
        <w:t>Het</w:t>
      </w:r>
      <w:r w:rsidR="002B6CDF" w:rsidRPr="00E57000">
        <w:rPr>
          <w:bCs/>
        </w:rPr>
        <w:t xml:space="preserve"> personeelslid is tewerkgesteld in statutair verband of met een arbeidsovereenkomst van onbepaalde duur</w:t>
      </w:r>
      <w:r w:rsidR="006F5222" w:rsidRPr="00E57000">
        <w:rPr>
          <w:bCs/>
        </w:rPr>
        <w:t xml:space="preserve"> (excl. vervangingsovereenkomsten);</w:t>
      </w:r>
    </w:p>
    <w:p w14:paraId="6DFA8034" w14:textId="424337C5" w:rsidR="002B6CDF" w:rsidRPr="00E57000" w:rsidRDefault="000B17AD" w:rsidP="009D4C40">
      <w:pPr>
        <w:pStyle w:val="OpmaakprofielUitvullen"/>
        <w:numPr>
          <w:ilvl w:val="0"/>
          <w:numId w:val="111"/>
        </w:numPr>
        <w:rPr>
          <w:bCs/>
        </w:rPr>
      </w:pPr>
      <w:r w:rsidRPr="00E57000">
        <w:rPr>
          <w:bCs/>
        </w:rPr>
        <w:t>Het</w:t>
      </w:r>
      <w:r w:rsidR="002B6CDF" w:rsidRPr="00E57000">
        <w:rPr>
          <w:bCs/>
        </w:rPr>
        <w:t xml:space="preserve"> personeelslid levert effectieve prestaties</w:t>
      </w:r>
      <w:r w:rsidR="006F5222" w:rsidRPr="00E57000">
        <w:rPr>
          <w:bCs/>
        </w:rPr>
        <w:t>;</w:t>
      </w:r>
    </w:p>
    <w:p w14:paraId="3E1547CC" w14:textId="71444D3D" w:rsidR="002B6CDF" w:rsidRPr="00E57000" w:rsidRDefault="000B17AD" w:rsidP="009D4C40">
      <w:pPr>
        <w:pStyle w:val="OpmaakprofielUitvullen"/>
        <w:numPr>
          <w:ilvl w:val="0"/>
          <w:numId w:val="111"/>
        </w:numPr>
        <w:rPr>
          <w:bCs/>
        </w:rPr>
      </w:pPr>
      <w:r w:rsidRPr="00E57000">
        <w:rPr>
          <w:bCs/>
        </w:rPr>
        <w:t>Betrokkene</w:t>
      </w:r>
      <w:r w:rsidR="002B6CDF" w:rsidRPr="00E57000">
        <w:rPr>
          <w:bCs/>
        </w:rPr>
        <w:t xml:space="preserve"> heeft minimum vier jaar dienstanciënniteit en heeft 4 jaar daadwerkelijk prestaties geleverd bij het bestuur vóór de aanvang van de vormingsactiviteit;</w:t>
      </w:r>
    </w:p>
    <w:p w14:paraId="51702F28" w14:textId="06A7509D" w:rsidR="002B6CDF" w:rsidRPr="00E57000" w:rsidRDefault="000B17AD" w:rsidP="009D4C40">
      <w:pPr>
        <w:pStyle w:val="OpmaakprofielUitvullen"/>
        <w:numPr>
          <w:ilvl w:val="0"/>
          <w:numId w:val="111"/>
        </w:numPr>
        <w:rPr>
          <w:bCs/>
        </w:rPr>
      </w:pPr>
      <w:r w:rsidRPr="00E57000">
        <w:rPr>
          <w:bCs/>
        </w:rPr>
        <w:t>Betrokkene</w:t>
      </w:r>
      <w:r w:rsidR="002B6CDF" w:rsidRPr="00E57000">
        <w:rPr>
          <w:bCs/>
        </w:rPr>
        <w:t xml:space="preserve"> is geslaagd voor het bet</w:t>
      </w:r>
      <w:r w:rsidR="00760073" w:rsidRPr="00E57000">
        <w:rPr>
          <w:bCs/>
        </w:rPr>
        <w:t>rokken studiejaar en/of modules</w:t>
      </w:r>
      <w:r w:rsidR="002B6CDF" w:rsidRPr="00E57000">
        <w:rPr>
          <w:bCs/>
        </w:rPr>
        <w:t>;</w:t>
      </w:r>
    </w:p>
    <w:p w14:paraId="57CDE766" w14:textId="45790A9A" w:rsidR="002B6CDF" w:rsidRPr="00E57000" w:rsidRDefault="000B17AD" w:rsidP="009D4C40">
      <w:pPr>
        <w:pStyle w:val="OpmaakprofielUitvullen"/>
        <w:numPr>
          <w:ilvl w:val="0"/>
          <w:numId w:val="111"/>
        </w:numPr>
        <w:rPr>
          <w:bCs/>
        </w:rPr>
      </w:pPr>
      <w:r w:rsidRPr="00E57000">
        <w:rPr>
          <w:bCs/>
        </w:rPr>
        <w:t>Betrokkene</w:t>
      </w:r>
      <w:r w:rsidR="002B6CDF" w:rsidRPr="00E57000">
        <w:rPr>
          <w:bCs/>
        </w:rPr>
        <w:t xml:space="preserve"> heeft de kosten van dat studiejaar zelf gedragen op het ogenblik waarop hij die vormingsactiviteit volgde en kan deze bewijzen;</w:t>
      </w:r>
    </w:p>
    <w:p w14:paraId="1133140A" w14:textId="292A56B4" w:rsidR="002B6CDF" w:rsidRPr="00E57000" w:rsidRDefault="000B17AD" w:rsidP="009D4C40">
      <w:pPr>
        <w:pStyle w:val="OpmaakprofielUitvullen"/>
        <w:numPr>
          <w:ilvl w:val="0"/>
          <w:numId w:val="111"/>
        </w:numPr>
        <w:rPr>
          <w:bCs/>
        </w:rPr>
      </w:pPr>
      <w:r w:rsidRPr="00E57000">
        <w:rPr>
          <w:bCs/>
        </w:rPr>
        <w:t>Betrokkene</w:t>
      </w:r>
      <w:r w:rsidR="002B6CDF" w:rsidRPr="00E57000">
        <w:rPr>
          <w:bCs/>
        </w:rPr>
        <w:t xml:space="preserve"> heeft een gunstige evaluatie en wendt in de mate van het mogelijke de vorming aan in de uitoefening van zijn functie. </w:t>
      </w:r>
    </w:p>
    <w:p w14:paraId="6F949142" w14:textId="2D888987" w:rsidR="002B6CDF" w:rsidRPr="00E57000" w:rsidRDefault="002B6CDF" w:rsidP="00617C5B">
      <w:pPr>
        <w:pStyle w:val="OpmaakprofielUitvullen"/>
        <w:ind w:left="0"/>
        <w:rPr>
          <w:bCs/>
        </w:rPr>
      </w:pPr>
      <w:r w:rsidRPr="00E57000">
        <w:rPr>
          <w:bCs/>
        </w:rPr>
        <w:t>§</w:t>
      </w:r>
      <w:r w:rsidR="00BF3037" w:rsidRPr="00E57000">
        <w:rPr>
          <w:bCs/>
        </w:rPr>
        <w:t>5</w:t>
      </w:r>
      <w:r w:rsidR="00E57000" w:rsidRPr="00E57000">
        <w:rPr>
          <w:bCs/>
        </w:rPr>
        <w:t>.</w:t>
      </w:r>
      <w:r w:rsidR="0022020F" w:rsidRPr="00E57000">
        <w:rPr>
          <w:bCs/>
        </w:rPr>
        <w:t xml:space="preserve"> De bij § 4</w:t>
      </w:r>
      <w:r w:rsidRPr="00E57000">
        <w:rPr>
          <w:bCs/>
        </w:rPr>
        <w:t xml:space="preserve"> bedoelde financiële kosten zijn:</w:t>
      </w:r>
    </w:p>
    <w:p w14:paraId="319571B6" w14:textId="77777777" w:rsidR="00F56F09" w:rsidRPr="00E57000" w:rsidRDefault="00F56F09" w:rsidP="00F56F09">
      <w:pPr>
        <w:pStyle w:val="OpmaakprofielUitvullen"/>
        <w:rPr>
          <w:bCs/>
        </w:rPr>
      </w:pPr>
      <w:r w:rsidRPr="00E57000">
        <w:rPr>
          <w:bCs/>
        </w:rPr>
        <w:t>1. het inschrijvingsgeld, het cursusgeld, enz.</w:t>
      </w:r>
    </w:p>
    <w:p w14:paraId="4D3819C6" w14:textId="77777777" w:rsidR="002B6CDF" w:rsidRPr="00E57000" w:rsidRDefault="00F56F09" w:rsidP="002B6CDF">
      <w:pPr>
        <w:pStyle w:val="OpmaakprofielUitvullen"/>
        <w:rPr>
          <w:bCs/>
        </w:rPr>
      </w:pPr>
      <w:r w:rsidRPr="00E57000">
        <w:rPr>
          <w:bCs/>
        </w:rPr>
        <w:t xml:space="preserve">2. </w:t>
      </w:r>
      <w:r w:rsidR="002B6CDF" w:rsidRPr="00E57000">
        <w:rPr>
          <w:bCs/>
        </w:rPr>
        <w:t>de verplaatsingskosten;</w:t>
      </w:r>
    </w:p>
    <w:p w14:paraId="7C41A5C8" w14:textId="206188DC" w:rsidR="0075199B" w:rsidRPr="00037A46" w:rsidRDefault="002B6CDF" w:rsidP="00617C5B">
      <w:pPr>
        <w:pStyle w:val="OpmaakprofielUitvullen"/>
        <w:ind w:left="0"/>
      </w:pPr>
      <w:r w:rsidRPr="00E57000">
        <w:rPr>
          <w:bCs/>
        </w:rPr>
        <w:t>§</w:t>
      </w:r>
      <w:r w:rsidR="00BF3037" w:rsidRPr="00E57000">
        <w:rPr>
          <w:bCs/>
        </w:rPr>
        <w:t>6</w:t>
      </w:r>
      <w:r w:rsidR="00E57000" w:rsidRPr="00E57000">
        <w:rPr>
          <w:bCs/>
        </w:rPr>
        <w:t>.</w:t>
      </w:r>
      <w:r w:rsidRPr="00E57000">
        <w:rPr>
          <w:bCs/>
        </w:rPr>
        <w:t xml:space="preserve"> </w:t>
      </w:r>
      <w:r w:rsidR="0075199B" w:rsidRPr="00E57000">
        <w:rPr>
          <w:bCs/>
        </w:rPr>
        <w:t xml:space="preserve">De verplaatsingskosten (inclusief parkeerkosten) worden maandelijks </w:t>
      </w:r>
      <w:r w:rsidR="000B17AD" w:rsidRPr="00E57000">
        <w:rPr>
          <w:bCs/>
        </w:rPr>
        <w:t>terugbetaald</w:t>
      </w:r>
      <w:r w:rsidR="0075199B" w:rsidRPr="00E57000">
        <w:rPr>
          <w:bCs/>
        </w:rPr>
        <w:t xml:space="preserve"> op basis van het ingediende </w:t>
      </w:r>
      <w:r w:rsidR="0075199B" w:rsidRPr="00037A46">
        <w:t>formulier voor terugbetaling verplaatsingskosten in dienstverband.</w:t>
      </w:r>
    </w:p>
    <w:p w14:paraId="7D81D639" w14:textId="77777777" w:rsidR="00046408" w:rsidRPr="00037A46" w:rsidRDefault="002B6CDF" w:rsidP="00617C5B">
      <w:pPr>
        <w:pStyle w:val="OpmaakprofielUitvullen"/>
        <w:ind w:left="0"/>
        <w:rPr>
          <w:b/>
        </w:rPr>
      </w:pPr>
      <w:r w:rsidRPr="00037A46">
        <w:t>Na afloop van een opleiding(</w:t>
      </w:r>
      <w:proofErr w:type="spellStart"/>
      <w:r w:rsidRPr="00037A46">
        <w:t>sjaar</w:t>
      </w:r>
      <w:proofErr w:type="spellEnd"/>
      <w:r w:rsidRPr="00037A46">
        <w:t xml:space="preserve">) en zolang het personeelslid in dienst is, is </w:t>
      </w:r>
      <w:r w:rsidR="00046408" w:rsidRPr="00037A46">
        <w:t>er een terugbetaling voorzien van bewezen kosten</w:t>
      </w:r>
      <w:r w:rsidR="00F56F09" w:rsidRPr="00037A46">
        <w:t>, zoals bedoeld in punt 1</w:t>
      </w:r>
      <w:r w:rsidR="00046408" w:rsidRPr="00037A46">
        <w:t xml:space="preserve"> </w:t>
      </w:r>
      <w:r w:rsidR="00F56F09" w:rsidRPr="00037A46">
        <w:t xml:space="preserve">van §5. </w:t>
      </w:r>
    </w:p>
    <w:p w14:paraId="7904508D" w14:textId="77777777" w:rsidR="002B6CDF" w:rsidRPr="00037A46" w:rsidRDefault="00046408" w:rsidP="00617C5B">
      <w:pPr>
        <w:pStyle w:val="OpmaakprofielUitvullen"/>
        <w:ind w:left="0"/>
      </w:pPr>
      <w:r w:rsidRPr="00037A46">
        <w:lastRenderedPageBreak/>
        <w:t xml:space="preserve">Voor opleidingskosten die meer bedragen dan 1000 euro (incl. BTW) </w:t>
      </w:r>
      <w:r w:rsidR="00A37064" w:rsidRPr="00037A46">
        <w:t xml:space="preserve">per schooljaar of per module </w:t>
      </w:r>
      <w:r w:rsidRPr="00037A46">
        <w:t>is er een gespreide terugbetaling voorzien over 4 jaar.</w:t>
      </w:r>
    </w:p>
    <w:p w14:paraId="35931733" w14:textId="77777777" w:rsidR="00F56F09" w:rsidRPr="00037A46" w:rsidRDefault="002B6CDF" w:rsidP="00617C5B">
      <w:pPr>
        <w:pStyle w:val="OpmaakprofielUitvullen"/>
        <w:ind w:left="0"/>
        <w:rPr>
          <w:b/>
        </w:rPr>
      </w:pPr>
      <w:r w:rsidRPr="00037A46">
        <w:t>De uitbetaling gebeurt in de loop van de maand december.</w:t>
      </w:r>
      <w:r w:rsidR="00F56F09" w:rsidRPr="00037A46">
        <w:rPr>
          <w:b/>
        </w:rPr>
        <w:t xml:space="preserve"> </w:t>
      </w:r>
    </w:p>
    <w:p w14:paraId="66EDE19B" w14:textId="27D4A472" w:rsidR="00DE7984" w:rsidRPr="00037A46" w:rsidRDefault="002B6CDF" w:rsidP="00617C5B">
      <w:pPr>
        <w:pStyle w:val="OpmaakprofielUitvullen"/>
        <w:ind w:left="0"/>
      </w:pPr>
      <w:r w:rsidRPr="00E57000">
        <w:rPr>
          <w:bCs/>
        </w:rPr>
        <w:t>§</w:t>
      </w:r>
      <w:r w:rsidR="005C3129" w:rsidRPr="00E57000">
        <w:rPr>
          <w:bCs/>
        </w:rPr>
        <w:t>7</w:t>
      </w:r>
      <w:r w:rsidR="00E57000" w:rsidRPr="00E57000">
        <w:rPr>
          <w:bCs/>
        </w:rPr>
        <w:t>.</w:t>
      </w:r>
      <w:r w:rsidRPr="00037A46">
        <w:t xml:space="preserve"> De vermindering van het inschrijvingsgeld via de opleidingscheques wordt afgetrokken van de tussenkomst van het bestuur, tenzij bewezen wordt dat men van de cheques niet kon genieten voor de opleiding.</w:t>
      </w:r>
    </w:p>
    <w:p w14:paraId="4EF4EE98" w14:textId="77777777" w:rsidR="00DE7984" w:rsidRPr="00037A46" w:rsidRDefault="00DE7984" w:rsidP="00EB478C">
      <w:pPr>
        <w:pStyle w:val="Kop4"/>
        <w:shd w:val="clear" w:color="auto" w:fill="auto"/>
        <w:rPr>
          <w:rFonts w:cs="Arial"/>
          <w:b w:val="0"/>
          <w:bCs/>
          <w:sz w:val="20"/>
        </w:rPr>
      </w:pPr>
      <w:bookmarkStart w:id="381" w:name="_Toc282092055"/>
      <w:bookmarkStart w:id="382" w:name="_Toc282168256"/>
      <w:bookmarkStart w:id="383" w:name="_Toc282524080"/>
      <w:bookmarkStart w:id="384" w:name="_Toc283214493"/>
      <w:bookmarkStart w:id="385" w:name="_Toc110948276"/>
      <w:r w:rsidRPr="00335E32">
        <w:rPr>
          <w:rFonts w:cs="Arial"/>
          <w:b w:val="0"/>
          <w:bCs/>
          <w:sz w:val="20"/>
        </w:rPr>
        <w:t xml:space="preserve">Onderafdeling </w:t>
      </w:r>
      <w:r w:rsidR="00873194" w:rsidRPr="00335E32">
        <w:rPr>
          <w:rFonts w:cs="Arial"/>
          <w:b w:val="0"/>
          <w:bCs/>
          <w:sz w:val="20"/>
        </w:rPr>
        <w:t>3</w:t>
      </w:r>
      <w:r w:rsidR="009317FA" w:rsidRPr="00335E32">
        <w:rPr>
          <w:rFonts w:cs="Arial"/>
          <w:b w:val="0"/>
          <w:bCs/>
          <w:sz w:val="20"/>
        </w:rPr>
        <w:t>.</w:t>
      </w:r>
      <w:r w:rsidRPr="00335E32">
        <w:rPr>
          <w:rFonts w:cs="Arial"/>
          <w:b w:val="0"/>
          <w:bCs/>
          <w:sz w:val="20"/>
        </w:rPr>
        <w:t xml:space="preserve"> Vormingsverlof</w:t>
      </w:r>
      <w:bookmarkEnd w:id="381"/>
      <w:bookmarkEnd w:id="382"/>
      <w:bookmarkEnd w:id="383"/>
      <w:bookmarkEnd w:id="384"/>
      <w:bookmarkEnd w:id="385"/>
    </w:p>
    <w:p w14:paraId="25721DA7" w14:textId="77777777" w:rsidR="00EB478C" w:rsidRPr="00037A46" w:rsidRDefault="0036319B" w:rsidP="00EB478C">
      <w:pPr>
        <w:pStyle w:val="Kop5"/>
      </w:pPr>
      <w:r w:rsidRPr="00037A46">
        <w:t>Artikel</w:t>
      </w:r>
      <w:r w:rsidR="00DE7984" w:rsidRPr="00037A46">
        <w:t xml:space="preserve"> </w:t>
      </w:r>
      <w:r w:rsidR="00D635C7" w:rsidRPr="00037A46">
        <w:t>19</w:t>
      </w:r>
      <w:r w:rsidR="00DE7984" w:rsidRPr="00037A46">
        <w:t xml:space="preserve"> </w:t>
      </w:r>
    </w:p>
    <w:p w14:paraId="5ED42107" w14:textId="0120B857" w:rsidR="00567DC2" w:rsidRPr="00E57000" w:rsidRDefault="5EF21F4C" w:rsidP="00617C5B">
      <w:pPr>
        <w:pStyle w:val="OpmaakprofielUitvullen"/>
        <w:ind w:left="0"/>
      </w:pPr>
      <w:r w:rsidRPr="00E57000">
        <w:t>§1</w:t>
      </w:r>
      <w:r w:rsidR="00E57000" w:rsidRPr="00E57000">
        <w:t>.</w:t>
      </w:r>
      <w:r w:rsidR="00FE4705" w:rsidRPr="00E57000">
        <w:t xml:space="preserve"> </w:t>
      </w:r>
      <w:r w:rsidR="00046408" w:rsidRPr="00E57000">
        <w:t>Enkel</w:t>
      </w:r>
      <w:r w:rsidR="00567DC2" w:rsidRPr="00E57000">
        <w:t xml:space="preserve"> ter voorbereiding van examens voor het behalen van een specifiek attest nodig voor de uitoefening van </w:t>
      </w:r>
      <w:r w:rsidR="00760073" w:rsidRPr="00E57000">
        <w:t>de (al dan niet nieuwe) functie</w:t>
      </w:r>
      <w:r w:rsidR="00D635C7" w:rsidRPr="00E57000">
        <w:t>, zoals omschreven in artikel 17</w:t>
      </w:r>
      <w:r w:rsidR="00046408" w:rsidRPr="00E57000">
        <w:t xml:space="preserve"> “verplichte vormingsactiviteiten”, kan men eveneens vormingsverlof toegekend krijgen</w:t>
      </w:r>
      <w:r w:rsidR="00760073" w:rsidRPr="00E57000">
        <w:t>.</w:t>
      </w:r>
    </w:p>
    <w:p w14:paraId="0B03F8BD" w14:textId="15795567" w:rsidR="00567DC2" w:rsidRPr="00037A46" w:rsidRDefault="00567DC2" w:rsidP="00617C5B">
      <w:pPr>
        <w:pStyle w:val="OpmaakprofielUitvullen"/>
        <w:ind w:left="0"/>
      </w:pPr>
      <w:r w:rsidRPr="00E57000">
        <w:t>§</w:t>
      </w:r>
      <w:r w:rsidR="00046408" w:rsidRPr="00E57000">
        <w:t>2</w:t>
      </w:r>
      <w:r w:rsidR="00E57000" w:rsidRPr="00E57000">
        <w:t>.</w:t>
      </w:r>
      <w:r w:rsidRPr="00E57000">
        <w:t xml:space="preserve"> Het verlof wordt toegekend, mits voorlegging van een attest waaruit het regelmatig bijwonen van de lessen blijkt à</w:t>
      </w:r>
      <w:r w:rsidRPr="00037A46">
        <w:t xml:space="preserve"> rato van 1 werkdag per schijf van 25 gevolgde lesuren. Dit verlof mag 10 werkdagen per schooljaar (sept. – juni) niet overschrijden en wordt met een periode van dienstactiviteit gelijkgesteld.</w:t>
      </w:r>
    </w:p>
    <w:p w14:paraId="326A336B" w14:textId="77777777" w:rsidR="00567DC2" w:rsidRPr="00037A46" w:rsidRDefault="00567DC2" w:rsidP="00617C5B">
      <w:pPr>
        <w:pStyle w:val="OpmaakprofielUitvullen"/>
        <w:ind w:left="0"/>
      </w:pPr>
      <w:r w:rsidRPr="00037A46">
        <w:t>Het vormingsverlof wordt slechts toegestaan voor het volgen van de cursussen bij de eerste beurt (incl. 1ste en 2de zittijd). Voor de deeltijdse personeelsleden wordt het bedoelde verlof evenredig toegekend.</w:t>
      </w:r>
    </w:p>
    <w:p w14:paraId="2F4351A9" w14:textId="5AABC369" w:rsidR="00DE7984" w:rsidRPr="00037A46" w:rsidRDefault="00DE7984" w:rsidP="00EB478C">
      <w:pPr>
        <w:pStyle w:val="Kop3"/>
        <w:rPr>
          <w:rFonts w:cs="Arial"/>
        </w:rPr>
      </w:pPr>
      <w:bookmarkStart w:id="386" w:name="_Toc282092056"/>
      <w:bookmarkStart w:id="387" w:name="_Toc282168257"/>
      <w:bookmarkStart w:id="388" w:name="_Toc282524081"/>
      <w:bookmarkStart w:id="389" w:name="_Toc283214494"/>
      <w:bookmarkStart w:id="390" w:name="_Toc110948277"/>
      <w:bookmarkStart w:id="391" w:name="_Toc177724321"/>
      <w:bookmarkStart w:id="392" w:name="_Toc177724989"/>
      <w:bookmarkStart w:id="393" w:name="_Toc215739073"/>
      <w:r w:rsidRPr="00037A46">
        <w:rPr>
          <w:rFonts w:cs="Arial"/>
        </w:rPr>
        <w:t xml:space="preserve">Afdeling </w:t>
      </w:r>
      <w:r w:rsidR="00873194" w:rsidRPr="00037A46">
        <w:rPr>
          <w:rFonts w:cs="Arial"/>
        </w:rPr>
        <w:t>7</w:t>
      </w:r>
      <w:r w:rsidR="009317FA" w:rsidRPr="00037A46">
        <w:rPr>
          <w:rFonts w:cs="Arial"/>
        </w:rPr>
        <w:t>.</w:t>
      </w:r>
      <w:r w:rsidRPr="00037A46">
        <w:rPr>
          <w:rFonts w:cs="Arial"/>
        </w:rPr>
        <w:t xml:space="preserve"> Verplichtingen bij deelname aan een vormingsactiviteit</w:t>
      </w:r>
      <w:bookmarkEnd w:id="386"/>
      <w:bookmarkEnd w:id="387"/>
      <w:bookmarkEnd w:id="388"/>
      <w:bookmarkEnd w:id="389"/>
      <w:bookmarkEnd w:id="390"/>
      <w:bookmarkEnd w:id="391"/>
      <w:bookmarkEnd w:id="392"/>
      <w:bookmarkEnd w:id="393"/>
    </w:p>
    <w:p w14:paraId="44A0864D" w14:textId="77777777" w:rsidR="00EB478C" w:rsidRPr="00037A46" w:rsidRDefault="0036319B" w:rsidP="00EB478C">
      <w:pPr>
        <w:pStyle w:val="Kop5"/>
        <w:rPr>
          <w:rFonts w:ascii="VerdanaFID174HGSet1" w:hAnsi="VerdanaFID174HGSet1" w:cs="VerdanaFID174HGSet1"/>
        </w:rPr>
      </w:pPr>
      <w:r w:rsidRPr="00037A46">
        <w:t>Artikel</w:t>
      </w:r>
      <w:r w:rsidR="006D56E8" w:rsidRPr="00037A46">
        <w:t xml:space="preserve"> 2</w:t>
      </w:r>
      <w:r w:rsidR="00D635C7" w:rsidRPr="00037A46">
        <w:t>0</w:t>
      </w:r>
    </w:p>
    <w:p w14:paraId="5D4D23DE" w14:textId="77777777" w:rsidR="00DE7984" w:rsidRPr="00037A46" w:rsidRDefault="00DE7984" w:rsidP="00617C5B">
      <w:pPr>
        <w:pStyle w:val="OpmaakprofielUitvullen"/>
        <w:ind w:left="0"/>
      </w:pPr>
      <w:r w:rsidRPr="00037A46">
        <w:t xml:space="preserve">Voor de afwezigheden tijdens </w:t>
      </w:r>
      <w:r w:rsidR="006D56E8" w:rsidRPr="00037A46">
        <w:t>een</w:t>
      </w:r>
      <w:r w:rsidRPr="00037A46">
        <w:t xml:space="preserve"> verplichte vorming, zonder gegronde reden, gelden dezelfde regels als bij een ongewettigde afwezigheid.</w:t>
      </w:r>
    </w:p>
    <w:p w14:paraId="7365EB10" w14:textId="77777777" w:rsidR="00EB478C" w:rsidRPr="00037A46" w:rsidRDefault="0036319B" w:rsidP="00EB478C">
      <w:pPr>
        <w:pStyle w:val="Kop5"/>
      </w:pPr>
      <w:r w:rsidRPr="00037A46">
        <w:t>Artikel</w:t>
      </w:r>
      <w:r w:rsidR="006D56E8" w:rsidRPr="00037A46">
        <w:t xml:space="preserve"> 2</w:t>
      </w:r>
      <w:r w:rsidR="00D635C7" w:rsidRPr="00037A46">
        <w:t>1</w:t>
      </w:r>
    </w:p>
    <w:p w14:paraId="27F7C8D7" w14:textId="77777777" w:rsidR="00DE7984" w:rsidRPr="00037A46" w:rsidRDefault="00DE7984" w:rsidP="00617C5B">
      <w:pPr>
        <w:pStyle w:val="OpmaakprofielUitvullen"/>
        <w:ind w:left="0"/>
      </w:pPr>
      <w:r w:rsidRPr="00037A46">
        <w:t>De mate waarin het personeelslid na deelname aan vormingsactiviteiten in zijn dagelijks werk toepassing maakt van de geleerde vaardigheden of van de verworven kennis, is een element in zijn evaluatie.</w:t>
      </w:r>
    </w:p>
    <w:p w14:paraId="67E095AD" w14:textId="77777777" w:rsidR="00EB478C" w:rsidRPr="00037A46" w:rsidRDefault="0036319B" w:rsidP="00EB478C">
      <w:pPr>
        <w:pStyle w:val="Kop5"/>
        <w:rPr>
          <w:rFonts w:ascii="VerdanaFID174HGSet1" w:hAnsi="VerdanaFID174HGSet1" w:cs="VerdanaFID174HGSet1"/>
        </w:rPr>
      </w:pPr>
      <w:r w:rsidRPr="00037A46">
        <w:t>Artikel</w:t>
      </w:r>
      <w:r w:rsidR="0056133B" w:rsidRPr="00037A46">
        <w:t xml:space="preserve"> 2</w:t>
      </w:r>
      <w:r w:rsidR="00D635C7" w:rsidRPr="00037A46">
        <w:t>2</w:t>
      </w:r>
    </w:p>
    <w:p w14:paraId="2DDB092E" w14:textId="77777777" w:rsidR="00DE7984" w:rsidRPr="00037A46" w:rsidRDefault="00DE7984" w:rsidP="00617C5B">
      <w:pPr>
        <w:pStyle w:val="OpmaakprofielUitvullen"/>
        <w:ind w:left="0"/>
      </w:pPr>
      <w:r w:rsidRPr="00037A46">
        <w:t xml:space="preserve">Misbruik of overtredingen van de bepalingen in dit </w:t>
      </w:r>
      <w:r w:rsidR="00BE47A8" w:rsidRPr="00037A46">
        <w:t>vormingsreglement</w:t>
      </w:r>
      <w:r w:rsidRPr="00037A46">
        <w:t xml:space="preserve"> hebben, onverminderd eventuele tuchtstraffen, het verlies van alle rechten tot en voordelen verbonden aan vorming tot gevolg. </w:t>
      </w:r>
    </w:p>
    <w:p w14:paraId="46FC02CD" w14:textId="044E3BD3" w:rsidR="00DE7984" w:rsidRPr="00037A46" w:rsidRDefault="00F11852" w:rsidP="00EB478C">
      <w:pPr>
        <w:pStyle w:val="Kop3"/>
        <w:rPr>
          <w:rFonts w:cs="Arial"/>
        </w:rPr>
      </w:pPr>
      <w:bookmarkStart w:id="394" w:name="_Toc282092057"/>
      <w:bookmarkStart w:id="395" w:name="_Toc282168258"/>
      <w:bookmarkStart w:id="396" w:name="_Toc282524082"/>
      <w:bookmarkStart w:id="397" w:name="_Toc283214495"/>
      <w:bookmarkStart w:id="398" w:name="_Toc110948278"/>
      <w:bookmarkStart w:id="399" w:name="_Toc177724322"/>
      <w:bookmarkStart w:id="400" w:name="_Toc177724990"/>
      <w:bookmarkStart w:id="401" w:name="_Toc215739074"/>
      <w:r w:rsidRPr="00037A46">
        <w:rPr>
          <w:rFonts w:cs="Arial"/>
        </w:rPr>
        <w:t xml:space="preserve">Afdeling </w:t>
      </w:r>
      <w:r w:rsidR="00873194" w:rsidRPr="00037A46">
        <w:rPr>
          <w:rFonts w:cs="Arial"/>
        </w:rPr>
        <w:t>8</w:t>
      </w:r>
      <w:r w:rsidR="009317FA" w:rsidRPr="00037A46">
        <w:rPr>
          <w:rFonts w:cs="Arial"/>
        </w:rPr>
        <w:t>.</w:t>
      </w:r>
      <w:r w:rsidR="00DE7984" w:rsidRPr="00037A46">
        <w:rPr>
          <w:rFonts w:cs="Arial"/>
        </w:rPr>
        <w:t xml:space="preserve"> Slotbepalingen</w:t>
      </w:r>
      <w:bookmarkEnd w:id="394"/>
      <w:bookmarkEnd w:id="395"/>
      <w:bookmarkEnd w:id="396"/>
      <w:bookmarkEnd w:id="397"/>
      <w:bookmarkEnd w:id="398"/>
      <w:bookmarkEnd w:id="399"/>
      <w:bookmarkEnd w:id="400"/>
      <w:bookmarkEnd w:id="401"/>
    </w:p>
    <w:p w14:paraId="4D044B30" w14:textId="77777777" w:rsidR="00EB478C" w:rsidRPr="00037A46" w:rsidRDefault="0036319B" w:rsidP="00EB478C">
      <w:pPr>
        <w:pStyle w:val="Kop5"/>
        <w:rPr>
          <w:rFonts w:ascii="VerdanaFID174HGSet1" w:hAnsi="VerdanaFID174HGSet1" w:cs="VerdanaFID174HGSet1"/>
        </w:rPr>
      </w:pPr>
      <w:r w:rsidRPr="00037A46">
        <w:t>Artikel</w:t>
      </w:r>
      <w:r w:rsidR="00DE7984" w:rsidRPr="00037A46">
        <w:t xml:space="preserve"> </w:t>
      </w:r>
      <w:r w:rsidR="0056133B" w:rsidRPr="00037A46">
        <w:t>2</w:t>
      </w:r>
      <w:r w:rsidR="00D635C7" w:rsidRPr="00037A46">
        <w:t>3</w:t>
      </w:r>
    </w:p>
    <w:p w14:paraId="38C54CAD" w14:textId="77777777" w:rsidR="00DE7984" w:rsidRPr="00037A46" w:rsidRDefault="00DE7984" w:rsidP="00E35433">
      <w:pPr>
        <w:ind w:left="0"/>
      </w:pPr>
      <w:r w:rsidRPr="00037A46">
        <w:t>Dit vormings</w:t>
      </w:r>
      <w:r w:rsidR="00D635C7" w:rsidRPr="00037A46">
        <w:t>reglement is van kracht op 01/02</w:t>
      </w:r>
      <w:r w:rsidRPr="00037A46">
        <w:t>/20</w:t>
      </w:r>
      <w:r w:rsidR="0056133B" w:rsidRPr="00037A46">
        <w:t>16</w:t>
      </w:r>
      <w:r w:rsidRPr="00037A46">
        <w:t xml:space="preserve">. Op de vormingsactiviteiten waaraan personeelsleden deelnemen op het ogenblik van het van kracht worden van dit reglement blijven de eerder geldende bepalingen van toepassing. </w:t>
      </w:r>
    </w:p>
    <w:p w14:paraId="054E9CAB" w14:textId="77777777" w:rsidR="00884E32" w:rsidRPr="00037A46" w:rsidRDefault="00884E32" w:rsidP="00884E32">
      <w:pPr>
        <w:spacing w:before="0" w:after="200" w:line="276" w:lineRule="auto"/>
        <w:ind w:left="0"/>
        <w:jc w:val="left"/>
        <w:rPr>
          <w:rFonts w:eastAsia="Calibri" w:cs="Arial"/>
          <w:lang w:eastAsia="en-US"/>
        </w:rPr>
      </w:pPr>
    </w:p>
    <w:sectPr w:rsidR="00884E32" w:rsidRPr="00037A46" w:rsidSect="00567AA1">
      <w:headerReference w:type="even" r:id="rId21"/>
      <w:headerReference w:type="default" r:id="rId22"/>
      <w:footerReference w:type="default" r:id="rId23"/>
      <w:pgSz w:w="11910" w:h="16840"/>
      <w:pgMar w:top="1320" w:right="1300" w:bottom="2127" w:left="1300" w:header="751" w:footer="0"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4" w:author="BIESEMANS Jarne" w:date="2025-09-30T12:29:00Z" w:initials="JB">
    <w:p w14:paraId="5E4AD91E" w14:textId="77777777" w:rsidR="004422D4" w:rsidRDefault="004422D4" w:rsidP="004422D4">
      <w:pPr>
        <w:pStyle w:val="Tekstopmerking"/>
        <w:ind w:left="0"/>
        <w:jc w:val="left"/>
      </w:pPr>
      <w:r>
        <w:rPr>
          <w:rStyle w:val="Verwijzingopmerking"/>
        </w:rPr>
        <w:annotationRef/>
      </w:r>
      <w:r>
        <w:t>actualiseren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4AD9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0EA41D" w16cex:dateUtc="2025-09-30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4AD91E" w16cid:durableId="230EA4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CF99F" w14:textId="77777777" w:rsidR="007F2EB8" w:rsidRDefault="007F2EB8">
      <w:pPr>
        <w:spacing w:before="0" w:after="0"/>
      </w:pPr>
      <w:r>
        <w:separator/>
      </w:r>
    </w:p>
  </w:endnote>
  <w:endnote w:type="continuationSeparator" w:id="0">
    <w:p w14:paraId="2FD78E6B" w14:textId="77777777" w:rsidR="007F2EB8" w:rsidRDefault="007F2EB8">
      <w:pPr>
        <w:spacing w:before="0" w:after="0"/>
      </w:pPr>
      <w:r>
        <w:continuationSeparator/>
      </w:r>
    </w:p>
  </w:endnote>
  <w:endnote w:type="continuationNotice" w:id="1">
    <w:p w14:paraId="628EE393" w14:textId="77777777" w:rsidR="007F2EB8" w:rsidRDefault="007F2EB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tandardSymL">
    <w:altName w:val="Calibri"/>
    <w:panose1 w:val="00000000000000000000"/>
    <w:charset w:val="00"/>
    <w:family w:val="auto"/>
    <w:notTrueType/>
    <w:pitch w:val="default"/>
    <w:sig w:usb0="00000003" w:usb1="00000000" w:usb2="00000000" w:usb3="00000000" w:csb0="00000001" w:csb1="00000000"/>
  </w:font>
  <w:font w:name="VerdanaFID174HGSet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3B26" w14:textId="6197FF10" w:rsidR="009D7A50" w:rsidRPr="00822D21" w:rsidRDefault="0035285F">
    <w:pPr>
      <w:pStyle w:val="Voettekst"/>
      <w:pBdr>
        <w:top w:val="single" w:sz="4" w:space="1" w:color="auto"/>
      </w:pBdr>
      <w:ind w:right="-45"/>
      <w:rPr>
        <w:sz w:val="16"/>
        <w:szCs w:val="16"/>
        <w:lang w:val="nl-BE"/>
      </w:rPr>
    </w:pPr>
    <w:r w:rsidRPr="003346E6">
      <w:rPr>
        <w:noProof/>
        <w:lang w:val="nl-BE" w:eastAsia="nl-BE"/>
      </w:rPr>
      <w:drawing>
        <wp:inline distT="0" distB="0" distL="0" distR="0" wp14:anchorId="448E3769" wp14:editId="7FB1C322">
          <wp:extent cx="83820" cy="312420"/>
          <wp:effectExtent l="0" t="0" r="0" b="0"/>
          <wp:docPr id="502972321" name="Afbeelding 502972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83820" cy="312420"/>
                  </a:xfrm>
                  <a:prstGeom prst="rect">
                    <a:avLst/>
                  </a:prstGeom>
                  <a:noFill/>
                  <a:ln>
                    <a:noFill/>
                  </a:ln>
                </pic:spPr>
              </pic:pic>
            </a:graphicData>
          </a:graphic>
        </wp:inline>
      </w:drawing>
    </w:r>
    <w:r w:rsidR="009D7A50" w:rsidRPr="00822D21">
      <w:rPr>
        <w:sz w:val="16"/>
        <w:szCs w:val="16"/>
        <w:lang w:val="nl-BE"/>
      </w:rPr>
      <w:tab/>
    </w:r>
    <w:r w:rsidR="009D7A50" w:rsidRPr="00822D21">
      <w:rPr>
        <w:sz w:val="16"/>
        <w:szCs w:val="16"/>
        <w:lang w:val="nl-BE"/>
      </w:rPr>
      <w:tab/>
      <w:t xml:space="preserve">pagina </w:t>
    </w:r>
    <w:r w:rsidR="009D7A50" w:rsidRPr="00822D21">
      <w:rPr>
        <w:rStyle w:val="Paginanummer"/>
        <w:sz w:val="16"/>
        <w:szCs w:val="16"/>
      </w:rPr>
      <w:fldChar w:fldCharType="begin"/>
    </w:r>
    <w:r w:rsidR="009D7A50" w:rsidRPr="00822D21">
      <w:rPr>
        <w:rStyle w:val="Paginanummer"/>
        <w:sz w:val="16"/>
        <w:szCs w:val="16"/>
      </w:rPr>
      <w:instrText xml:space="preserve"> PAGE </w:instrText>
    </w:r>
    <w:r w:rsidR="009D7A50" w:rsidRPr="00822D21">
      <w:rPr>
        <w:rStyle w:val="Paginanummer"/>
        <w:sz w:val="16"/>
        <w:szCs w:val="16"/>
      </w:rPr>
      <w:fldChar w:fldCharType="separate"/>
    </w:r>
    <w:r w:rsidR="004E037E">
      <w:rPr>
        <w:rStyle w:val="Paginanummer"/>
        <w:noProof/>
        <w:sz w:val="16"/>
        <w:szCs w:val="16"/>
      </w:rPr>
      <w:t>166</w:t>
    </w:r>
    <w:r w:rsidR="009D7A50" w:rsidRPr="00822D21">
      <w:rPr>
        <w:rStyle w:val="Paginanummer"/>
        <w:sz w:val="16"/>
        <w:szCs w:val="16"/>
      </w:rPr>
      <w:fldChar w:fldCharType="end"/>
    </w:r>
    <w:r w:rsidR="009D7A50" w:rsidRPr="00822D21">
      <w:rPr>
        <w:rStyle w:val="Paginanummer"/>
        <w:sz w:val="16"/>
        <w:szCs w:val="16"/>
      </w:rPr>
      <w:t xml:space="preserve"> van </w:t>
    </w:r>
    <w:r w:rsidR="009D7A50" w:rsidRPr="00822D21">
      <w:rPr>
        <w:rStyle w:val="Paginanummer"/>
        <w:sz w:val="16"/>
        <w:szCs w:val="16"/>
      </w:rPr>
      <w:fldChar w:fldCharType="begin"/>
    </w:r>
    <w:r w:rsidR="009D7A50" w:rsidRPr="00822D21">
      <w:rPr>
        <w:rStyle w:val="Paginanummer"/>
        <w:sz w:val="16"/>
        <w:szCs w:val="16"/>
      </w:rPr>
      <w:instrText xml:space="preserve"> NUMPAGES </w:instrText>
    </w:r>
    <w:r w:rsidR="009D7A50" w:rsidRPr="00822D21">
      <w:rPr>
        <w:rStyle w:val="Paginanummer"/>
        <w:sz w:val="16"/>
        <w:szCs w:val="16"/>
      </w:rPr>
      <w:fldChar w:fldCharType="separate"/>
    </w:r>
    <w:r w:rsidR="004E037E">
      <w:rPr>
        <w:rStyle w:val="Paginanummer"/>
        <w:noProof/>
        <w:sz w:val="16"/>
        <w:szCs w:val="16"/>
      </w:rPr>
      <w:t>213</w:t>
    </w:r>
    <w:r w:rsidR="009D7A50" w:rsidRPr="00822D21">
      <w:rPr>
        <w:rStyle w:val="Paginanumm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327B" w14:textId="44D14399" w:rsidR="009D7A50" w:rsidRPr="00822D21" w:rsidRDefault="0035285F" w:rsidP="004C1C40">
    <w:pPr>
      <w:pStyle w:val="Voettekst"/>
      <w:pBdr>
        <w:top w:val="single" w:sz="4" w:space="1" w:color="auto"/>
      </w:pBdr>
      <w:tabs>
        <w:tab w:val="clear" w:pos="9071"/>
        <w:tab w:val="right" w:pos="13325"/>
      </w:tabs>
      <w:ind w:right="-45"/>
      <w:rPr>
        <w:sz w:val="16"/>
        <w:szCs w:val="16"/>
        <w:lang w:val="nl-BE"/>
      </w:rPr>
    </w:pPr>
    <w:r w:rsidRPr="003346E6">
      <w:rPr>
        <w:noProof/>
        <w:lang w:val="nl-BE" w:eastAsia="nl-BE"/>
      </w:rPr>
      <w:drawing>
        <wp:inline distT="0" distB="0" distL="0" distR="0" wp14:anchorId="1EF09987" wp14:editId="2508271D">
          <wp:extent cx="83820" cy="312420"/>
          <wp:effectExtent l="0" t="0" r="0" b="0"/>
          <wp:docPr id="1532186930" name="Afbeelding 1532186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83820" cy="312420"/>
                  </a:xfrm>
                  <a:prstGeom prst="rect">
                    <a:avLst/>
                  </a:prstGeom>
                  <a:noFill/>
                  <a:ln>
                    <a:noFill/>
                  </a:ln>
                </pic:spPr>
              </pic:pic>
            </a:graphicData>
          </a:graphic>
        </wp:inline>
      </w:drawing>
    </w:r>
    <w:r w:rsidR="009D7A50" w:rsidRPr="00822D21">
      <w:rPr>
        <w:sz w:val="16"/>
        <w:szCs w:val="16"/>
        <w:lang w:val="nl-BE"/>
      </w:rPr>
      <w:tab/>
    </w:r>
    <w:r w:rsidR="009D7A50" w:rsidRPr="00822D21">
      <w:rPr>
        <w:sz w:val="16"/>
        <w:szCs w:val="16"/>
        <w:lang w:val="nl-BE"/>
      </w:rPr>
      <w:tab/>
      <w:t xml:space="preserve">pagina </w:t>
    </w:r>
    <w:r w:rsidR="009D7A50" w:rsidRPr="00822D21">
      <w:rPr>
        <w:rStyle w:val="Paginanummer"/>
        <w:sz w:val="16"/>
        <w:szCs w:val="16"/>
      </w:rPr>
      <w:fldChar w:fldCharType="begin"/>
    </w:r>
    <w:r w:rsidR="009D7A50" w:rsidRPr="00822D21">
      <w:rPr>
        <w:rStyle w:val="Paginanummer"/>
        <w:sz w:val="16"/>
        <w:szCs w:val="16"/>
      </w:rPr>
      <w:instrText xml:space="preserve"> PAGE </w:instrText>
    </w:r>
    <w:r w:rsidR="009D7A50" w:rsidRPr="00822D21">
      <w:rPr>
        <w:rStyle w:val="Paginanummer"/>
        <w:sz w:val="16"/>
        <w:szCs w:val="16"/>
      </w:rPr>
      <w:fldChar w:fldCharType="separate"/>
    </w:r>
    <w:r w:rsidR="004E037E">
      <w:rPr>
        <w:rStyle w:val="Paginanummer"/>
        <w:noProof/>
        <w:sz w:val="16"/>
        <w:szCs w:val="16"/>
      </w:rPr>
      <w:t>202</w:t>
    </w:r>
    <w:r w:rsidR="009D7A50" w:rsidRPr="00822D21">
      <w:rPr>
        <w:rStyle w:val="Paginanummer"/>
        <w:sz w:val="16"/>
        <w:szCs w:val="16"/>
      </w:rPr>
      <w:fldChar w:fldCharType="end"/>
    </w:r>
    <w:r w:rsidR="009D7A50" w:rsidRPr="00822D21">
      <w:rPr>
        <w:rStyle w:val="Paginanummer"/>
        <w:sz w:val="16"/>
        <w:szCs w:val="16"/>
      </w:rPr>
      <w:t xml:space="preserve"> van </w:t>
    </w:r>
    <w:r w:rsidR="009D7A50" w:rsidRPr="00822D21">
      <w:rPr>
        <w:rStyle w:val="Paginanummer"/>
        <w:sz w:val="16"/>
        <w:szCs w:val="16"/>
      </w:rPr>
      <w:fldChar w:fldCharType="begin"/>
    </w:r>
    <w:r w:rsidR="009D7A50" w:rsidRPr="00822D21">
      <w:rPr>
        <w:rStyle w:val="Paginanummer"/>
        <w:sz w:val="16"/>
        <w:szCs w:val="16"/>
      </w:rPr>
      <w:instrText xml:space="preserve"> NUMPAGES </w:instrText>
    </w:r>
    <w:r w:rsidR="009D7A50" w:rsidRPr="00822D21">
      <w:rPr>
        <w:rStyle w:val="Paginanummer"/>
        <w:sz w:val="16"/>
        <w:szCs w:val="16"/>
      </w:rPr>
      <w:fldChar w:fldCharType="separate"/>
    </w:r>
    <w:r w:rsidR="004E037E">
      <w:rPr>
        <w:rStyle w:val="Paginanummer"/>
        <w:noProof/>
        <w:sz w:val="16"/>
        <w:szCs w:val="16"/>
      </w:rPr>
      <w:t>213</w:t>
    </w:r>
    <w:r w:rsidR="009D7A50" w:rsidRPr="00822D21">
      <w:rPr>
        <w:rStyle w:val="Paginanummer"/>
        <w:sz w:val="16"/>
        <w:szCs w:val="16"/>
      </w:rPr>
      <w:fldChar w:fldCharType="end"/>
    </w:r>
  </w:p>
  <w:p w14:paraId="21968076" w14:textId="77777777" w:rsidR="009D7A50" w:rsidRPr="004C1C40" w:rsidRDefault="009D7A50" w:rsidP="004C1C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3543" w14:textId="5D536E93" w:rsidR="009D7A50" w:rsidRPr="00822D21" w:rsidRDefault="0035285F" w:rsidP="004C1C40">
    <w:pPr>
      <w:pStyle w:val="Voettekst"/>
      <w:pBdr>
        <w:top w:val="single" w:sz="4" w:space="1" w:color="auto"/>
      </w:pBdr>
      <w:ind w:right="-45"/>
      <w:rPr>
        <w:sz w:val="16"/>
        <w:szCs w:val="16"/>
        <w:lang w:val="nl-BE"/>
      </w:rPr>
    </w:pPr>
    <w:r w:rsidRPr="003346E6">
      <w:rPr>
        <w:noProof/>
        <w:lang w:val="nl-BE" w:eastAsia="nl-BE"/>
      </w:rPr>
      <w:drawing>
        <wp:inline distT="0" distB="0" distL="0" distR="0" wp14:anchorId="0F3E967B" wp14:editId="73F01B47">
          <wp:extent cx="83820" cy="31242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83820" cy="312420"/>
                  </a:xfrm>
                  <a:prstGeom prst="rect">
                    <a:avLst/>
                  </a:prstGeom>
                  <a:noFill/>
                  <a:ln>
                    <a:noFill/>
                  </a:ln>
                </pic:spPr>
              </pic:pic>
            </a:graphicData>
          </a:graphic>
        </wp:inline>
      </w:drawing>
    </w:r>
    <w:r w:rsidR="009D7A50" w:rsidRPr="00822D21">
      <w:rPr>
        <w:sz w:val="16"/>
        <w:szCs w:val="16"/>
        <w:lang w:val="nl-BE"/>
      </w:rPr>
      <w:tab/>
    </w:r>
    <w:r w:rsidR="009D7A50" w:rsidRPr="00822D21">
      <w:rPr>
        <w:sz w:val="16"/>
        <w:szCs w:val="16"/>
        <w:lang w:val="nl-BE"/>
      </w:rPr>
      <w:tab/>
      <w:t xml:space="preserve">pagina </w:t>
    </w:r>
    <w:r w:rsidR="009D7A50" w:rsidRPr="00822D21">
      <w:rPr>
        <w:rStyle w:val="Paginanummer"/>
        <w:sz w:val="16"/>
        <w:szCs w:val="16"/>
      </w:rPr>
      <w:fldChar w:fldCharType="begin"/>
    </w:r>
    <w:r w:rsidR="009D7A50" w:rsidRPr="00822D21">
      <w:rPr>
        <w:rStyle w:val="Paginanummer"/>
        <w:sz w:val="16"/>
        <w:szCs w:val="16"/>
      </w:rPr>
      <w:instrText xml:space="preserve"> PAGE </w:instrText>
    </w:r>
    <w:r w:rsidR="009D7A50" w:rsidRPr="00822D21">
      <w:rPr>
        <w:rStyle w:val="Paginanummer"/>
        <w:sz w:val="16"/>
        <w:szCs w:val="16"/>
      </w:rPr>
      <w:fldChar w:fldCharType="separate"/>
    </w:r>
    <w:r w:rsidR="00026F56">
      <w:rPr>
        <w:rStyle w:val="Paginanummer"/>
        <w:noProof/>
        <w:sz w:val="16"/>
        <w:szCs w:val="16"/>
      </w:rPr>
      <w:t>213</w:t>
    </w:r>
    <w:r w:rsidR="009D7A50" w:rsidRPr="00822D21">
      <w:rPr>
        <w:rStyle w:val="Paginanummer"/>
        <w:sz w:val="16"/>
        <w:szCs w:val="16"/>
      </w:rPr>
      <w:fldChar w:fldCharType="end"/>
    </w:r>
    <w:r w:rsidR="009D7A50" w:rsidRPr="00822D21">
      <w:rPr>
        <w:rStyle w:val="Paginanummer"/>
        <w:sz w:val="16"/>
        <w:szCs w:val="16"/>
      </w:rPr>
      <w:t xml:space="preserve"> van </w:t>
    </w:r>
    <w:r w:rsidR="009D7A50" w:rsidRPr="00822D21">
      <w:rPr>
        <w:rStyle w:val="Paginanummer"/>
        <w:sz w:val="16"/>
        <w:szCs w:val="16"/>
      </w:rPr>
      <w:fldChar w:fldCharType="begin"/>
    </w:r>
    <w:r w:rsidR="009D7A50" w:rsidRPr="00822D21">
      <w:rPr>
        <w:rStyle w:val="Paginanummer"/>
        <w:sz w:val="16"/>
        <w:szCs w:val="16"/>
      </w:rPr>
      <w:instrText xml:space="preserve"> NUMPAGES </w:instrText>
    </w:r>
    <w:r w:rsidR="009D7A50" w:rsidRPr="00822D21">
      <w:rPr>
        <w:rStyle w:val="Paginanummer"/>
        <w:sz w:val="16"/>
        <w:szCs w:val="16"/>
      </w:rPr>
      <w:fldChar w:fldCharType="separate"/>
    </w:r>
    <w:r w:rsidR="00026F56">
      <w:rPr>
        <w:rStyle w:val="Paginanummer"/>
        <w:noProof/>
        <w:sz w:val="16"/>
        <w:szCs w:val="16"/>
      </w:rPr>
      <w:t>213</w:t>
    </w:r>
    <w:r w:rsidR="009D7A50" w:rsidRPr="00822D21">
      <w:rPr>
        <w:rStyle w:val="Paginanummer"/>
        <w:sz w:val="16"/>
        <w:szCs w:val="16"/>
      </w:rPr>
      <w:fldChar w:fldCharType="end"/>
    </w:r>
  </w:p>
  <w:p w14:paraId="6B91F320" w14:textId="77777777" w:rsidR="009D7A50" w:rsidRPr="004C1C40" w:rsidRDefault="009D7A50" w:rsidP="004C1C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A3838" w14:textId="77777777" w:rsidR="007F2EB8" w:rsidRDefault="007F2EB8">
      <w:pPr>
        <w:spacing w:before="0" w:after="0"/>
      </w:pPr>
      <w:r>
        <w:separator/>
      </w:r>
    </w:p>
  </w:footnote>
  <w:footnote w:type="continuationSeparator" w:id="0">
    <w:p w14:paraId="1C82729A" w14:textId="77777777" w:rsidR="007F2EB8" w:rsidRDefault="007F2EB8">
      <w:pPr>
        <w:spacing w:before="0" w:after="0"/>
      </w:pPr>
      <w:r>
        <w:continuationSeparator/>
      </w:r>
    </w:p>
  </w:footnote>
  <w:footnote w:type="continuationNotice" w:id="1">
    <w:p w14:paraId="06809F4C" w14:textId="77777777" w:rsidR="007F2EB8" w:rsidRDefault="007F2EB8">
      <w:pPr>
        <w:spacing w:before="0" w:after="0"/>
      </w:pPr>
    </w:p>
  </w:footnote>
  <w:footnote w:id="2">
    <w:p w14:paraId="5EB860AB" w14:textId="77777777" w:rsidR="009D7A50" w:rsidRPr="00481835" w:rsidRDefault="009D7A50">
      <w:pPr>
        <w:pStyle w:val="Voetnoottekst"/>
        <w:rPr>
          <w:lang w:val="nl-BE"/>
        </w:rPr>
      </w:pPr>
      <w:r>
        <w:rPr>
          <w:rStyle w:val="Voetnootmarkering"/>
        </w:rPr>
        <w:footnoteRef/>
      </w:r>
      <w:r>
        <w:t xml:space="preserve"> </w:t>
      </w:r>
      <w:r>
        <w:rPr>
          <w:lang w:val="nl-BE"/>
        </w:rPr>
        <w:t>Sectoraal akkoord van 8 april 2020 voor lokale besturen</w:t>
      </w:r>
    </w:p>
  </w:footnote>
  <w:footnote w:id="3">
    <w:p w14:paraId="6A6EC764" w14:textId="38E8C923" w:rsidR="007859E5" w:rsidRPr="005E53C4" w:rsidRDefault="007859E5">
      <w:pPr>
        <w:pStyle w:val="Voetnoottekst"/>
        <w:rPr>
          <w:sz w:val="16"/>
          <w:szCs w:val="16"/>
          <w:lang w:val="nl-BE"/>
        </w:rPr>
      </w:pPr>
      <w:r w:rsidRPr="005E53C4">
        <w:rPr>
          <w:rStyle w:val="Voetnootmarkering"/>
          <w:sz w:val="16"/>
          <w:szCs w:val="16"/>
        </w:rPr>
        <w:footnoteRef/>
      </w:r>
      <w:r w:rsidRPr="005E53C4">
        <w:rPr>
          <w:sz w:val="16"/>
          <w:szCs w:val="16"/>
        </w:rPr>
        <w:t xml:space="preserve"> </w:t>
      </w:r>
      <w:r w:rsidRPr="005E53C4">
        <w:rPr>
          <w:sz w:val="16"/>
          <w:szCs w:val="16"/>
          <w:lang w:val="nl-BE"/>
        </w:rPr>
        <w:t>Enkel van toepassing op periodes/ dagen van afwezigheid</w:t>
      </w:r>
    </w:p>
  </w:footnote>
  <w:footnote w:id="4">
    <w:p w14:paraId="1D2FB200" w14:textId="77777777" w:rsidR="007859E5" w:rsidRPr="005E53C4" w:rsidRDefault="007859E5" w:rsidP="00A36C91">
      <w:pPr>
        <w:pStyle w:val="Voetnoottekst"/>
        <w:rPr>
          <w:sz w:val="16"/>
          <w:szCs w:val="16"/>
          <w:lang w:val="nl-BE"/>
        </w:rPr>
      </w:pPr>
      <w:r w:rsidRPr="005E53C4">
        <w:rPr>
          <w:rStyle w:val="Voetnootmarkering"/>
          <w:sz w:val="16"/>
          <w:szCs w:val="16"/>
        </w:rPr>
        <w:footnoteRef/>
      </w:r>
      <w:r w:rsidRPr="005E53C4">
        <w:rPr>
          <w:sz w:val="16"/>
          <w:szCs w:val="16"/>
        </w:rPr>
        <w:t xml:space="preserve"> </w:t>
      </w:r>
      <w:r w:rsidRPr="005E53C4">
        <w:rPr>
          <w:sz w:val="16"/>
          <w:szCs w:val="16"/>
          <w:lang w:val="nl-BE"/>
        </w:rPr>
        <w:t>Enkel van toepassing op periodes/ dagen van afwezigheid</w:t>
      </w:r>
    </w:p>
  </w:footnote>
  <w:footnote w:id="5">
    <w:p w14:paraId="40BC2BF5" w14:textId="77777777" w:rsidR="007859E5" w:rsidRPr="005E53C4" w:rsidRDefault="007859E5" w:rsidP="007859E5">
      <w:pPr>
        <w:pStyle w:val="Voetnoottekst"/>
        <w:rPr>
          <w:sz w:val="16"/>
          <w:szCs w:val="16"/>
          <w:lang w:val="nl-BE"/>
        </w:rPr>
      </w:pPr>
      <w:r w:rsidRPr="005E53C4">
        <w:rPr>
          <w:rStyle w:val="Voetnootmarkering"/>
          <w:sz w:val="16"/>
          <w:szCs w:val="16"/>
        </w:rPr>
        <w:footnoteRef/>
      </w:r>
      <w:r w:rsidRPr="005E53C4">
        <w:rPr>
          <w:sz w:val="16"/>
          <w:szCs w:val="16"/>
        </w:rPr>
        <w:t xml:space="preserve"> </w:t>
      </w:r>
      <w:r w:rsidRPr="005E53C4">
        <w:rPr>
          <w:sz w:val="16"/>
          <w:szCs w:val="16"/>
          <w:lang w:val="nl-BE"/>
        </w:rPr>
        <w:t>Enkel van toepassing op periodes/ dagen van afwezigheid</w:t>
      </w:r>
    </w:p>
  </w:footnote>
  <w:footnote w:id="6">
    <w:p w14:paraId="5537021E" w14:textId="77777777" w:rsidR="007A71B9" w:rsidRPr="005E53C4" w:rsidRDefault="007A71B9" w:rsidP="007A71B9">
      <w:pPr>
        <w:pStyle w:val="Voetnoottekst"/>
        <w:rPr>
          <w:sz w:val="16"/>
          <w:szCs w:val="16"/>
          <w:lang w:val="nl-BE"/>
        </w:rPr>
      </w:pPr>
      <w:r w:rsidRPr="005E53C4">
        <w:rPr>
          <w:rStyle w:val="Voetnootmarkering"/>
          <w:sz w:val="16"/>
          <w:szCs w:val="16"/>
        </w:rPr>
        <w:footnoteRef/>
      </w:r>
      <w:r w:rsidRPr="005E53C4">
        <w:rPr>
          <w:sz w:val="16"/>
          <w:szCs w:val="16"/>
        </w:rPr>
        <w:t xml:space="preserve"> </w:t>
      </w:r>
      <w:r w:rsidRPr="005E53C4">
        <w:rPr>
          <w:sz w:val="16"/>
          <w:szCs w:val="16"/>
          <w:lang w:val="nl-BE"/>
        </w:rPr>
        <w:t>Enkel van toepassing op periodes/ dagen van afwezigheid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86D8" w14:textId="056DA37A" w:rsidR="009329AE" w:rsidRPr="00604FDA" w:rsidRDefault="00604FDA" w:rsidP="00604FDA">
    <w:pPr>
      <w:pStyle w:val="Koptekst"/>
    </w:pPr>
    <w:r w:rsidRPr="000D65C6">
      <w:rPr>
        <w:rFonts w:ascii="Times New Roman" w:hAnsi="Times New Roman"/>
        <w:noProof/>
        <w:szCs w:val="24"/>
        <w:lang w:val="nl-BE" w:eastAsia="nl-BE"/>
      </w:rPr>
      <w:drawing>
        <wp:inline distT="0" distB="0" distL="0" distR="0" wp14:anchorId="5A251FD7" wp14:editId="30897A88">
          <wp:extent cx="1628775" cy="630255"/>
          <wp:effectExtent l="0" t="0" r="0" b="0"/>
          <wp:docPr id="882758693" name="Afbeelding 882758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5936" cy="63689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0A4F" w14:textId="57F9DDCE" w:rsidR="009D7A50" w:rsidRPr="00822D21" w:rsidRDefault="00604FDA" w:rsidP="00604FDA">
    <w:pPr>
      <w:pStyle w:val="Koptekst"/>
      <w:pBdr>
        <w:bottom w:val="single" w:sz="4" w:space="25" w:color="auto"/>
      </w:pBdr>
      <w:tabs>
        <w:tab w:val="clear" w:pos="4536"/>
        <w:tab w:val="center" w:pos="2835"/>
      </w:tabs>
      <w:rPr>
        <w:sz w:val="16"/>
        <w:szCs w:val="16"/>
        <w:lang w:val="nl-BE"/>
      </w:rPr>
    </w:pPr>
    <w:r w:rsidRPr="000D65C6">
      <w:rPr>
        <w:rFonts w:ascii="Times New Roman" w:hAnsi="Times New Roman"/>
        <w:noProof/>
        <w:szCs w:val="24"/>
        <w:lang w:val="nl-BE" w:eastAsia="nl-BE"/>
      </w:rPr>
      <w:drawing>
        <wp:inline distT="0" distB="0" distL="0" distR="0" wp14:anchorId="27BF1169" wp14:editId="44D1D65D">
          <wp:extent cx="1409700" cy="545483"/>
          <wp:effectExtent l="0" t="0" r="0" b="6985"/>
          <wp:docPr id="1265474007" name="Afbeelding 1265474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2277" cy="5464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98C1" w14:textId="16A5B5F5" w:rsidR="009D7A50" w:rsidRPr="00B04309" w:rsidRDefault="007A78C5" w:rsidP="000C126C">
    <w:pPr>
      <w:pStyle w:val="Koptekst"/>
      <w:pBdr>
        <w:bottom w:val="single" w:sz="4" w:space="9" w:color="auto"/>
      </w:pBdr>
      <w:tabs>
        <w:tab w:val="clear" w:pos="4536"/>
        <w:tab w:val="clear" w:pos="9072"/>
        <w:tab w:val="center" w:pos="8000"/>
        <w:tab w:val="right" w:pos="13325"/>
      </w:tabs>
      <w:rPr>
        <w:sz w:val="16"/>
        <w:szCs w:val="16"/>
        <w:lang w:val="nl-BE"/>
      </w:rPr>
    </w:pPr>
    <w:r w:rsidRPr="000D65C6">
      <w:rPr>
        <w:rFonts w:ascii="Times New Roman" w:hAnsi="Times New Roman"/>
        <w:noProof/>
        <w:szCs w:val="24"/>
        <w:lang w:val="nl-BE" w:eastAsia="nl-BE"/>
      </w:rPr>
      <w:drawing>
        <wp:inline distT="0" distB="0" distL="0" distR="0" wp14:anchorId="6E422D47" wp14:editId="7BCFDC40">
          <wp:extent cx="1571625" cy="608140"/>
          <wp:effectExtent l="0" t="0" r="0" b="1905"/>
          <wp:docPr id="1909282447" name="Afbeelding 1909282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1625" cy="60814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8303" w14:textId="77777777" w:rsidR="009D7A50" w:rsidRDefault="009D7A5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60DC" w14:textId="6520855F" w:rsidR="009D7A50" w:rsidRPr="00A33770" w:rsidRDefault="007A78C5" w:rsidP="000C126C">
    <w:pPr>
      <w:pStyle w:val="Koptekst"/>
      <w:pBdr>
        <w:bottom w:val="single" w:sz="4" w:space="13" w:color="auto"/>
      </w:pBdr>
      <w:tabs>
        <w:tab w:val="clear" w:pos="4536"/>
        <w:tab w:val="clear" w:pos="9072"/>
        <w:tab w:val="right" w:pos="8800"/>
        <w:tab w:val="right" w:pos="13325"/>
      </w:tabs>
      <w:rPr>
        <w:sz w:val="16"/>
        <w:szCs w:val="16"/>
        <w:lang w:val="nl-BE"/>
      </w:rPr>
    </w:pPr>
    <w:r w:rsidRPr="000D65C6">
      <w:rPr>
        <w:rFonts w:ascii="Times New Roman" w:hAnsi="Times New Roman"/>
        <w:noProof/>
        <w:szCs w:val="24"/>
        <w:lang w:val="nl-BE" w:eastAsia="nl-BE"/>
      </w:rPr>
      <w:drawing>
        <wp:inline distT="0" distB="0" distL="0" distR="0" wp14:anchorId="2BA97297" wp14:editId="1E9DE5F8">
          <wp:extent cx="1571625" cy="608140"/>
          <wp:effectExtent l="0" t="0" r="0" b="1905"/>
          <wp:docPr id="1662793558" name="Afbeelding 1662793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1625" cy="608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16B"/>
    <w:multiLevelType w:val="hybridMultilevel"/>
    <w:tmpl w:val="00AC1EA4"/>
    <w:lvl w:ilvl="0" w:tplc="773A4786">
      <w:start w:val="1"/>
      <w:numFmt w:val="decimal"/>
      <w:lvlText w:val="%1."/>
      <w:lvlJc w:val="left"/>
      <w:pPr>
        <w:ind w:left="72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 w15:restartNumberingAfterBreak="0">
    <w:nsid w:val="024D04D0"/>
    <w:multiLevelType w:val="hybridMultilevel"/>
    <w:tmpl w:val="909E60F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3241ABE"/>
    <w:multiLevelType w:val="hybridMultilevel"/>
    <w:tmpl w:val="A0928A1C"/>
    <w:lvl w:ilvl="0" w:tplc="4CD87B7A">
      <w:start w:val="1"/>
      <w:numFmt w:val="decimal"/>
      <w:lvlText w:val="%1."/>
      <w:lvlJc w:val="left"/>
      <w:pPr>
        <w:ind w:left="360" w:hanging="360"/>
      </w:pPr>
      <w:rPr>
        <w:rFonts w:hint="default"/>
      </w:rPr>
    </w:lvl>
    <w:lvl w:ilvl="1" w:tplc="08130001">
      <w:start w:val="1"/>
      <w:numFmt w:val="bullet"/>
      <w:lvlText w:val=""/>
      <w:lvlJc w:val="left"/>
      <w:pPr>
        <w:ind w:left="720" w:hanging="360"/>
      </w:pPr>
      <w:rPr>
        <w:rFonts w:ascii="Symbol" w:hAnsi="Symbol" w:hint="default"/>
      </w:rPr>
    </w:lvl>
    <w:lvl w:ilvl="2" w:tplc="08130001">
      <w:start w:val="1"/>
      <w:numFmt w:val="bullet"/>
      <w:lvlText w:val=""/>
      <w:lvlJc w:val="left"/>
      <w:pPr>
        <w:ind w:left="720" w:hanging="360"/>
      </w:pPr>
      <w:rPr>
        <w:rFonts w:ascii="Symbol" w:hAnsi="Symbol" w:hint="default"/>
      </w:rPr>
    </w:lvl>
    <w:lvl w:ilvl="3" w:tplc="0813000F">
      <w:start w:val="1"/>
      <w:numFmt w:val="decimal"/>
      <w:lvlText w:val="%4."/>
      <w:lvlJc w:val="left"/>
      <w:pPr>
        <w:ind w:left="2880" w:hanging="360"/>
      </w:pPr>
    </w:lvl>
    <w:lvl w:ilvl="4" w:tplc="DE2499DA">
      <w:start w:val="2"/>
      <w:numFmt w:val="bullet"/>
      <w:lvlText w:val="•"/>
      <w:lvlJc w:val="left"/>
      <w:pPr>
        <w:ind w:left="3948" w:hanging="708"/>
      </w:pPr>
      <w:rPr>
        <w:rFonts w:ascii="Arial" w:eastAsia="Times New Roman" w:hAnsi="Arial" w:cs="Arial" w:hint="default"/>
      </w:r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36F7453"/>
    <w:multiLevelType w:val="hybridMultilevel"/>
    <w:tmpl w:val="E0FEFBE8"/>
    <w:lvl w:ilvl="0" w:tplc="D8FA694A">
      <w:start w:val="1"/>
      <w:numFmt w:val="decimal"/>
      <w:lvlText w:val="%1."/>
      <w:lvlJc w:val="left"/>
      <w:pPr>
        <w:tabs>
          <w:tab w:val="num" w:pos="1211"/>
        </w:tabs>
        <w:ind w:left="1211"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3E50AB1"/>
    <w:multiLevelType w:val="hybridMultilevel"/>
    <w:tmpl w:val="9DF8C58A"/>
    <w:lvl w:ilvl="0" w:tplc="5DC606AA">
      <w:start w:val="1"/>
      <w:numFmt w:val="decimal"/>
      <w:lvlText w:val="%1."/>
      <w:lvlJc w:val="left"/>
      <w:pPr>
        <w:ind w:left="72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 w15:restartNumberingAfterBreak="0">
    <w:nsid w:val="04FA0FBE"/>
    <w:multiLevelType w:val="hybridMultilevel"/>
    <w:tmpl w:val="9B686AC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5E42B03"/>
    <w:multiLevelType w:val="hybridMultilevel"/>
    <w:tmpl w:val="B7FA5F8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83877DD"/>
    <w:multiLevelType w:val="hybridMultilevel"/>
    <w:tmpl w:val="C6D45E10"/>
    <w:lvl w:ilvl="0" w:tplc="0813000F">
      <w:start w:val="1"/>
      <w:numFmt w:val="decimal"/>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8" w15:restartNumberingAfterBreak="0">
    <w:nsid w:val="08902DC3"/>
    <w:multiLevelType w:val="hybridMultilevel"/>
    <w:tmpl w:val="B1FECE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09A11715"/>
    <w:multiLevelType w:val="hybridMultilevel"/>
    <w:tmpl w:val="4CB0782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09EA13ED"/>
    <w:multiLevelType w:val="hybridMultilevel"/>
    <w:tmpl w:val="2EEC64AA"/>
    <w:lvl w:ilvl="0" w:tplc="0413000F">
      <w:start w:val="1"/>
      <w:numFmt w:val="decimal"/>
      <w:lvlText w:val="%1."/>
      <w:lvlJc w:val="left"/>
      <w:pPr>
        <w:tabs>
          <w:tab w:val="num" w:pos="1211"/>
        </w:tabs>
        <w:ind w:left="1211" w:hanging="360"/>
      </w:pPr>
    </w:lvl>
    <w:lvl w:ilvl="1" w:tplc="04130019" w:tentative="1">
      <w:start w:val="1"/>
      <w:numFmt w:val="lowerLetter"/>
      <w:lvlText w:val="%2."/>
      <w:lvlJc w:val="left"/>
      <w:pPr>
        <w:tabs>
          <w:tab w:val="num" w:pos="1931"/>
        </w:tabs>
        <w:ind w:left="1931" w:hanging="360"/>
      </w:pPr>
    </w:lvl>
    <w:lvl w:ilvl="2" w:tplc="0413001B" w:tentative="1">
      <w:start w:val="1"/>
      <w:numFmt w:val="lowerRoman"/>
      <w:lvlText w:val="%3."/>
      <w:lvlJc w:val="right"/>
      <w:pPr>
        <w:tabs>
          <w:tab w:val="num" w:pos="2651"/>
        </w:tabs>
        <w:ind w:left="2651" w:hanging="180"/>
      </w:pPr>
    </w:lvl>
    <w:lvl w:ilvl="3" w:tplc="0413000F" w:tentative="1">
      <w:start w:val="1"/>
      <w:numFmt w:val="decimal"/>
      <w:lvlText w:val="%4."/>
      <w:lvlJc w:val="left"/>
      <w:pPr>
        <w:tabs>
          <w:tab w:val="num" w:pos="3371"/>
        </w:tabs>
        <w:ind w:left="3371" w:hanging="360"/>
      </w:pPr>
    </w:lvl>
    <w:lvl w:ilvl="4" w:tplc="04130019" w:tentative="1">
      <w:start w:val="1"/>
      <w:numFmt w:val="lowerLetter"/>
      <w:lvlText w:val="%5."/>
      <w:lvlJc w:val="left"/>
      <w:pPr>
        <w:tabs>
          <w:tab w:val="num" w:pos="4091"/>
        </w:tabs>
        <w:ind w:left="4091" w:hanging="360"/>
      </w:pPr>
    </w:lvl>
    <w:lvl w:ilvl="5" w:tplc="0413001B" w:tentative="1">
      <w:start w:val="1"/>
      <w:numFmt w:val="lowerRoman"/>
      <w:lvlText w:val="%6."/>
      <w:lvlJc w:val="right"/>
      <w:pPr>
        <w:tabs>
          <w:tab w:val="num" w:pos="4811"/>
        </w:tabs>
        <w:ind w:left="4811" w:hanging="180"/>
      </w:pPr>
    </w:lvl>
    <w:lvl w:ilvl="6" w:tplc="0413000F" w:tentative="1">
      <w:start w:val="1"/>
      <w:numFmt w:val="decimal"/>
      <w:lvlText w:val="%7."/>
      <w:lvlJc w:val="left"/>
      <w:pPr>
        <w:tabs>
          <w:tab w:val="num" w:pos="5531"/>
        </w:tabs>
        <w:ind w:left="5531" w:hanging="360"/>
      </w:pPr>
    </w:lvl>
    <w:lvl w:ilvl="7" w:tplc="04130019" w:tentative="1">
      <w:start w:val="1"/>
      <w:numFmt w:val="lowerLetter"/>
      <w:lvlText w:val="%8."/>
      <w:lvlJc w:val="left"/>
      <w:pPr>
        <w:tabs>
          <w:tab w:val="num" w:pos="6251"/>
        </w:tabs>
        <w:ind w:left="6251" w:hanging="360"/>
      </w:pPr>
    </w:lvl>
    <w:lvl w:ilvl="8" w:tplc="0413001B" w:tentative="1">
      <w:start w:val="1"/>
      <w:numFmt w:val="lowerRoman"/>
      <w:lvlText w:val="%9."/>
      <w:lvlJc w:val="right"/>
      <w:pPr>
        <w:tabs>
          <w:tab w:val="num" w:pos="6971"/>
        </w:tabs>
        <w:ind w:left="6971" w:hanging="180"/>
      </w:pPr>
    </w:lvl>
  </w:abstractNum>
  <w:abstractNum w:abstractNumId="11" w15:restartNumberingAfterBreak="0">
    <w:nsid w:val="0A161591"/>
    <w:multiLevelType w:val="hybridMultilevel"/>
    <w:tmpl w:val="FDBE1AF4"/>
    <w:lvl w:ilvl="0" w:tplc="7F08D2BE">
      <w:start w:val="3"/>
      <w:numFmt w:val="bullet"/>
      <w:lvlText w:val="-"/>
      <w:lvlJc w:val="left"/>
      <w:pPr>
        <w:ind w:left="1211" w:hanging="360"/>
      </w:pPr>
      <w:rPr>
        <w:rFonts w:ascii="Times New Roman" w:eastAsia="Times New Roman" w:hAnsi="Times New Roman" w:cs="Times New Roman" w:hint="default"/>
        <w:color w:val="auto"/>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12" w15:restartNumberingAfterBreak="0">
    <w:nsid w:val="0ACF5ECF"/>
    <w:multiLevelType w:val="hybridMultilevel"/>
    <w:tmpl w:val="0EE4B484"/>
    <w:lvl w:ilvl="0" w:tplc="08130001">
      <w:start w:val="1"/>
      <w:numFmt w:val="bullet"/>
      <w:lvlText w:val=""/>
      <w:lvlJc w:val="left"/>
      <w:pPr>
        <w:ind w:left="1571" w:hanging="360"/>
      </w:pPr>
      <w:rPr>
        <w:rFonts w:ascii="Symbol" w:hAnsi="Symbol"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13" w15:restartNumberingAfterBreak="0">
    <w:nsid w:val="0B394D55"/>
    <w:multiLevelType w:val="hybridMultilevel"/>
    <w:tmpl w:val="0BDAEEE0"/>
    <w:lvl w:ilvl="0" w:tplc="7B1EB73E">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0C3177B1"/>
    <w:multiLevelType w:val="hybridMultilevel"/>
    <w:tmpl w:val="EE9455D2"/>
    <w:lvl w:ilvl="0" w:tplc="7BE45F7A">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0CF42F8E"/>
    <w:multiLevelType w:val="hybridMultilevel"/>
    <w:tmpl w:val="36DABDCC"/>
    <w:lvl w:ilvl="0" w:tplc="AA4A426A">
      <w:start w:val="1"/>
      <w:numFmt w:val="decimal"/>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06B1BC8"/>
    <w:multiLevelType w:val="hybridMultilevel"/>
    <w:tmpl w:val="F4C25F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141C1FF3"/>
    <w:multiLevelType w:val="hybridMultilevel"/>
    <w:tmpl w:val="C7C42CB2"/>
    <w:lvl w:ilvl="0" w:tplc="E4728EC2">
      <w:start w:val="1"/>
      <w:numFmt w:val="bullet"/>
      <w:pStyle w:val="BEL"/>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AF3BEE"/>
    <w:multiLevelType w:val="hybridMultilevel"/>
    <w:tmpl w:val="BE2AE94E"/>
    <w:lvl w:ilvl="0" w:tplc="5372D236">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1607521D"/>
    <w:multiLevelType w:val="hybridMultilevel"/>
    <w:tmpl w:val="F70C1644"/>
    <w:lvl w:ilvl="0" w:tplc="7F08D2BE">
      <w:start w:val="3"/>
      <w:numFmt w:val="bullet"/>
      <w:lvlText w:val="-"/>
      <w:lvlJc w:val="left"/>
      <w:pPr>
        <w:ind w:left="1211" w:hanging="360"/>
      </w:pPr>
      <w:rPr>
        <w:rFonts w:ascii="Times New Roman" w:eastAsia="Times New Roman" w:hAnsi="Times New Roman" w:cs="Times New Roman" w:hint="default"/>
        <w:color w:val="auto"/>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20" w15:restartNumberingAfterBreak="0">
    <w:nsid w:val="160F65BC"/>
    <w:multiLevelType w:val="hybridMultilevel"/>
    <w:tmpl w:val="9B686A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6DA58EA"/>
    <w:multiLevelType w:val="hybridMultilevel"/>
    <w:tmpl w:val="B9E61D02"/>
    <w:lvl w:ilvl="0" w:tplc="BE3C8F9C">
      <w:start w:val="2"/>
      <w:numFmt w:val="bullet"/>
      <w:lvlText w:val="-"/>
      <w:lvlJc w:val="left"/>
      <w:pPr>
        <w:tabs>
          <w:tab w:val="num" w:pos="1211"/>
        </w:tabs>
        <w:ind w:left="1211" w:hanging="360"/>
      </w:pPr>
      <w:rPr>
        <w:rFonts w:ascii="Times New Roman" w:eastAsia="Times New Roman" w:hAnsi="Times New Roman" w:cs="Times New Roman" w:hint="default"/>
      </w:rPr>
    </w:lvl>
    <w:lvl w:ilvl="1" w:tplc="04130003" w:tentative="1">
      <w:start w:val="1"/>
      <w:numFmt w:val="bullet"/>
      <w:lvlText w:val="o"/>
      <w:lvlJc w:val="left"/>
      <w:pPr>
        <w:tabs>
          <w:tab w:val="num" w:pos="1931"/>
        </w:tabs>
        <w:ind w:left="1931" w:hanging="360"/>
      </w:pPr>
      <w:rPr>
        <w:rFonts w:ascii="Courier New" w:hAnsi="Courier New" w:cs="Courier New" w:hint="default"/>
      </w:rPr>
    </w:lvl>
    <w:lvl w:ilvl="2" w:tplc="04130005" w:tentative="1">
      <w:start w:val="1"/>
      <w:numFmt w:val="bullet"/>
      <w:lvlText w:val=""/>
      <w:lvlJc w:val="left"/>
      <w:pPr>
        <w:tabs>
          <w:tab w:val="num" w:pos="2651"/>
        </w:tabs>
        <w:ind w:left="2651" w:hanging="360"/>
      </w:pPr>
      <w:rPr>
        <w:rFonts w:ascii="Wingdings" w:hAnsi="Wingdings" w:hint="default"/>
      </w:rPr>
    </w:lvl>
    <w:lvl w:ilvl="3" w:tplc="04130001" w:tentative="1">
      <w:start w:val="1"/>
      <w:numFmt w:val="bullet"/>
      <w:lvlText w:val=""/>
      <w:lvlJc w:val="left"/>
      <w:pPr>
        <w:tabs>
          <w:tab w:val="num" w:pos="3371"/>
        </w:tabs>
        <w:ind w:left="3371" w:hanging="360"/>
      </w:pPr>
      <w:rPr>
        <w:rFonts w:ascii="Symbol" w:hAnsi="Symbol" w:hint="default"/>
      </w:rPr>
    </w:lvl>
    <w:lvl w:ilvl="4" w:tplc="04130003" w:tentative="1">
      <w:start w:val="1"/>
      <w:numFmt w:val="bullet"/>
      <w:lvlText w:val="o"/>
      <w:lvlJc w:val="left"/>
      <w:pPr>
        <w:tabs>
          <w:tab w:val="num" w:pos="4091"/>
        </w:tabs>
        <w:ind w:left="4091" w:hanging="360"/>
      </w:pPr>
      <w:rPr>
        <w:rFonts w:ascii="Courier New" w:hAnsi="Courier New" w:cs="Courier New" w:hint="default"/>
      </w:rPr>
    </w:lvl>
    <w:lvl w:ilvl="5" w:tplc="04130005" w:tentative="1">
      <w:start w:val="1"/>
      <w:numFmt w:val="bullet"/>
      <w:lvlText w:val=""/>
      <w:lvlJc w:val="left"/>
      <w:pPr>
        <w:tabs>
          <w:tab w:val="num" w:pos="4811"/>
        </w:tabs>
        <w:ind w:left="4811" w:hanging="360"/>
      </w:pPr>
      <w:rPr>
        <w:rFonts w:ascii="Wingdings" w:hAnsi="Wingdings" w:hint="default"/>
      </w:rPr>
    </w:lvl>
    <w:lvl w:ilvl="6" w:tplc="04130001" w:tentative="1">
      <w:start w:val="1"/>
      <w:numFmt w:val="bullet"/>
      <w:lvlText w:val=""/>
      <w:lvlJc w:val="left"/>
      <w:pPr>
        <w:tabs>
          <w:tab w:val="num" w:pos="5531"/>
        </w:tabs>
        <w:ind w:left="5531" w:hanging="360"/>
      </w:pPr>
      <w:rPr>
        <w:rFonts w:ascii="Symbol" w:hAnsi="Symbol" w:hint="default"/>
      </w:rPr>
    </w:lvl>
    <w:lvl w:ilvl="7" w:tplc="04130003" w:tentative="1">
      <w:start w:val="1"/>
      <w:numFmt w:val="bullet"/>
      <w:lvlText w:val="o"/>
      <w:lvlJc w:val="left"/>
      <w:pPr>
        <w:tabs>
          <w:tab w:val="num" w:pos="6251"/>
        </w:tabs>
        <w:ind w:left="6251" w:hanging="360"/>
      </w:pPr>
      <w:rPr>
        <w:rFonts w:ascii="Courier New" w:hAnsi="Courier New" w:cs="Courier New" w:hint="default"/>
      </w:rPr>
    </w:lvl>
    <w:lvl w:ilvl="8" w:tplc="04130005"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170B30C6"/>
    <w:multiLevelType w:val="hybridMultilevel"/>
    <w:tmpl w:val="C5FC076E"/>
    <w:lvl w:ilvl="0" w:tplc="0813000F">
      <w:start w:val="1"/>
      <w:numFmt w:val="decimal"/>
      <w:lvlText w:val="%1."/>
      <w:lvlJc w:val="left"/>
      <w:pPr>
        <w:ind w:left="1571" w:hanging="360"/>
      </w:pPr>
    </w:lvl>
    <w:lvl w:ilvl="1" w:tplc="08130019" w:tentative="1">
      <w:start w:val="1"/>
      <w:numFmt w:val="lowerLetter"/>
      <w:lvlText w:val="%2."/>
      <w:lvlJc w:val="left"/>
      <w:pPr>
        <w:ind w:left="2291" w:hanging="360"/>
      </w:pPr>
    </w:lvl>
    <w:lvl w:ilvl="2" w:tplc="0813001B" w:tentative="1">
      <w:start w:val="1"/>
      <w:numFmt w:val="lowerRoman"/>
      <w:lvlText w:val="%3."/>
      <w:lvlJc w:val="right"/>
      <w:pPr>
        <w:ind w:left="3011" w:hanging="180"/>
      </w:pPr>
    </w:lvl>
    <w:lvl w:ilvl="3" w:tplc="0813000F" w:tentative="1">
      <w:start w:val="1"/>
      <w:numFmt w:val="decimal"/>
      <w:lvlText w:val="%4."/>
      <w:lvlJc w:val="left"/>
      <w:pPr>
        <w:ind w:left="3731" w:hanging="360"/>
      </w:pPr>
    </w:lvl>
    <w:lvl w:ilvl="4" w:tplc="08130019" w:tentative="1">
      <w:start w:val="1"/>
      <w:numFmt w:val="lowerLetter"/>
      <w:lvlText w:val="%5."/>
      <w:lvlJc w:val="left"/>
      <w:pPr>
        <w:ind w:left="4451" w:hanging="360"/>
      </w:pPr>
    </w:lvl>
    <w:lvl w:ilvl="5" w:tplc="0813001B" w:tentative="1">
      <w:start w:val="1"/>
      <w:numFmt w:val="lowerRoman"/>
      <w:lvlText w:val="%6."/>
      <w:lvlJc w:val="right"/>
      <w:pPr>
        <w:ind w:left="5171" w:hanging="180"/>
      </w:pPr>
    </w:lvl>
    <w:lvl w:ilvl="6" w:tplc="0813000F" w:tentative="1">
      <w:start w:val="1"/>
      <w:numFmt w:val="decimal"/>
      <w:lvlText w:val="%7."/>
      <w:lvlJc w:val="left"/>
      <w:pPr>
        <w:ind w:left="5891" w:hanging="360"/>
      </w:pPr>
    </w:lvl>
    <w:lvl w:ilvl="7" w:tplc="08130019" w:tentative="1">
      <w:start w:val="1"/>
      <w:numFmt w:val="lowerLetter"/>
      <w:lvlText w:val="%8."/>
      <w:lvlJc w:val="left"/>
      <w:pPr>
        <w:ind w:left="6611" w:hanging="360"/>
      </w:pPr>
    </w:lvl>
    <w:lvl w:ilvl="8" w:tplc="0813001B" w:tentative="1">
      <w:start w:val="1"/>
      <w:numFmt w:val="lowerRoman"/>
      <w:lvlText w:val="%9."/>
      <w:lvlJc w:val="right"/>
      <w:pPr>
        <w:ind w:left="7331" w:hanging="180"/>
      </w:pPr>
    </w:lvl>
  </w:abstractNum>
  <w:abstractNum w:abstractNumId="23" w15:restartNumberingAfterBreak="0">
    <w:nsid w:val="174B4FD6"/>
    <w:multiLevelType w:val="hybridMultilevel"/>
    <w:tmpl w:val="5E740278"/>
    <w:lvl w:ilvl="0" w:tplc="08130001">
      <w:start w:val="1"/>
      <w:numFmt w:val="bullet"/>
      <w:lvlText w:val=""/>
      <w:lvlJc w:val="left"/>
      <w:pPr>
        <w:ind w:left="2062" w:hanging="360"/>
      </w:pPr>
      <w:rPr>
        <w:rFonts w:ascii="Symbol" w:hAnsi="Symbol" w:hint="default"/>
      </w:rPr>
    </w:lvl>
    <w:lvl w:ilvl="1" w:tplc="FFFFFFFF">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4" w15:restartNumberingAfterBreak="0">
    <w:nsid w:val="176E0F20"/>
    <w:multiLevelType w:val="hybridMultilevel"/>
    <w:tmpl w:val="F8EAF512"/>
    <w:lvl w:ilvl="0" w:tplc="FFFFFFFF">
      <w:start w:val="1"/>
      <w:numFmt w:val="bullet"/>
      <w:lvlText w:val="-"/>
      <w:lvlJc w:val="left"/>
      <w:pPr>
        <w:ind w:left="1211" w:hanging="360"/>
      </w:pPr>
      <w:rPr>
        <w:rFonts w:ascii="Times New Roman" w:eastAsia="Times New Roman" w:hAnsi="Times New Roman" w:cs="Times New Roman" w:hint="default"/>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25" w15:restartNumberingAfterBreak="0">
    <w:nsid w:val="18940F29"/>
    <w:multiLevelType w:val="hybridMultilevel"/>
    <w:tmpl w:val="80BABE46"/>
    <w:lvl w:ilvl="0" w:tplc="E202E338">
      <w:start w:val="1"/>
      <w:numFmt w:val="decimal"/>
      <w:lvlText w:val="%1."/>
      <w:lvlJc w:val="left"/>
      <w:pPr>
        <w:ind w:left="720" w:hanging="360"/>
      </w:pPr>
      <w:rPr>
        <w:rFonts w:ascii="Calibri" w:eastAsia="Calibri" w:hAnsi="Calibri" w:cs="Calibri" w:hint="default"/>
        <w:b w:val="0"/>
        <w:bCs w:val="0"/>
        <w:i w:val="0"/>
        <w:iCs w:val="0"/>
        <w:w w:val="100"/>
        <w:sz w:val="22"/>
        <w:szCs w:val="22"/>
        <w:lang w:val="nl-NL" w:eastAsia="en-US" w:bidi="ar-SA"/>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19341389"/>
    <w:multiLevelType w:val="hybridMultilevel"/>
    <w:tmpl w:val="07BAC1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95462F0"/>
    <w:multiLevelType w:val="hybridMultilevel"/>
    <w:tmpl w:val="2014F50E"/>
    <w:lvl w:ilvl="0" w:tplc="D9E4A9D0">
      <w:start w:val="1"/>
      <w:numFmt w:val="bullet"/>
      <w:pStyle w:val="BodyText5Numbered"/>
      <w:lvlText w:val="-"/>
      <w:lvlJc w:val="left"/>
      <w:pPr>
        <w:tabs>
          <w:tab w:val="num" w:pos="737"/>
        </w:tabs>
        <w:ind w:left="737" w:hanging="737"/>
      </w:pPr>
      <w:rPr>
        <w:rFonts w:hint="eastAsia"/>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A7F304A"/>
    <w:multiLevelType w:val="hybridMultilevel"/>
    <w:tmpl w:val="8C9CADEA"/>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1CC15C4E"/>
    <w:multiLevelType w:val="hybridMultilevel"/>
    <w:tmpl w:val="B7F4AD5C"/>
    <w:lvl w:ilvl="0" w:tplc="24D2E9A2">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1D3814A6"/>
    <w:multiLevelType w:val="hybridMultilevel"/>
    <w:tmpl w:val="85E0872E"/>
    <w:lvl w:ilvl="0" w:tplc="77C8B62E">
      <w:start w:val="1"/>
      <w:numFmt w:val="lowerLetter"/>
      <w:lvlText w:val="%1."/>
      <w:lvlJc w:val="left"/>
      <w:pPr>
        <w:ind w:left="1211" w:hanging="360"/>
      </w:pPr>
      <w:rPr>
        <w:rFonts w:hint="default"/>
      </w:rPr>
    </w:lvl>
    <w:lvl w:ilvl="1" w:tplc="08130019" w:tentative="1">
      <w:start w:val="1"/>
      <w:numFmt w:val="lowerLetter"/>
      <w:lvlText w:val="%2."/>
      <w:lvlJc w:val="left"/>
      <w:pPr>
        <w:ind w:left="1931" w:hanging="360"/>
      </w:pPr>
    </w:lvl>
    <w:lvl w:ilvl="2" w:tplc="0813001B" w:tentative="1">
      <w:start w:val="1"/>
      <w:numFmt w:val="lowerRoman"/>
      <w:lvlText w:val="%3."/>
      <w:lvlJc w:val="right"/>
      <w:pPr>
        <w:ind w:left="2651" w:hanging="180"/>
      </w:pPr>
    </w:lvl>
    <w:lvl w:ilvl="3" w:tplc="0813000F" w:tentative="1">
      <w:start w:val="1"/>
      <w:numFmt w:val="decimal"/>
      <w:lvlText w:val="%4."/>
      <w:lvlJc w:val="left"/>
      <w:pPr>
        <w:ind w:left="3371" w:hanging="360"/>
      </w:pPr>
    </w:lvl>
    <w:lvl w:ilvl="4" w:tplc="08130019" w:tentative="1">
      <w:start w:val="1"/>
      <w:numFmt w:val="lowerLetter"/>
      <w:lvlText w:val="%5."/>
      <w:lvlJc w:val="left"/>
      <w:pPr>
        <w:ind w:left="4091" w:hanging="360"/>
      </w:pPr>
    </w:lvl>
    <w:lvl w:ilvl="5" w:tplc="0813001B" w:tentative="1">
      <w:start w:val="1"/>
      <w:numFmt w:val="lowerRoman"/>
      <w:lvlText w:val="%6."/>
      <w:lvlJc w:val="right"/>
      <w:pPr>
        <w:ind w:left="4811" w:hanging="180"/>
      </w:pPr>
    </w:lvl>
    <w:lvl w:ilvl="6" w:tplc="0813000F" w:tentative="1">
      <w:start w:val="1"/>
      <w:numFmt w:val="decimal"/>
      <w:lvlText w:val="%7."/>
      <w:lvlJc w:val="left"/>
      <w:pPr>
        <w:ind w:left="5531" w:hanging="360"/>
      </w:pPr>
    </w:lvl>
    <w:lvl w:ilvl="7" w:tplc="08130019" w:tentative="1">
      <w:start w:val="1"/>
      <w:numFmt w:val="lowerLetter"/>
      <w:lvlText w:val="%8."/>
      <w:lvlJc w:val="left"/>
      <w:pPr>
        <w:ind w:left="6251" w:hanging="360"/>
      </w:pPr>
    </w:lvl>
    <w:lvl w:ilvl="8" w:tplc="0813001B" w:tentative="1">
      <w:start w:val="1"/>
      <w:numFmt w:val="lowerRoman"/>
      <w:lvlText w:val="%9."/>
      <w:lvlJc w:val="right"/>
      <w:pPr>
        <w:ind w:left="6971" w:hanging="180"/>
      </w:pPr>
    </w:lvl>
  </w:abstractNum>
  <w:abstractNum w:abstractNumId="31" w15:restartNumberingAfterBreak="0">
    <w:nsid w:val="1EA975B2"/>
    <w:multiLevelType w:val="hybridMultilevel"/>
    <w:tmpl w:val="F2BCA292"/>
    <w:lvl w:ilvl="0" w:tplc="106EB116">
      <w:start w:val="1"/>
      <w:numFmt w:val="decimal"/>
      <w:lvlText w:val="%1."/>
      <w:lvlJc w:val="left"/>
      <w:pPr>
        <w:ind w:left="360" w:hanging="360"/>
      </w:pPr>
      <w:rPr>
        <w:rFonts w:hint="default"/>
      </w:rPr>
    </w:lvl>
    <w:lvl w:ilvl="1" w:tplc="13E8EC9A">
      <w:start w:val="1"/>
      <w:numFmt w:val="lowerLetter"/>
      <w:lvlText w:val="%2)"/>
      <w:lvlJc w:val="left"/>
      <w:pPr>
        <w:ind w:left="1080" w:hanging="360"/>
      </w:pPr>
      <w:rPr>
        <w:rFonts w:hint="default"/>
      </w:r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1FAA6CE3"/>
    <w:multiLevelType w:val="hybridMultilevel"/>
    <w:tmpl w:val="54BC276E"/>
    <w:lvl w:ilvl="0" w:tplc="D7B0249C">
      <w:start w:val="1"/>
      <w:numFmt w:val="lowerLetter"/>
      <w:lvlText w:val="%1."/>
      <w:lvlJc w:val="left"/>
      <w:pPr>
        <w:tabs>
          <w:tab w:val="num" w:pos="1211"/>
        </w:tabs>
        <w:ind w:left="1211" w:hanging="360"/>
      </w:pPr>
      <w:rPr>
        <w:rFonts w:hint="default"/>
      </w:rPr>
    </w:lvl>
    <w:lvl w:ilvl="1" w:tplc="04130019" w:tentative="1">
      <w:start w:val="1"/>
      <w:numFmt w:val="lowerLetter"/>
      <w:lvlText w:val="%2."/>
      <w:lvlJc w:val="left"/>
      <w:pPr>
        <w:tabs>
          <w:tab w:val="num" w:pos="1211"/>
        </w:tabs>
        <w:ind w:left="1211" w:hanging="360"/>
      </w:pPr>
    </w:lvl>
    <w:lvl w:ilvl="2" w:tplc="0413001B" w:tentative="1">
      <w:start w:val="1"/>
      <w:numFmt w:val="lowerRoman"/>
      <w:lvlText w:val="%3."/>
      <w:lvlJc w:val="right"/>
      <w:pPr>
        <w:tabs>
          <w:tab w:val="num" w:pos="1931"/>
        </w:tabs>
        <w:ind w:left="1931" w:hanging="180"/>
      </w:pPr>
    </w:lvl>
    <w:lvl w:ilvl="3" w:tplc="0413000F" w:tentative="1">
      <w:start w:val="1"/>
      <w:numFmt w:val="decimal"/>
      <w:lvlText w:val="%4."/>
      <w:lvlJc w:val="left"/>
      <w:pPr>
        <w:tabs>
          <w:tab w:val="num" w:pos="2651"/>
        </w:tabs>
        <w:ind w:left="2651" w:hanging="360"/>
      </w:pPr>
    </w:lvl>
    <w:lvl w:ilvl="4" w:tplc="04130019" w:tentative="1">
      <w:start w:val="1"/>
      <w:numFmt w:val="lowerLetter"/>
      <w:lvlText w:val="%5."/>
      <w:lvlJc w:val="left"/>
      <w:pPr>
        <w:tabs>
          <w:tab w:val="num" w:pos="3371"/>
        </w:tabs>
        <w:ind w:left="3371" w:hanging="360"/>
      </w:pPr>
    </w:lvl>
    <w:lvl w:ilvl="5" w:tplc="0413001B" w:tentative="1">
      <w:start w:val="1"/>
      <w:numFmt w:val="lowerRoman"/>
      <w:lvlText w:val="%6."/>
      <w:lvlJc w:val="right"/>
      <w:pPr>
        <w:tabs>
          <w:tab w:val="num" w:pos="4091"/>
        </w:tabs>
        <w:ind w:left="4091" w:hanging="180"/>
      </w:pPr>
    </w:lvl>
    <w:lvl w:ilvl="6" w:tplc="0413000F" w:tentative="1">
      <w:start w:val="1"/>
      <w:numFmt w:val="decimal"/>
      <w:lvlText w:val="%7."/>
      <w:lvlJc w:val="left"/>
      <w:pPr>
        <w:tabs>
          <w:tab w:val="num" w:pos="4811"/>
        </w:tabs>
        <w:ind w:left="4811" w:hanging="360"/>
      </w:pPr>
    </w:lvl>
    <w:lvl w:ilvl="7" w:tplc="04130019" w:tentative="1">
      <w:start w:val="1"/>
      <w:numFmt w:val="lowerLetter"/>
      <w:lvlText w:val="%8."/>
      <w:lvlJc w:val="left"/>
      <w:pPr>
        <w:tabs>
          <w:tab w:val="num" w:pos="5531"/>
        </w:tabs>
        <w:ind w:left="5531" w:hanging="360"/>
      </w:pPr>
    </w:lvl>
    <w:lvl w:ilvl="8" w:tplc="0413001B" w:tentative="1">
      <w:start w:val="1"/>
      <w:numFmt w:val="lowerRoman"/>
      <w:lvlText w:val="%9."/>
      <w:lvlJc w:val="right"/>
      <w:pPr>
        <w:tabs>
          <w:tab w:val="num" w:pos="6251"/>
        </w:tabs>
        <w:ind w:left="6251" w:hanging="180"/>
      </w:pPr>
    </w:lvl>
  </w:abstractNum>
  <w:abstractNum w:abstractNumId="33" w15:restartNumberingAfterBreak="0">
    <w:nsid w:val="207F52B1"/>
    <w:multiLevelType w:val="hybridMultilevel"/>
    <w:tmpl w:val="89E81E2E"/>
    <w:lvl w:ilvl="0" w:tplc="08130019">
      <w:start w:val="1"/>
      <w:numFmt w:val="lowerLetter"/>
      <w:lvlText w:val="%1."/>
      <w:lvlJc w:val="left"/>
      <w:pPr>
        <w:tabs>
          <w:tab w:val="num" w:pos="1571"/>
        </w:tabs>
        <w:ind w:left="1571" w:hanging="360"/>
      </w:pPr>
    </w:lvl>
    <w:lvl w:ilvl="1" w:tplc="36BC46CA">
      <w:start w:val="1"/>
      <w:numFmt w:val="decimal"/>
      <w:lvlText w:val="%2."/>
      <w:lvlJc w:val="left"/>
      <w:pPr>
        <w:ind w:left="2291" w:hanging="360"/>
      </w:pPr>
      <w:rPr>
        <w:rFonts w:hint="default"/>
      </w:rPr>
    </w:lvl>
    <w:lvl w:ilvl="2" w:tplc="0813001B" w:tentative="1">
      <w:start w:val="1"/>
      <w:numFmt w:val="lowerRoman"/>
      <w:lvlText w:val="%3."/>
      <w:lvlJc w:val="right"/>
      <w:pPr>
        <w:tabs>
          <w:tab w:val="num" w:pos="3011"/>
        </w:tabs>
        <w:ind w:left="3011" w:hanging="180"/>
      </w:pPr>
    </w:lvl>
    <w:lvl w:ilvl="3" w:tplc="0813000F" w:tentative="1">
      <w:start w:val="1"/>
      <w:numFmt w:val="decimal"/>
      <w:lvlText w:val="%4."/>
      <w:lvlJc w:val="left"/>
      <w:pPr>
        <w:tabs>
          <w:tab w:val="num" w:pos="3731"/>
        </w:tabs>
        <w:ind w:left="3731" w:hanging="360"/>
      </w:pPr>
    </w:lvl>
    <w:lvl w:ilvl="4" w:tplc="08130019" w:tentative="1">
      <w:start w:val="1"/>
      <w:numFmt w:val="lowerLetter"/>
      <w:lvlText w:val="%5."/>
      <w:lvlJc w:val="left"/>
      <w:pPr>
        <w:tabs>
          <w:tab w:val="num" w:pos="4451"/>
        </w:tabs>
        <w:ind w:left="4451" w:hanging="360"/>
      </w:pPr>
    </w:lvl>
    <w:lvl w:ilvl="5" w:tplc="0813001B" w:tentative="1">
      <w:start w:val="1"/>
      <w:numFmt w:val="lowerRoman"/>
      <w:lvlText w:val="%6."/>
      <w:lvlJc w:val="right"/>
      <w:pPr>
        <w:tabs>
          <w:tab w:val="num" w:pos="5171"/>
        </w:tabs>
        <w:ind w:left="5171" w:hanging="180"/>
      </w:pPr>
    </w:lvl>
    <w:lvl w:ilvl="6" w:tplc="0813000F" w:tentative="1">
      <w:start w:val="1"/>
      <w:numFmt w:val="decimal"/>
      <w:lvlText w:val="%7."/>
      <w:lvlJc w:val="left"/>
      <w:pPr>
        <w:tabs>
          <w:tab w:val="num" w:pos="5891"/>
        </w:tabs>
        <w:ind w:left="5891" w:hanging="360"/>
      </w:pPr>
    </w:lvl>
    <w:lvl w:ilvl="7" w:tplc="08130019" w:tentative="1">
      <w:start w:val="1"/>
      <w:numFmt w:val="lowerLetter"/>
      <w:lvlText w:val="%8."/>
      <w:lvlJc w:val="left"/>
      <w:pPr>
        <w:tabs>
          <w:tab w:val="num" w:pos="6611"/>
        </w:tabs>
        <w:ind w:left="6611" w:hanging="360"/>
      </w:pPr>
    </w:lvl>
    <w:lvl w:ilvl="8" w:tplc="0813001B" w:tentative="1">
      <w:start w:val="1"/>
      <w:numFmt w:val="lowerRoman"/>
      <w:lvlText w:val="%9."/>
      <w:lvlJc w:val="right"/>
      <w:pPr>
        <w:tabs>
          <w:tab w:val="num" w:pos="7331"/>
        </w:tabs>
        <w:ind w:left="7331" w:hanging="180"/>
      </w:pPr>
    </w:lvl>
  </w:abstractNum>
  <w:abstractNum w:abstractNumId="34" w15:restartNumberingAfterBreak="0">
    <w:nsid w:val="22206F15"/>
    <w:multiLevelType w:val="hybridMultilevel"/>
    <w:tmpl w:val="84BED7E2"/>
    <w:lvl w:ilvl="0" w:tplc="D272186C">
      <w:start w:val="1"/>
      <w:numFmt w:val="none"/>
      <w:pStyle w:val="BESLUIT"/>
      <w:lvlText w:val="Besluit"/>
      <w:lvlJc w:val="left"/>
      <w:pPr>
        <w:tabs>
          <w:tab w:val="num" w:pos="720"/>
        </w:tabs>
        <w:ind w:left="1134" w:hanging="1134"/>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227051F0"/>
    <w:multiLevelType w:val="hybridMultilevel"/>
    <w:tmpl w:val="D4F0B5A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22B10970"/>
    <w:multiLevelType w:val="hybridMultilevel"/>
    <w:tmpl w:val="FA9A7296"/>
    <w:lvl w:ilvl="0" w:tplc="73C4909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2432448E"/>
    <w:multiLevelType w:val="hybridMultilevel"/>
    <w:tmpl w:val="4D40EDB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24D52D06"/>
    <w:multiLevelType w:val="hybridMultilevel"/>
    <w:tmpl w:val="D0CA8736"/>
    <w:lvl w:ilvl="0" w:tplc="E940C990">
      <w:start w:val="1"/>
      <w:numFmt w:val="decimal"/>
      <w:lvlText w:val="%1."/>
      <w:lvlJc w:val="left"/>
      <w:pPr>
        <w:ind w:left="72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9" w15:restartNumberingAfterBreak="0">
    <w:nsid w:val="25BF40AE"/>
    <w:multiLevelType w:val="hybridMultilevel"/>
    <w:tmpl w:val="4C829A82"/>
    <w:lvl w:ilvl="0" w:tplc="08130001">
      <w:start w:val="1"/>
      <w:numFmt w:val="bullet"/>
      <w:lvlText w:val=""/>
      <w:lvlJc w:val="left"/>
      <w:pPr>
        <w:ind w:left="1571" w:hanging="360"/>
      </w:pPr>
      <w:rPr>
        <w:rFonts w:ascii="Symbol" w:hAnsi="Symbol"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40" w15:restartNumberingAfterBreak="0">
    <w:nsid w:val="268458DD"/>
    <w:multiLevelType w:val="hybridMultilevel"/>
    <w:tmpl w:val="ABD230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26F952D7"/>
    <w:multiLevelType w:val="hybridMultilevel"/>
    <w:tmpl w:val="809A2FD8"/>
    <w:lvl w:ilvl="0" w:tplc="08130001">
      <w:start w:val="1"/>
      <w:numFmt w:val="bullet"/>
      <w:lvlText w:val=""/>
      <w:lvlJc w:val="left"/>
      <w:pPr>
        <w:ind w:left="1571" w:hanging="360"/>
      </w:pPr>
      <w:rPr>
        <w:rFonts w:ascii="Symbol" w:hAnsi="Symbol"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42" w15:restartNumberingAfterBreak="0">
    <w:nsid w:val="2888148C"/>
    <w:multiLevelType w:val="hybridMultilevel"/>
    <w:tmpl w:val="15EAF622"/>
    <w:lvl w:ilvl="0" w:tplc="FCA61D7A">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3" w15:restartNumberingAfterBreak="0">
    <w:nsid w:val="2D9D28C1"/>
    <w:multiLevelType w:val="hybridMultilevel"/>
    <w:tmpl w:val="4DEE20F8"/>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30CC34A3"/>
    <w:multiLevelType w:val="hybridMultilevel"/>
    <w:tmpl w:val="FF400848"/>
    <w:lvl w:ilvl="0" w:tplc="A1F81540">
      <w:start w:val="5"/>
      <w:numFmt w:val="decimal"/>
      <w:lvlText w:val="%1."/>
      <w:lvlJc w:val="left"/>
      <w:pPr>
        <w:ind w:left="360" w:hanging="360"/>
      </w:pPr>
      <w:rPr>
        <w:rFonts w:hint="default"/>
      </w:rPr>
    </w:lvl>
    <w:lvl w:ilvl="1" w:tplc="F488D11A">
      <w:start w:val="1"/>
      <w:numFmt w:val="lowerLetter"/>
      <w:lvlText w:val="%2)"/>
      <w:lvlJc w:val="left"/>
      <w:pPr>
        <w:ind w:left="1080" w:hanging="360"/>
      </w:pPr>
      <w:rPr>
        <w:rFonts w:hint="default"/>
      </w:r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5" w15:restartNumberingAfterBreak="0">
    <w:nsid w:val="31CB767C"/>
    <w:multiLevelType w:val="hybridMultilevel"/>
    <w:tmpl w:val="6F98A92C"/>
    <w:lvl w:ilvl="0" w:tplc="8B0A8C26">
      <w:start w:val="1"/>
      <w:numFmt w:val="decimal"/>
      <w:pStyle w:val="Lijstopsomteken2"/>
      <w:lvlText w:val="%1."/>
      <w:lvlJc w:val="left"/>
      <w:pPr>
        <w:tabs>
          <w:tab w:val="num" w:pos="644"/>
        </w:tabs>
        <w:ind w:left="644" w:hanging="360"/>
      </w:pPr>
    </w:lvl>
    <w:lvl w:ilvl="1" w:tplc="08130019">
      <w:start w:val="1"/>
      <w:numFmt w:val="lowerLetter"/>
      <w:lvlText w:val="%2."/>
      <w:lvlJc w:val="left"/>
      <w:pPr>
        <w:tabs>
          <w:tab w:val="num" w:pos="1364"/>
        </w:tabs>
        <w:ind w:left="1364" w:hanging="360"/>
      </w:pPr>
    </w:lvl>
    <w:lvl w:ilvl="2" w:tplc="0813001B">
      <w:start w:val="1"/>
      <w:numFmt w:val="lowerRoman"/>
      <w:lvlText w:val="%3."/>
      <w:lvlJc w:val="right"/>
      <w:pPr>
        <w:tabs>
          <w:tab w:val="num" w:pos="2084"/>
        </w:tabs>
        <w:ind w:left="2084" w:hanging="180"/>
      </w:pPr>
    </w:lvl>
    <w:lvl w:ilvl="3" w:tplc="0813000F" w:tentative="1">
      <w:start w:val="1"/>
      <w:numFmt w:val="decimal"/>
      <w:lvlText w:val="%4."/>
      <w:lvlJc w:val="left"/>
      <w:pPr>
        <w:tabs>
          <w:tab w:val="num" w:pos="2804"/>
        </w:tabs>
        <w:ind w:left="2804" w:hanging="360"/>
      </w:pPr>
    </w:lvl>
    <w:lvl w:ilvl="4" w:tplc="08130019" w:tentative="1">
      <w:start w:val="1"/>
      <w:numFmt w:val="lowerLetter"/>
      <w:lvlText w:val="%5."/>
      <w:lvlJc w:val="left"/>
      <w:pPr>
        <w:tabs>
          <w:tab w:val="num" w:pos="3524"/>
        </w:tabs>
        <w:ind w:left="3524" w:hanging="360"/>
      </w:pPr>
    </w:lvl>
    <w:lvl w:ilvl="5" w:tplc="0813001B" w:tentative="1">
      <w:start w:val="1"/>
      <w:numFmt w:val="lowerRoman"/>
      <w:lvlText w:val="%6."/>
      <w:lvlJc w:val="right"/>
      <w:pPr>
        <w:tabs>
          <w:tab w:val="num" w:pos="4244"/>
        </w:tabs>
        <w:ind w:left="4244" w:hanging="180"/>
      </w:pPr>
    </w:lvl>
    <w:lvl w:ilvl="6" w:tplc="0813000F" w:tentative="1">
      <w:start w:val="1"/>
      <w:numFmt w:val="decimal"/>
      <w:lvlText w:val="%7."/>
      <w:lvlJc w:val="left"/>
      <w:pPr>
        <w:tabs>
          <w:tab w:val="num" w:pos="4964"/>
        </w:tabs>
        <w:ind w:left="4964" w:hanging="360"/>
      </w:pPr>
    </w:lvl>
    <w:lvl w:ilvl="7" w:tplc="08130019" w:tentative="1">
      <w:start w:val="1"/>
      <w:numFmt w:val="lowerLetter"/>
      <w:lvlText w:val="%8."/>
      <w:lvlJc w:val="left"/>
      <w:pPr>
        <w:tabs>
          <w:tab w:val="num" w:pos="5684"/>
        </w:tabs>
        <w:ind w:left="5684" w:hanging="360"/>
      </w:pPr>
    </w:lvl>
    <w:lvl w:ilvl="8" w:tplc="0813001B" w:tentative="1">
      <w:start w:val="1"/>
      <w:numFmt w:val="lowerRoman"/>
      <w:lvlText w:val="%9."/>
      <w:lvlJc w:val="right"/>
      <w:pPr>
        <w:tabs>
          <w:tab w:val="num" w:pos="6404"/>
        </w:tabs>
        <w:ind w:left="6404" w:hanging="180"/>
      </w:pPr>
    </w:lvl>
  </w:abstractNum>
  <w:abstractNum w:abstractNumId="46" w15:restartNumberingAfterBreak="0">
    <w:nsid w:val="332F4DCD"/>
    <w:multiLevelType w:val="hybridMultilevel"/>
    <w:tmpl w:val="BDB684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E202E338">
      <w:start w:val="1"/>
      <w:numFmt w:val="decimal"/>
      <w:lvlText w:val="%5."/>
      <w:lvlJc w:val="left"/>
      <w:pPr>
        <w:ind w:left="720" w:hanging="360"/>
      </w:pPr>
      <w:rPr>
        <w:rFonts w:ascii="Calibri" w:eastAsia="Calibri" w:hAnsi="Calibri" w:cs="Calibri" w:hint="default"/>
        <w:b w:val="0"/>
        <w:bCs w:val="0"/>
        <w:i w:val="0"/>
        <w:iCs w:val="0"/>
        <w:w w:val="100"/>
        <w:sz w:val="22"/>
        <w:szCs w:val="22"/>
        <w:lang w:val="nl-NL" w:eastAsia="en-US" w:bidi="ar-SA"/>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39346AE"/>
    <w:multiLevelType w:val="hybridMultilevel"/>
    <w:tmpl w:val="65969774"/>
    <w:lvl w:ilvl="0" w:tplc="08130001">
      <w:start w:val="1"/>
      <w:numFmt w:val="bullet"/>
      <w:lvlText w:val=""/>
      <w:lvlJc w:val="left"/>
      <w:pPr>
        <w:ind w:left="1571" w:hanging="360"/>
      </w:pPr>
      <w:rPr>
        <w:rFonts w:ascii="Symbol" w:hAnsi="Symbol"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48" w15:restartNumberingAfterBreak="0">
    <w:nsid w:val="33CC50F0"/>
    <w:multiLevelType w:val="hybridMultilevel"/>
    <w:tmpl w:val="84E0F584"/>
    <w:lvl w:ilvl="0" w:tplc="0813000F">
      <w:start w:val="1"/>
      <w:numFmt w:val="decimal"/>
      <w:lvlText w:val="%1."/>
      <w:lvlJc w:val="left"/>
      <w:pPr>
        <w:ind w:left="1571" w:hanging="360"/>
      </w:pPr>
    </w:lvl>
    <w:lvl w:ilvl="1" w:tplc="08130019" w:tentative="1">
      <w:start w:val="1"/>
      <w:numFmt w:val="lowerLetter"/>
      <w:lvlText w:val="%2."/>
      <w:lvlJc w:val="left"/>
      <w:pPr>
        <w:ind w:left="2291" w:hanging="360"/>
      </w:pPr>
    </w:lvl>
    <w:lvl w:ilvl="2" w:tplc="0813001B" w:tentative="1">
      <w:start w:val="1"/>
      <w:numFmt w:val="lowerRoman"/>
      <w:lvlText w:val="%3."/>
      <w:lvlJc w:val="right"/>
      <w:pPr>
        <w:ind w:left="3011" w:hanging="180"/>
      </w:pPr>
    </w:lvl>
    <w:lvl w:ilvl="3" w:tplc="0813000F" w:tentative="1">
      <w:start w:val="1"/>
      <w:numFmt w:val="decimal"/>
      <w:lvlText w:val="%4."/>
      <w:lvlJc w:val="left"/>
      <w:pPr>
        <w:ind w:left="3731" w:hanging="360"/>
      </w:pPr>
    </w:lvl>
    <w:lvl w:ilvl="4" w:tplc="08130019" w:tentative="1">
      <w:start w:val="1"/>
      <w:numFmt w:val="lowerLetter"/>
      <w:lvlText w:val="%5."/>
      <w:lvlJc w:val="left"/>
      <w:pPr>
        <w:ind w:left="4451" w:hanging="360"/>
      </w:pPr>
    </w:lvl>
    <w:lvl w:ilvl="5" w:tplc="0813001B" w:tentative="1">
      <w:start w:val="1"/>
      <w:numFmt w:val="lowerRoman"/>
      <w:lvlText w:val="%6."/>
      <w:lvlJc w:val="right"/>
      <w:pPr>
        <w:ind w:left="5171" w:hanging="180"/>
      </w:pPr>
    </w:lvl>
    <w:lvl w:ilvl="6" w:tplc="0813000F" w:tentative="1">
      <w:start w:val="1"/>
      <w:numFmt w:val="decimal"/>
      <w:lvlText w:val="%7."/>
      <w:lvlJc w:val="left"/>
      <w:pPr>
        <w:ind w:left="5891" w:hanging="360"/>
      </w:pPr>
    </w:lvl>
    <w:lvl w:ilvl="7" w:tplc="08130019" w:tentative="1">
      <w:start w:val="1"/>
      <w:numFmt w:val="lowerLetter"/>
      <w:lvlText w:val="%8."/>
      <w:lvlJc w:val="left"/>
      <w:pPr>
        <w:ind w:left="6611" w:hanging="360"/>
      </w:pPr>
    </w:lvl>
    <w:lvl w:ilvl="8" w:tplc="0813001B" w:tentative="1">
      <w:start w:val="1"/>
      <w:numFmt w:val="lowerRoman"/>
      <w:lvlText w:val="%9."/>
      <w:lvlJc w:val="right"/>
      <w:pPr>
        <w:ind w:left="7331" w:hanging="180"/>
      </w:pPr>
    </w:lvl>
  </w:abstractNum>
  <w:abstractNum w:abstractNumId="49" w15:restartNumberingAfterBreak="0">
    <w:nsid w:val="342C4334"/>
    <w:multiLevelType w:val="hybridMultilevel"/>
    <w:tmpl w:val="8716F812"/>
    <w:lvl w:ilvl="0" w:tplc="081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350C4CE9"/>
    <w:multiLevelType w:val="hybridMultilevel"/>
    <w:tmpl w:val="AFF60414"/>
    <w:lvl w:ilvl="0" w:tplc="E202E338">
      <w:start w:val="1"/>
      <w:numFmt w:val="decimal"/>
      <w:lvlText w:val="%1."/>
      <w:lvlJc w:val="left"/>
      <w:pPr>
        <w:ind w:left="720" w:hanging="360"/>
      </w:pPr>
      <w:rPr>
        <w:rFonts w:ascii="Calibri" w:eastAsia="Calibri" w:hAnsi="Calibri" w:cs="Calibri" w:hint="default"/>
        <w:b w:val="0"/>
        <w:bCs w:val="0"/>
        <w:i w:val="0"/>
        <w:iCs w:val="0"/>
        <w:w w:val="100"/>
        <w:sz w:val="22"/>
        <w:szCs w:val="22"/>
        <w:lang w:val="nl-NL" w:eastAsia="en-US" w:bidi="ar-SA"/>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1" w15:restartNumberingAfterBreak="0">
    <w:nsid w:val="35890B9B"/>
    <w:multiLevelType w:val="hybridMultilevel"/>
    <w:tmpl w:val="DE62F696"/>
    <w:lvl w:ilvl="0" w:tplc="E202E338">
      <w:start w:val="1"/>
      <w:numFmt w:val="decimal"/>
      <w:lvlText w:val="%1."/>
      <w:lvlJc w:val="left"/>
      <w:pPr>
        <w:ind w:left="720" w:hanging="360"/>
      </w:pPr>
      <w:rPr>
        <w:rFonts w:ascii="Calibri" w:eastAsia="Calibri" w:hAnsi="Calibri" w:cs="Calibri" w:hint="default"/>
        <w:b w:val="0"/>
        <w:bCs w:val="0"/>
        <w:i w:val="0"/>
        <w:iCs w:val="0"/>
        <w:w w:val="100"/>
        <w:sz w:val="22"/>
        <w:szCs w:val="22"/>
        <w:lang w:val="nl-NL" w:eastAsia="en-US" w:bidi="ar-SA"/>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2" w15:restartNumberingAfterBreak="0">
    <w:nsid w:val="38AD0F69"/>
    <w:multiLevelType w:val="hybridMultilevel"/>
    <w:tmpl w:val="AFE8E0D4"/>
    <w:lvl w:ilvl="0" w:tplc="E202E338">
      <w:start w:val="1"/>
      <w:numFmt w:val="decimal"/>
      <w:lvlText w:val="%1."/>
      <w:lvlJc w:val="left"/>
      <w:pPr>
        <w:ind w:left="720" w:hanging="360"/>
      </w:pPr>
      <w:rPr>
        <w:rFonts w:ascii="Calibri" w:eastAsia="Calibri" w:hAnsi="Calibri" w:cs="Calibri" w:hint="default"/>
        <w:b w:val="0"/>
        <w:bCs w:val="0"/>
        <w:i w:val="0"/>
        <w:iCs w:val="0"/>
        <w:w w:val="100"/>
        <w:sz w:val="22"/>
        <w:szCs w:val="22"/>
        <w:lang w:val="nl-NL" w:eastAsia="en-US" w:bidi="ar-SA"/>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3" w15:restartNumberingAfterBreak="0">
    <w:nsid w:val="3910488E"/>
    <w:multiLevelType w:val="hybridMultilevel"/>
    <w:tmpl w:val="FE268212"/>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3B1C4F43"/>
    <w:multiLevelType w:val="hybridMultilevel"/>
    <w:tmpl w:val="E7EAA4E6"/>
    <w:lvl w:ilvl="0" w:tplc="F97CA322">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5" w15:restartNumberingAfterBreak="0">
    <w:nsid w:val="3B381238"/>
    <w:multiLevelType w:val="hybridMultilevel"/>
    <w:tmpl w:val="7E0E7C6E"/>
    <w:lvl w:ilvl="0" w:tplc="1840BB64">
      <w:start w:val="1"/>
      <w:numFmt w:val="decimal"/>
      <w:lvlText w:val="%1."/>
      <w:lvlJc w:val="left"/>
      <w:pPr>
        <w:ind w:left="1428" w:hanging="360"/>
      </w:pPr>
      <w:rPr>
        <w:rFonts w:hint="default"/>
      </w:rPr>
    </w:lvl>
    <w:lvl w:ilvl="1" w:tplc="08130019" w:tentative="1">
      <w:start w:val="1"/>
      <w:numFmt w:val="lowerLetter"/>
      <w:lvlText w:val="%2."/>
      <w:lvlJc w:val="left"/>
      <w:pPr>
        <w:ind w:left="2508" w:hanging="360"/>
      </w:pPr>
    </w:lvl>
    <w:lvl w:ilvl="2" w:tplc="0813001B" w:tentative="1">
      <w:start w:val="1"/>
      <w:numFmt w:val="lowerRoman"/>
      <w:lvlText w:val="%3."/>
      <w:lvlJc w:val="right"/>
      <w:pPr>
        <w:ind w:left="3228" w:hanging="180"/>
      </w:pPr>
    </w:lvl>
    <w:lvl w:ilvl="3" w:tplc="0813000F" w:tentative="1">
      <w:start w:val="1"/>
      <w:numFmt w:val="decimal"/>
      <w:lvlText w:val="%4."/>
      <w:lvlJc w:val="left"/>
      <w:pPr>
        <w:ind w:left="3948" w:hanging="360"/>
      </w:pPr>
    </w:lvl>
    <w:lvl w:ilvl="4" w:tplc="08130019" w:tentative="1">
      <w:start w:val="1"/>
      <w:numFmt w:val="lowerLetter"/>
      <w:lvlText w:val="%5."/>
      <w:lvlJc w:val="left"/>
      <w:pPr>
        <w:ind w:left="4668" w:hanging="360"/>
      </w:pPr>
    </w:lvl>
    <w:lvl w:ilvl="5" w:tplc="0813001B" w:tentative="1">
      <w:start w:val="1"/>
      <w:numFmt w:val="lowerRoman"/>
      <w:lvlText w:val="%6."/>
      <w:lvlJc w:val="right"/>
      <w:pPr>
        <w:ind w:left="5388" w:hanging="180"/>
      </w:pPr>
    </w:lvl>
    <w:lvl w:ilvl="6" w:tplc="0813000F" w:tentative="1">
      <w:start w:val="1"/>
      <w:numFmt w:val="decimal"/>
      <w:lvlText w:val="%7."/>
      <w:lvlJc w:val="left"/>
      <w:pPr>
        <w:ind w:left="6108" w:hanging="360"/>
      </w:pPr>
    </w:lvl>
    <w:lvl w:ilvl="7" w:tplc="08130019" w:tentative="1">
      <w:start w:val="1"/>
      <w:numFmt w:val="lowerLetter"/>
      <w:lvlText w:val="%8."/>
      <w:lvlJc w:val="left"/>
      <w:pPr>
        <w:ind w:left="6828" w:hanging="360"/>
      </w:pPr>
    </w:lvl>
    <w:lvl w:ilvl="8" w:tplc="0813001B" w:tentative="1">
      <w:start w:val="1"/>
      <w:numFmt w:val="lowerRoman"/>
      <w:lvlText w:val="%9."/>
      <w:lvlJc w:val="right"/>
      <w:pPr>
        <w:ind w:left="7548" w:hanging="180"/>
      </w:pPr>
    </w:lvl>
  </w:abstractNum>
  <w:abstractNum w:abstractNumId="56" w15:restartNumberingAfterBreak="0">
    <w:nsid w:val="3B783185"/>
    <w:multiLevelType w:val="hybridMultilevel"/>
    <w:tmpl w:val="D23E1878"/>
    <w:lvl w:ilvl="0" w:tplc="5EC062F6">
      <w:start w:val="1"/>
      <w:numFmt w:val="decimal"/>
      <w:lvlText w:val="%1."/>
      <w:lvlJc w:val="left"/>
      <w:pPr>
        <w:ind w:left="72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7" w15:restartNumberingAfterBreak="0">
    <w:nsid w:val="3CC627B6"/>
    <w:multiLevelType w:val="hybridMultilevel"/>
    <w:tmpl w:val="68B2E04E"/>
    <w:lvl w:ilvl="0" w:tplc="7F08D2B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949"/>
        </w:tabs>
        <w:ind w:left="949" w:hanging="360"/>
      </w:pPr>
    </w:lvl>
    <w:lvl w:ilvl="2" w:tplc="0413001B" w:tentative="1">
      <w:start w:val="1"/>
      <w:numFmt w:val="lowerRoman"/>
      <w:lvlText w:val="%3."/>
      <w:lvlJc w:val="right"/>
      <w:pPr>
        <w:tabs>
          <w:tab w:val="num" w:pos="1669"/>
        </w:tabs>
        <w:ind w:left="1669" w:hanging="180"/>
      </w:pPr>
    </w:lvl>
    <w:lvl w:ilvl="3" w:tplc="0413000F" w:tentative="1">
      <w:start w:val="1"/>
      <w:numFmt w:val="decimal"/>
      <w:lvlText w:val="%4."/>
      <w:lvlJc w:val="left"/>
      <w:pPr>
        <w:tabs>
          <w:tab w:val="num" w:pos="2389"/>
        </w:tabs>
        <w:ind w:left="2389" w:hanging="360"/>
      </w:pPr>
    </w:lvl>
    <w:lvl w:ilvl="4" w:tplc="04130019" w:tentative="1">
      <w:start w:val="1"/>
      <w:numFmt w:val="lowerLetter"/>
      <w:lvlText w:val="%5."/>
      <w:lvlJc w:val="left"/>
      <w:pPr>
        <w:tabs>
          <w:tab w:val="num" w:pos="3109"/>
        </w:tabs>
        <w:ind w:left="3109" w:hanging="360"/>
      </w:pPr>
    </w:lvl>
    <w:lvl w:ilvl="5" w:tplc="0413001B" w:tentative="1">
      <w:start w:val="1"/>
      <w:numFmt w:val="lowerRoman"/>
      <w:lvlText w:val="%6."/>
      <w:lvlJc w:val="right"/>
      <w:pPr>
        <w:tabs>
          <w:tab w:val="num" w:pos="3829"/>
        </w:tabs>
        <w:ind w:left="3829" w:hanging="180"/>
      </w:pPr>
    </w:lvl>
    <w:lvl w:ilvl="6" w:tplc="0413000F" w:tentative="1">
      <w:start w:val="1"/>
      <w:numFmt w:val="decimal"/>
      <w:lvlText w:val="%7."/>
      <w:lvlJc w:val="left"/>
      <w:pPr>
        <w:tabs>
          <w:tab w:val="num" w:pos="4549"/>
        </w:tabs>
        <w:ind w:left="4549" w:hanging="360"/>
      </w:pPr>
    </w:lvl>
    <w:lvl w:ilvl="7" w:tplc="04130019" w:tentative="1">
      <w:start w:val="1"/>
      <w:numFmt w:val="lowerLetter"/>
      <w:lvlText w:val="%8."/>
      <w:lvlJc w:val="left"/>
      <w:pPr>
        <w:tabs>
          <w:tab w:val="num" w:pos="5269"/>
        </w:tabs>
        <w:ind w:left="5269" w:hanging="360"/>
      </w:pPr>
    </w:lvl>
    <w:lvl w:ilvl="8" w:tplc="0413001B" w:tentative="1">
      <w:start w:val="1"/>
      <w:numFmt w:val="lowerRoman"/>
      <w:lvlText w:val="%9."/>
      <w:lvlJc w:val="right"/>
      <w:pPr>
        <w:tabs>
          <w:tab w:val="num" w:pos="5989"/>
        </w:tabs>
        <w:ind w:left="5989" w:hanging="180"/>
      </w:pPr>
    </w:lvl>
  </w:abstractNum>
  <w:abstractNum w:abstractNumId="58" w15:restartNumberingAfterBreak="0">
    <w:nsid w:val="3CF41178"/>
    <w:multiLevelType w:val="hybridMultilevel"/>
    <w:tmpl w:val="B01C9000"/>
    <w:lvl w:ilvl="0" w:tplc="E6D03A28">
      <w:start w:val="1"/>
      <w:numFmt w:val="decimal"/>
      <w:lvlText w:val="%1."/>
      <w:lvlJc w:val="left"/>
      <w:pPr>
        <w:ind w:left="72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9" w15:restartNumberingAfterBreak="0">
    <w:nsid w:val="3D313BA1"/>
    <w:multiLevelType w:val="hybridMultilevel"/>
    <w:tmpl w:val="70F4DD2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3D4B1413"/>
    <w:multiLevelType w:val="hybridMultilevel"/>
    <w:tmpl w:val="AF56EBBE"/>
    <w:lvl w:ilvl="0" w:tplc="0413000F">
      <w:start w:val="1"/>
      <w:numFmt w:val="decimal"/>
      <w:lvlText w:val="%1."/>
      <w:lvlJc w:val="left"/>
      <w:pPr>
        <w:tabs>
          <w:tab w:val="num" w:pos="1211"/>
        </w:tabs>
        <w:ind w:left="1211" w:hanging="360"/>
      </w:pPr>
    </w:lvl>
    <w:lvl w:ilvl="1" w:tplc="04130019">
      <w:start w:val="1"/>
      <w:numFmt w:val="lowerLetter"/>
      <w:lvlText w:val="%2."/>
      <w:lvlJc w:val="left"/>
      <w:pPr>
        <w:tabs>
          <w:tab w:val="num" w:pos="1931"/>
        </w:tabs>
        <w:ind w:left="1931" w:hanging="360"/>
      </w:pPr>
    </w:lvl>
    <w:lvl w:ilvl="2" w:tplc="0413001B" w:tentative="1">
      <w:start w:val="1"/>
      <w:numFmt w:val="lowerRoman"/>
      <w:lvlText w:val="%3."/>
      <w:lvlJc w:val="right"/>
      <w:pPr>
        <w:tabs>
          <w:tab w:val="num" w:pos="2651"/>
        </w:tabs>
        <w:ind w:left="2651" w:hanging="180"/>
      </w:pPr>
    </w:lvl>
    <w:lvl w:ilvl="3" w:tplc="0413000F" w:tentative="1">
      <w:start w:val="1"/>
      <w:numFmt w:val="decimal"/>
      <w:lvlText w:val="%4."/>
      <w:lvlJc w:val="left"/>
      <w:pPr>
        <w:tabs>
          <w:tab w:val="num" w:pos="3371"/>
        </w:tabs>
        <w:ind w:left="3371" w:hanging="360"/>
      </w:pPr>
    </w:lvl>
    <w:lvl w:ilvl="4" w:tplc="04130019" w:tentative="1">
      <w:start w:val="1"/>
      <w:numFmt w:val="lowerLetter"/>
      <w:lvlText w:val="%5."/>
      <w:lvlJc w:val="left"/>
      <w:pPr>
        <w:tabs>
          <w:tab w:val="num" w:pos="4091"/>
        </w:tabs>
        <w:ind w:left="4091" w:hanging="360"/>
      </w:pPr>
    </w:lvl>
    <w:lvl w:ilvl="5" w:tplc="0413001B" w:tentative="1">
      <w:start w:val="1"/>
      <w:numFmt w:val="lowerRoman"/>
      <w:lvlText w:val="%6."/>
      <w:lvlJc w:val="right"/>
      <w:pPr>
        <w:tabs>
          <w:tab w:val="num" w:pos="4811"/>
        </w:tabs>
        <w:ind w:left="4811" w:hanging="180"/>
      </w:pPr>
    </w:lvl>
    <w:lvl w:ilvl="6" w:tplc="0413000F" w:tentative="1">
      <w:start w:val="1"/>
      <w:numFmt w:val="decimal"/>
      <w:lvlText w:val="%7."/>
      <w:lvlJc w:val="left"/>
      <w:pPr>
        <w:tabs>
          <w:tab w:val="num" w:pos="5531"/>
        </w:tabs>
        <w:ind w:left="5531" w:hanging="360"/>
      </w:pPr>
    </w:lvl>
    <w:lvl w:ilvl="7" w:tplc="04130019" w:tentative="1">
      <w:start w:val="1"/>
      <w:numFmt w:val="lowerLetter"/>
      <w:lvlText w:val="%8."/>
      <w:lvlJc w:val="left"/>
      <w:pPr>
        <w:tabs>
          <w:tab w:val="num" w:pos="6251"/>
        </w:tabs>
        <w:ind w:left="6251" w:hanging="360"/>
      </w:pPr>
    </w:lvl>
    <w:lvl w:ilvl="8" w:tplc="0413001B" w:tentative="1">
      <w:start w:val="1"/>
      <w:numFmt w:val="lowerRoman"/>
      <w:lvlText w:val="%9."/>
      <w:lvlJc w:val="right"/>
      <w:pPr>
        <w:tabs>
          <w:tab w:val="num" w:pos="6971"/>
        </w:tabs>
        <w:ind w:left="6971" w:hanging="180"/>
      </w:pPr>
    </w:lvl>
  </w:abstractNum>
  <w:abstractNum w:abstractNumId="61" w15:restartNumberingAfterBreak="0">
    <w:nsid w:val="3E3A7708"/>
    <w:multiLevelType w:val="hybridMultilevel"/>
    <w:tmpl w:val="8DD4876A"/>
    <w:lvl w:ilvl="0" w:tplc="FFFFFFFF">
      <w:start w:val="5"/>
      <w:numFmt w:val="decimal"/>
      <w:lvlText w:val="%1."/>
      <w:lvlJc w:val="left"/>
      <w:pPr>
        <w:ind w:left="360" w:hanging="360"/>
      </w:pPr>
      <w:rPr>
        <w:rFonts w:hint="default"/>
      </w:rPr>
    </w:lvl>
    <w:lvl w:ilvl="1" w:tplc="08130019">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3F0B50BF"/>
    <w:multiLevelType w:val="hybridMultilevel"/>
    <w:tmpl w:val="89224778"/>
    <w:lvl w:ilvl="0" w:tplc="BCBE39A2">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3" w15:restartNumberingAfterBreak="0">
    <w:nsid w:val="40A82BF0"/>
    <w:multiLevelType w:val="hybridMultilevel"/>
    <w:tmpl w:val="37425094"/>
    <w:lvl w:ilvl="0" w:tplc="15D03B7C">
      <w:start w:val="1"/>
      <w:numFmt w:val="lowerLetter"/>
      <w:lvlText w:val="%1."/>
      <w:lvlJc w:val="left"/>
      <w:pPr>
        <w:tabs>
          <w:tab w:val="num" w:pos="1211"/>
        </w:tabs>
        <w:ind w:left="1211" w:hanging="360"/>
      </w:pPr>
      <w:rPr>
        <w:rFonts w:hint="default"/>
      </w:rPr>
    </w:lvl>
    <w:lvl w:ilvl="1" w:tplc="04130019">
      <w:start w:val="2"/>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4" w15:restartNumberingAfterBreak="0">
    <w:nsid w:val="47F427EB"/>
    <w:multiLevelType w:val="hybridMultilevel"/>
    <w:tmpl w:val="54BC276E"/>
    <w:lvl w:ilvl="0" w:tplc="D7B0249C">
      <w:start w:val="1"/>
      <w:numFmt w:val="lowerLetter"/>
      <w:lvlText w:val="%1."/>
      <w:lvlJc w:val="left"/>
      <w:pPr>
        <w:tabs>
          <w:tab w:val="num" w:pos="1211"/>
        </w:tabs>
        <w:ind w:left="1211" w:hanging="360"/>
      </w:pPr>
      <w:rPr>
        <w:rFonts w:hint="default"/>
      </w:rPr>
    </w:lvl>
    <w:lvl w:ilvl="1" w:tplc="04130019" w:tentative="1">
      <w:start w:val="1"/>
      <w:numFmt w:val="lowerLetter"/>
      <w:lvlText w:val="%2."/>
      <w:lvlJc w:val="left"/>
      <w:pPr>
        <w:tabs>
          <w:tab w:val="num" w:pos="1211"/>
        </w:tabs>
        <w:ind w:left="1211" w:hanging="360"/>
      </w:pPr>
    </w:lvl>
    <w:lvl w:ilvl="2" w:tplc="0413001B" w:tentative="1">
      <w:start w:val="1"/>
      <w:numFmt w:val="lowerRoman"/>
      <w:lvlText w:val="%3."/>
      <w:lvlJc w:val="right"/>
      <w:pPr>
        <w:tabs>
          <w:tab w:val="num" w:pos="1931"/>
        </w:tabs>
        <w:ind w:left="1931" w:hanging="180"/>
      </w:pPr>
    </w:lvl>
    <w:lvl w:ilvl="3" w:tplc="0413000F" w:tentative="1">
      <w:start w:val="1"/>
      <w:numFmt w:val="decimal"/>
      <w:lvlText w:val="%4."/>
      <w:lvlJc w:val="left"/>
      <w:pPr>
        <w:tabs>
          <w:tab w:val="num" w:pos="2651"/>
        </w:tabs>
        <w:ind w:left="2651" w:hanging="360"/>
      </w:pPr>
    </w:lvl>
    <w:lvl w:ilvl="4" w:tplc="04130019" w:tentative="1">
      <w:start w:val="1"/>
      <w:numFmt w:val="lowerLetter"/>
      <w:lvlText w:val="%5."/>
      <w:lvlJc w:val="left"/>
      <w:pPr>
        <w:tabs>
          <w:tab w:val="num" w:pos="3371"/>
        </w:tabs>
        <w:ind w:left="3371" w:hanging="360"/>
      </w:pPr>
    </w:lvl>
    <w:lvl w:ilvl="5" w:tplc="0413001B" w:tentative="1">
      <w:start w:val="1"/>
      <w:numFmt w:val="lowerRoman"/>
      <w:lvlText w:val="%6."/>
      <w:lvlJc w:val="right"/>
      <w:pPr>
        <w:tabs>
          <w:tab w:val="num" w:pos="4091"/>
        </w:tabs>
        <w:ind w:left="4091" w:hanging="180"/>
      </w:pPr>
    </w:lvl>
    <w:lvl w:ilvl="6" w:tplc="0413000F" w:tentative="1">
      <w:start w:val="1"/>
      <w:numFmt w:val="decimal"/>
      <w:lvlText w:val="%7."/>
      <w:lvlJc w:val="left"/>
      <w:pPr>
        <w:tabs>
          <w:tab w:val="num" w:pos="4811"/>
        </w:tabs>
        <w:ind w:left="4811" w:hanging="360"/>
      </w:pPr>
    </w:lvl>
    <w:lvl w:ilvl="7" w:tplc="04130019" w:tentative="1">
      <w:start w:val="1"/>
      <w:numFmt w:val="lowerLetter"/>
      <w:lvlText w:val="%8."/>
      <w:lvlJc w:val="left"/>
      <w:pPr>
        <w:tabs>
          <w:tab w:val="num" w:pos="5531"/>
        </w:tabs>
        <w:ind w:left="5531" w:hanging="360"/>
      </w:pPr>
    </w:lvl>
    <w:lvl w:ilvl="8" w:tplc="0413001B" w:tentative="1">
      <w:start w:val="1"/>
      <w:numFmt w:val="lowerRoman"/>
      <w:lvlText w:val="%9."/>
      <w:lvlJc w:val="right"/>
      <w:pPr>
        <w:tabs>
          <w:tab w:val="num" w:pos="6251"/>
        </w:tabs>
        <w:ind w:left="6251" w:hanging="180"/>
      </w:pPr>
    </w:lvl>
  </w:abstractNum>
  <w:abstractNum w:abstractNumId="65" w15:restartNumberingAfterBreak="0">
    <w:nsid w:val="491457C5"/>
    <w:multiLevelType w:val="hybridMultilevel"/>
    <w:tmpl w:val="9D044CA0"/>
    <w:lvl w:ilvl="0" w:tplc="15D03B7C">
      <w:start w:val="1"/>
      <w:numFmt w:val="decimal"/>
      <w:lvlText w:val="%1."/>
      <w:lvlJc w:val="left"/>
      <w:pPr>
        <w:tabs>
          <w:tab w:val="num" w:pos="1211"/>
        </w:tabs>
        <w:ind w:left="1211" w:hanging="360"/>
      </w:pPr>
      <w:rPr>
        <w:rFonts w:hint="default"/>
        <w:i w:val="0"/>
      </w:rPr>
    </w:lvl>
    <w:lvl w:ilvl="1" w:tplc="04130019" w:tentative="1">
      <w:start w:val="1"/>
      <w:numFmt w:val="lowerLetter"/>
      <w:lvlText w:val="%2."/>
      <w:lvlJc w:val="left"/>
      <w:pPr>
        <w:tabs>
          <w:tab w:val="num" w:pos="540"/>
        </w:tabs>
        <w:ind w:left="540" w:hanging="360"/>
      </w:pPr>
    </w:lvl>
    <w:lvl w:ilvl="2" w:tplc="0413001B" w:tentative="1">
      <w:start w:val="1"/>
      <w:numFmt w:val="lowerRoman"/>
      <w:lvlText w:val="%3."/>
      <w:lvlJc w:val="right"/>
      <w:pPr>
        <w:tabs>
          <w:tab w:val="num" w:pos="1260"/>
        </w:tabs>
        <w:ind w:left="1260" w:hanging="180"/>
      </w:pPr>
    </w:lvl>
    <w:lvl w:ilvl="3" w:tplc="0413000F" w:tentative="1">
      <w:start w:val="1"/>
      <w:numFmt w:val="decimal"/>
      <w:lvlText w:val="%4."/>
      <w:lvlJc w:val="left"/>
      <w:pPr>
        <w:tabs>
          <w:tab w:val="num" w:pos="1980"/>
        </w:tabs>
        <w:ind w:left="1980" w:hanging="360"/>
      </w:pPr>
    </w:lvl>
    <w:lvl w:ilvl="4" w:tplc="04130019" w:tentative="1">
      <w:start w:val="1"/>
      <w:numFmt w:val="lowerLetter"/>
      <w:lvlText w:val="%5."/>
      <w:lvlJc w:val="left"/>
      <w:pPr>
        <w:tabs>
          <w:tab w:val="num" w:pos="2700"/>
        </w:tabs>
        <w:ind w:left="2700" w:hanging="360"/>
      </w:pPr>
    </w:lvl>
    <w:lvl w:ilvl="5" w:tplc="0413001B" w:tentative="1">
      <w:start w:val="1"/>
      <w:numFmt w:val="lowerRoman"/>
      <w:lvlText w:val="%6."/>
      <w:lvlJc w:val="right"/>
      <w:pPr>
        <w:tabs>
          <w:tab w:val="num" w:pos="3420"/>
        </w:tabs>
        <w:ind w:left="3420" w:hanging="180"/>
      </w:pPr>
    </w:lvl>
    <w:lvl w:ilvl="6" w:tplc="0413000F" w:tentative="1">
      <w:start w:val="1"/>
      <w:numFmt w:val="decimal"/>
      <w:lvlText w:val="%7."/>
      <w:lvlJc w:val="left"/>
      <w:pPr>
        <w:tabs>
          <w:tab w:val="num" w:pos="4140"/>
        </w:tabs>
        <w:ind w:left="4140" w:hanging="360"/>
      </w:pPr>
    </w:lvl>
    <w:lvl w:ilvl="7" w:tplc="04130019" w:tentative="1">
      <w:start w:val="1"/>
      <w:numFmt w:val="lowerLetter"/>
      <w:lvlText w:val="%8."/>
      <w:lvlJc w:val="left"/>
      <w:pPr>
        <w:tabs>
          <w:tab w:val="num" w:pos="4860"/>
        </w:tabs>
        <w:ind w:left="4860" w:hanging="360"/>
      </w:pPr>
    </w:lvl>
    <w:lvl w:ilvl="8" w:tplc="0413001B" w:tentative="1">
      <w:start w:val="1"/>
      <w:numFmt w:val="lowerRoman"/>
      <w:lvlText w:val="%9."/>
      <w:lvlJc w:val="right"/>
      <w:pPr>
        <w:tabs>
          <w:tab w:val="num" w:pos="5580"/>
        </w:tabs>
        <w:ind w:left="5580" w:hanging="180"/>
      </w:pPr>
    </w:lvl>
  </w:abstractNum>
  <w:abstractNum w:abstractNumId="66" w15:restartNumberingAfterBreak="0">
    <w:nsid w:val="491C6B8E"/>
    <w:multiLevelType w:val="hybridMultilevel"/>
    <w:tmpl w:val="4E06B6A0"/>
    <w:lvl w:ilvl="0" w:tplc="BA001D68">
      <w:start w:val="1"/>
      <w:numFmt w:val="decimal"/>
      <w:lvlText w:val="%1."/>
      <w:lvlJc w:val="left"/>
      <w:pPr>
        <w:tabs>
          <w:tab w:val="num" w:pos="1211"/>
        </w:tabs>
        <w:ind w:left="1211" w:hanging="360"/>
      </w:pPr>
      <w:rPr>
        <w:rFonts w:hint="default"/>
        <w:b w:val="0"/>
      </w:rPr>
    </w:lvl>
    <w:lvl w:ilvl="1" w:tplc="04130019">
      <w:start w:val="1"/>
      <w:numFmt w:val="lowerLetter"/>
      <w:lvlText w:val="%2."/>
      <w:lvlJc w:val="left"/>
      <w:pPr>
        <w:tabs>
          <w:tab w:val="num" w:pos="1931"/>
        </w:tabs>
        <w:ind w:left="1931" w:hanging="360"/>
      </w:pPr>
    </w:lvl>
    <w:lvl w:ilvl="2" w:tplc="0813000F">
      <w:start w:val="1"/>
      <w:numFmt w:val="decimal"/>
      <w:lvlText w:val="%3."/>
      <w:lvlJc w:val="left"/>
      <w:pPr>
        <w:tabs>
          <w:tab w:val="num" w:pos="2831"/>
        </w:tabs>
        <w:ind w:left="2831" w:hanging="360"/>
      </w:pPr>
      <w:rPr>
        <w:rFonts w:hint="default"/>
        <w:b w:val="0"/>
      </w:rPr>
    </w:lvl>
    <w:lvl w:ilvl="3" w:tplc="0413000F" w:tentative="1">
      <w:start w:val="1"/>
      <w:numFmt w:val="decimal"/>
      <w:lvlText w:val="%4."/>
      <w:lvlJc w:val="left"/>
      <w:pPr>
        <w:tabs>
          <w:tab w:val="num" w:pos="3371"/>
        </w:tabs>
        <w:ind w:left="3371" w:hanging="360"/>
      </w:pPr>
    </w:lvl>
    <w:lvl w:ilvl="4" w:tplc="04130019" w:tentative="1">
      <w:start w:val="1"/>
      <w:numFmt w:val="lowerLetter"/>
      <w:lvlText w:val="%5."/>
      <w:lvlJc w:val="left"/>
      <w:pPr>
        <w:tabs>
          <w:tab w:val="num" w:pos="4091"/>
        </w:tabs>
        <w:ind w:left="4091" w:hanging="360"/>
      </w:pPr>
    </w:lvl>
    <w:lvl w:ilvl="5" w:tplc="0413001B" w:tentative="1">
      <w:start w:val="1"/>
      <w:numFmt w:val="lowerRoman"/>
      <w:lvlText w:val="%6."/>
      <w:lvlJc w:val="right"/>
      <w:pPr>
        <w:tabs>
          <w:tab w:val="num" w:pos="4811"/>
        </w:tabs>
        <w:ind w:left="4811" w:hanging="180"/>
      </w:pPr>
    </w:lvl>
    <w:lvl w:ilvl="6" w:tplc="0413000F" w:tentative="1">
      <w:start w:val="1"/>
      <w:numFmt w:val="decimal"/>
      <w:lvlText w:val="%7."/>
      <w:lvlJc w:val="left"/>
      <w:pPr>
        <w:tabs>
          <w:tab w:val="num" w:pos="5531"/>
        </w:tabs>
        <w:ind w:left="5531" w:hanging="360"/>
      </w:pPr>
    </w:lvl>
    <w:lvl w:ilvl="7" w:tplc="04130019" w:tentative="1">
      <w:start w:val="1"/>
      <w:numFmt w:val="lowerLetter"/>
      <w:lvlText w:val="%8."/>
      <w:lvlJc w:val="left"/>
      <w:pPr>
        <w:tabs>
          <w:tab w:val="num" w:pos="6251"/>
        </w:tabs>
        <w:ind w:left="6251" w:hanging="360"/>
      </w:pPr>
    </w:lvl>
    <w:lvl w:ilvl="8" w:tplc="0413001B" w:tentative="1">
      <w:start w:val="1"/>
      <w:numFmt w:val="lowerRoman"/>
      <w:lvlText w:val="%9."/>
      <w:lvlJc w:val="right"/>
      <w:pPr>
        <w:tabs>
          <w:tab w:val="num" w:pos="6971"/>
        </w:tabs>
        <w:ind w:left="6971" w:hanging="180"/>
      </w:pPr>
    </w:lvl>
  </w:abstractNum>
  <w:abstractNum w:abstractNumId="67" w15:restartNumberingAfterBreak="0">
    <w:nsid w:val="49353973"/>
    <w:multiLevelType w:val="hybridMultilevel"/>
    <w:tmpl w:val="7E4A5F06"/>
    <w:lvl w:ilvl="0" w:tplc="DE68EB1E">
      <w:start w:val="1"/>
      <w:numFmt w:val="decimal"/>
      <w:lvlText w:val="%1."/>
      <w:lvlJc w:val="left"/>
      <w:pPr>
        <w:ind w:left="1211" w:hanging="360"/>
      </w:pPr>
      <w:rPr>
        <w:strike w:val="0"/>
      </w:rPr>
    </w:lvl>
    <w:lvl w:ilvl="1" w:tplc="08130019" w:tentative="1">
      <w:start w:val="1"/>
      <w:numFmt w:val="lowerLetter"/>
      <w:lvlText w:val="%2."/>
      <w:lvlJc w:val="left"/>
      <w:pPr>
        <w:ind w:left="1931" w:hanging="360"/>
      </w:pPr>
    </w:lvl>
    <w:lvl w:ilvl="2" w:tplc="0813001B" w:tentative="1">
      <w:start w:val="1"/>
      <w:numFmt w:val="lowerRoman"/>
      <w:lvlText w:val="%3."/>
      <w:lvlJc w:val="right"/>
      <w:pPr>
        <w:ind w:left="2651" w:hanging="180"/>
      </w:pPr>
    </w:lvl>
    <w:lvl w:ilvl="3" w:tplc="0813000F" w:tentative="1">
      <w:start w:val="1"/>
      <w:numFmt w:val="decimal"/>
      <w:lvlText w:val="%4."/>
      <w:lvlJc w:val="left"/>
      <w:pPr>
        <w:ind w:left="3371" w:hanging="360"/>
      </w:pPr>
    </w:lvl>
    <w:lvl w:ilvl="4" w:tplc="08130019" w:tentative="1">
      <w:start w:val="1"/>
      <w:numFmt w:val="lowerLetter"/>
      <w:lvlText w:val="%5."/>
      <w:lvlJc w:val="left"/>
      <w:pPr>
        <w:ind w:left="4091" w:hanging="360"/>
      </w:pPr>
    </w:lvl>
    <w:lvl w:ilvl="5" w:tplc="0813001B" w:tentative="1">
      <w:start w:val="1"/>
      <w:numFmt w:val="lowerRoman"/>
      <w:lvlText w:val="%6."/>
      <w:lvlJc w:val="right"/>
      <w:pPr>
        <w:ind w:left="4811" w:hanging="180"/>
      </w:pPr>
    </w:lvl>
    <w:lvl w:ilvl="6" w:tplc="0813000F" w:tentative="1">
      <w:start w:val="1"/>
      <w:numFmt w:val="decimal"/>
      <w:lvlText w:val="%7."/>
      <w:lvlJc w:val="left"/>
      <w:pPr>
        <w:ind w:left="5531" w:hanging="360"/>
      </w:pPr>
    </w:lvl>
    <w:lvl w:ilvl="7" w:tplc="08130019" w:tentative="1">
      <w:start w:val="1"/>
      <w:numFmt w:val="lowerLetter"/>
      <w:lvlText w:val="%8."/>
      <w:lvlJc w:val="left"/>
      <w:pPr>
        <w:ind w:left="6251" w:hanging="360"/>
      </w:pPr>
    </w:lvl>
    <w:lvl w:ilvl="8" w:tplc="0813001B" w:tentative="1">
      <w:start w:val="1"/>
      <w:numFmt w:val="lowerRoman"/>
      <w:lvlText w:val="%9."/>
      <w:lvlJc w:val="right"/>
      <w:pPr>
        <w:ind w:left="6971" w:hanging="180"/>
      </w:pPr>
    </w:lvl>
  </w:abstractNum>
  <w:abstractNum w:abstractNumId="68" w15:restartNumberingAfterBreak="0">
    <w:nsid w:val="49CC6034"/>
    <w:multiLevelType w:val="hybridMultilevel"/>
    <w:tmpl w:val="03D6737C"/>
    <w:lvl w:ilvl="0" w:tplc="58925D22">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9" w15:restartNumberingAfterBreak="0">
    <w:nsid w:val="4C6A329F"/>
    <w:multiLevelType w:val="hybridMultilevel"/>
    <w:tmpl w:val="0DD4FBA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0" w15:restartNumberingAfterBreak="0">
    <w:nsid w:val="4D155C36"/>
    <w:multiLevelType w:val="hybridMultilevel"/>
    <w:tmpl w:val="BC84932E"/>
    <w:lvl w:ilvl="0" w:tplc="08130001">
      <w:start w:val="1"/>
      <w:numFmt w:val="bullet"/>
      <w:lvlText w:val=""/>
      <w:lvlJc w:val="left"/>
      <w:pPr>
        <w:ind w:left="1571" w:hanging="360"/>
      </w:pPr>
      <w:rPr>
        <w:rFonts w:ascii="Symbol" w:hAnsi="Symbol"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71" w15:restartNumberingAfterBreak="0">
    <w:nsid w:val="4E8469F7"/>
    <w:multiLevelType w:val="hybridMultilevel"/>
    <w:tmpl w:val="D74C06B6"/>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2" w15:restartNumberingAfterBreak="0">
    <w:nsid w:val="4ECF2434"/>
    <w:multiLevelType w:val="hybridMultilevel"/>
    <w:tmpl w:val="B9462F34"/>
    <w:lvl w:ilvl="0" w:tplc="08130011">
      <w:start w:val="1"/>
      <w:numFmt w:val="decimal"/>
      <w:lvlText w:val="%1)"/>
      <w:lvlJc w:val="left"/>
      <w:pPr>
        <w:ind w:left="1211" w:hanging="360"/>
      </w:pPr>
    </w:lvl>
    <w:lvl w:ilvl="1" w:tplc="08130019">
      <w:start w:val="1"/>
      <w:numFmt w:val="decimal"/>
      <w:lvlText w:val="%2."/>
      <w:lvlJc w:val="left"/>
      <w:pPr>
        <w:tabs>
          <w:tab w:val="num" w:pos="1931"/>
        </w:tabs>
        <w:ind w:left="1931" w:hanging="360"/>
      </w:pPr>
    </w:lvl>
    <w:lvl w:ilvl="2" w:tplc="0813001B">
      <w:start w:val="1"/>
      <w:numFmt w:val="decimal"/>
      <w:lvlText w:val="%3."/>
      <w:lvlJc w:val="left"/>
      <w:pPr>
        <w:tabs>
          <w:tab w:val="num" w:pos="2651"/>
        </w:tabs>
        <w:ind w:left="2651" w:hanging="360"/>
      </w:pPr>
    </w:lvl>
    <w:lvl w:ilvl="3" w:tplc="0813000F">
      <w:start w:val="1"/>
      <w:numFmt w:val="decimal"/>
      <w:lvlText w:val="%4."/>
      <w:lvlJc w:val="left"/>
      <w:pPr>
        <w:tabs>
          <w:tab w:val="num" w:pos="3371"/>
        </w:tabs>
        <w:ind w:left="3371" w:hanging="360"/>
      </w:pPr>
    </w:lvl>
    <w:lvl w:ilvl="4" w:tplc="08130019">
      <w:start w:val="1"/>
      <w:numFmt w:val="decimal"/>
      <w:lvlText w:val="%5."/>
      <w:lvlJc w:val="left"/>
      <w:pPr>
        <w:tabs>
          <w:tab w:val="num" w:pos="4091"/>
        </w:tabs>
        <w:ind w:left="4091" w:hanging="360"/>
      </w:pPr>
    </w:lvl>
    <w:lvl w:ilvl="5" w:tplc="0813001B">
      <w:start w:val="1"/>
      <w:numFmt w:val="decimal"/>
      <w:lvlText w:val="%6."/>
      <w:lvlJc w:val="left"/>
      <w:pPr>
        <w:tabs>
          <w:tab w:val="num" w:pos="4811"/>
        </w:tabs>
        <w:ind w:left="4811" w:hanging="360"/>
      </w:pPr>
    </w:lvl>
    <w:lvl w:ilvl="6" w:tplc="0813000F">
      <w:start w:val="1"/>
      <w:numFmt w:val="decimal"/>
      <w:lvlText w:val="%7."/>
      <w:lvlJc w:val="left"/>
      <w:pPr>
        <w:tabs>
          <w:tab w:val="num" w:pos="5531"/>
        </w:tabs>
        <w:ind w:left="5531" w:hanging="360"/>
      </w:pPr>
    </w:lvl>
    <w:lvl w:ilvl="7" w:tplc="08130019">
      <w:start w:val="1"/>
      <w:numFmt w:val="decimal"/>
      <w:lvlText w:val="%8."/>
      <w:lvlJc w:val="left"/>
      <w:pPr>
        <w:tabs>
          <w:tab w:val="num" w:pos="6251"/>
        </w:tabs>
        <w:ind w:left="6251" w:hanging="360"/>
      </w:pPr>
    </w:lvl>
    <w:lvl w:ilvl="8" w:tplc="0813001B">
      <w:start w:val="1"/>
      <w:numFmt w:val="decimal"/>
      <w:lvlText w:val="%9."/>
      <w:lvlJc w:val="left"/>
      <w:pPr>
        <w:tabs>
          <w:tab w:val="num" w:pos="6971"/>
        </w:tabs>
        <w:ind w:left="6971" w:hanging="360"/>
      </w:pPr>
    </w:lvl>
  </w:abstractNum>
  <w:abstractNum w:abstractNumId="73" w15:restartNumberingAfterBreak="0">
    <w:nsid w:val="520B277F"/>
    <w:multiLevelType w:val="hybridMultilevel"/>
    <w:tmpl w:val="C0145FAC"/>
    <w:lvl w:ilvl="0" w:tplc="DCB0FF10">
      <w:start w:val="1"/>
      <w:numFmt w:val="none"/>
      <w:pStyle w:val="OPM"/>
      <w:lvlText w:val="%1Opmerking "/>
      <w:lvlJc w:val="left"/>
      <w:pPr>
        <w:tabs>
          <w:tab w:val="num" w:pos="720"/>
        </w:tabs>
        <w:ind w:left="1588" w:hanging="1588"/>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4" w15:restartNumberingAfterBreak="0">
    <w:nsid w:val="526D63B7"/>
    <w:multiLevelType w:val="hybridMultilevel"/>
    <w:tmpl w:val="6A00F36E"/>
    <w:lvl w:ilvl="0" w:tplc="93F00852">
      <w:start w:val="1"/>
      <w:numFmt w:val="decimal"/>
      <w:lvlText w:val="%1."/>
      <w:lvlJc w:val="left"/>
      <w:pPr>
        <w:tabs>
          <w:tab w:val="num" w:pos="360"/>
        </w:tabs>
        <w:ind w:left="360" w:hanging="360"/>
      </w:pPr>
      <w:rPr>
        <w:rFonts w:hint="default"/>
        <w:b w:val="0"/>
      </w:rPr>
    </w:lvl>
    <w:lvl w:ilvl="1" w:tplc="08130019" w:tentative="1">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5" w15:restartNumberingAfterBreak="0">
    <w:nsid w:val="52D279DE"/>
    <w:multiLevelType w:val="hybridMultilevel"/>
    <w:tmpl w:val="0ED6AB7C"/>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76" w15:restartNumberingAfterBreak="0">
    <w:nsid w:val="536A5876"/>
    <w:multiLevelType w:val="hybridMultilevel"/>
    <w:tmpl w:val="E4F2D488"/>
    <w:lvl w:ilvl="0" w:tplc="26CE35A6">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949"/>
        </w:tabs>
        <w:ind w:left="949" w:hanging="360"/>
      </w:pPr>
    </w:lvl>
    <w:lvl w:ilvl="2" w:tplc="0413001B" w:tentative="1">
      <w:start w:val="1"/>
      <w:numFmt w:val="lowerRoman"/>
      <w:lvlText w:val="%3."/>
      <w:lvlJc w:val="right"/>
      <w:pPr>
        <w:tabs>
          <w:tab w:val="num" w:pos="1669"/>
        </w:tabs>
        <w:ind w:left="1669" w:hanging="180"/>
      </w:pPr>
    </w:lvl>
    <w:lvl w:ilvl="3" w:tplc="0413000F" w:tentative="1">
      <w:start w:val="1"/>
      <w:numFmt w:val="decimal"/>
      <w:lvlText w:val="%4."/>
      <w:lvlJc w:val="left"/>
      <w:pPr>
        <w:tabs>
          <w:tab w:val="num" w:pos="2389"/>
        </w:tabs>
        <w:ind w:left="2389" w:hanging="360"/>
      </w:pPr>
    </w:lvl>
    <w:lvl w:ilvl="4" w:tplc="04130019" w:tentative="1">
      <w:start w:val="1"/>
      <w:numFmt w:val="lowerLetter"/>
      <w:lvlText w:val="%5."/>
      <w:lvlJc w:val="left"/>
      <w:pPr>
        <w:tabs>
          <w:tab w:val="num" w:pos="3109"/>
        </w:tabs>
        <w:ind w:left="3109" w:hanging="360"/>
      </w:pPr>
    </w:lvl>
    <w:lvl w:ilvl="5" w:tplc="0413001B" w:tentative="1">
      <w:start w:val="1"/>
      <w:numFmt w:val="lowerRoman"/>
      <w:lvlText w:val="%6."/>
      <w:lvlJc w:val="right"/>
      <w:pPr>
        <w:tabs>
          <w:tab w:val="num" w:pos="3829"/>
        </w:tabs>
        <w:ind w:left="3829" w:hanging="180"/>
      </w:pPr>
    </w:lvl>
    <w:lvl w:ilvl="6" w:tplc="0413000F" w:tentative="1">
      <w:start w:val="1"/>
      <w:numFmt w:val="decimal"/>
      <w:lvlText w:val="%7."/>
      <w:lvlJc w:val="left"/>
      <w:pPr>
        <w:tabs>
          <w:tab w:val="num" w:pos="4549"/>
        </w:tabs>
        <w:ind w:left="4549" w:hanging="360"/>
      </w:pPr>
    </w:lvl>
    <w:lvl w:ilvl="7" w:tplc="04130019" w:tentative="1">
      <w:start w:val="1"/>
      <w:numFmt w:val="lowerLetter"/>
      <w:lvlText w:val="%8."/>
      <w:lvlJc w:val="left"/>
      <w:pPr>
        <w:tabs>
          <w:tab w:val="num" w:pos="5269"/>
        </w:tabs>
        <w:ind w:left="5269" w:hanging="360"/>
      </w:pPr>
    </w:lvl>
    <w:lvl w:ilvl="8" w:tplc="0413001B" w:tentative="1">
      <w:start w:val="1"/>
      <w:numFmt w:val="lowerRoman"/>
      <w:lvlText w:val="%9."/>
      <w:lvlJc w:val="right"/>
      <w:pPr>
        <w:tabs>
          <w:tab w:val="num" w:pos="5989"/>
        </w:tabs>
        <w:ind w:left="5989" w:hanging="180"/>
      </w:pPr>
    </w:lvl>
  </w:abstractNum>
  <w:abstractNum w:abstractNumId="77" w15:restartNumberingAfterBreak="0">
    <w:nsid w:val="54C67E03"/>
    <w:multiLevelType w:val="hybridMultilevel"/>
    <w:tmpl w:val="B01CA57C"/>
    <w:lvl w:ilvl="0" w:tplc="95F460FC">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8" w15:restartNumberingAfterBreak="0">
    <w:nsid w:val="54D36A7F"/>
    <w:multiLevelType w:val="hybridMultilevel"/>
    <w:tmpl w:val="F09E6174"/>
    <w:lvl w:ilvl="0" w:tplc="171E58DC">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9" w15:restartNumberingAfterBreak="0">
    <w:nsid w:val="5531108B"/>
    <w:multiLevelType w:val="hybridMultilevel"/>
    <w:tmpl w:val="995620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0" w15:restartNumberingAfterBreak="0">
    <w:nsid w:val="565B25B4"/>
    <w:multiLevelType w:val="hybridMultilevel"/>
    <w:tmpl w:val="C0003686"/>
    <w:lvl w:ilvl="0" w:tplc="E202E338">
      <w:start w:val="1"/>
      <w:numFmt w:val="decimal"/>
      <w:lvlText w:val="%1."/>
      <w:lvlJc w:val="left"/>
      <w:pPr>
        <w:ind w:left="360" w:hanging="360"/>
      </w:pPr>
      <w:rPr>
        <w:rFonts w:ascii="Calibri" w:eastAsia="Calibri" w:hAnsi="Calibri" w:cs="Calibri" w:hint="default"/>
        <w:b w:val="0"/>
        <w:bCs w:val="0"/>
        <w:i w:val="0"/>
        <w:iCs w:val="0"/>
        <w:w w:val="100"/>
        <w:sz w:val="22"/>
        <w:szCs w:val="22"/>
        <w:lang w:val="nl-NL"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75929D8"/>
    <w:multiLevelType w:val="hybridMultilevel"/>
    <w:tmpl w:val="CA22262A"/>
    <w:lvl w:ilvl="0" w:tplc="700E469A">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2" w15:restartNumberingAfterBreak="0">
    <w:nsid w:val="57896E88"/>
    <w:multiLevelType w:val="hybridMultilevel"/>
    <w:tmpl w:val="2C60C28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3" w15:restartNumberingAfterBreak="0">
    <w:nsid w:val="57DF517A"/>
    <w:multiLevelType w:val="hybridMultilevel"/>
    <w:tmpl w:val="01CC473E"/>
    <w:lvl w:ilvl="0" w:tplc="F3583CE4">
      <w:start w:val="1"/>
      <w:numFmt w:val="decimal"/>
      <w:lvlText w:val="%1."/>
      <w:lvlJc w:val="left"/>
      <w:pPr>
        <w:ind w:left="1428" w:hanging="360"/>
      </w:pPr>
      <w:rPr>
        <w:rFonts w:hint="default"/>
      </w:rPr>
    </w:lvl>
    <w:lvl w:ilvl="1" w:tplc="08130019" w:tentative="1">
      <w:start w:val="1"/>
      <w:numFmt w:val="lowerLetter"/>
      <w:lvlText w:val="%2."/>
      <w:lvlJc w:val="left"/>
      <w:pPr>
        <w:ind w:left="2508" w:hanging="360"/>
      </w:pPr>
    </w:lvl>
    <w:lvl w:ilvl="2" w:tplc="0813001B" w:tentative="1">
      <w:start w:val="1"/>
      <w:numFmt w:val="lowerRoman"/>
      <w:lvlText w:val="%3."/>
      <w:lvlJc w:val="right"/>
      <w:pPr>
        <w:ind w:left="3228" w:hanging="180"/>
      </w:pPr>
    </w:lvl>
    <w:lvl w:ilvl="3" w:tplc="0813000F" w:tentative="1">
      <w:start w:val="1"/>
      <w:numFmt w:val="decimal"/>
      <w:lvlText w:val="%4."/>
      <w:lvlJc w:val="left"/>
      <w:pPr>
        <w:ind w:left="3948" w:hanging="360"/>
      </w:pPr>
    </w:lvl>
    <w:lvl w:ilvl="4" w:tplc="08130019" w:tentative="1">
      <w:start w:val="1"/>
      <w:numFmt w:val="lowerLetter"/>
      <w:lvlText w:val="%5."/>
      <w:lvlJc w:val="left"/>
      <w:pPr>
        <w:ind w:left="4668" w:hanging="360"/>
      </w:pPr>
    </w:lvl>
    <w:lvl w:ilvl="5" w:tplc="0813001B" w:tentative="1">
      <w:start w:val="1"/>
      <w:numFmt w:val="lowerRoman"/>
      <w:lvlText w:val="%6."/>
      <w:lvlJc w:val="right"/>
      <w:pPr>
        <w:ind w:left="5388" w:hanging="180"/>
      </w:pPr>
    </w:lvl>
    <w:lvl w:ilvl="6" w:tplc="0813000F" w:tentative="1">
      <w:start w:val="1"/>
      <w:numFmt w:val="decimal"/>
      <w:lvlText w:val="%7."/>
      <w:lvlJc w:val="left"/>
      <w:pPr>
        <w:ind w:left="6108" w:hanging="360"/>
      </w:pPr>
    </w:lvl>
    <w:lvl w:ilvl="7" w:tplc="08130019" w:tentative="1">
      <w:start w:val="1"/>
      <w:numFmt w:val="lowerLetter"/>
      <w:lvlText w:val="%8."/>
      <w:lvlJc w:val="left"/>
      <w:pPr>
        <w:ind w:left="6828" w:hanging="360"/>
      </w:pPr>
    </w:lvl>
    <w:lvl w:ilvl="8" w:tplc="0813001B" w:tentative="1">
      <w:start w:val="1"/>
      <w:numFmt w:val="lowerRoman"/>
      <w:lvlText w:val="%9."/>
      <w:lvlJc w:val="right"/>
      <w:pPr>
        <w:ind w:left="7548" w:hanging="180"/>
      </w:pPr>
    </w:lvl>
  </w:abstractNum>
  <w:abstractNum w:abstractNumId="84" w15:restartNumberingAfterBreak="0">
    <w:nsid w:val="58FA338D"/>
    <w:multiLevelType w:val="hybridMultilevel"/>
    <w:tmpl w:val="B0949A9E"/>
    <w:lvl w:ilvl="0" w:tplc="39583622">
      <w:start w:val="1"/>
      <w:numFmt w:val="bullet"/>
      <w:lvlText w:val="-"/>
      <w:lvlJc w:val="left"/>
      <w:pPr>
        <w:tabs>
          <w:tab w:val="num" w:pos="1056"/>
        </w:tabs>
        <w:ind w:left="1776" w:hanging="360"/>
      </w:pPr>
      <w:rPr>
        <w:rFonts w:ascii="Courier New" w:hAnsi="Courier New" w:hint="default"/>
        <w:color w:val="auto"/>
      </w:rPr>
    </w:lvl>
    <w:lvl w:ilvl="1" w:tplc="04130003">
      <w:start w:val="1"/>
      <w:numFmt w:val="bullet"/>
      <w:lvlText w:val="o"/>
      <w:lvlJc w:val="left"/>
      <w:pPr>
        <w:tabs>
          <w:tab w:val="num" w:pos="1724"/>
        </w:tabs>
        <w:ind w:left="1724" w:hanging="360"/>
      </w:pPr>
      <w:rPr>
        <w:rFonts w:ascii="Courier New" w:hAnsi="Courier New" w:cs="Courier New" w:hint="default"/>
      </w:rPr>
    </w:lvl>
    <w:lvl w:ilvl="2" w:tplc="04130005">
      <w:start w:val="1"/>
      <w:numFmt w:val="bullet"/>
      <w:lvlText w:val=""/>
      <w:lvlJc w:val="left"/>
      <w:pPr>
        <w:tabs>
          <w:tab w:val="num" w:pos="2444"/>
        </w:tabs>
        <w:ind w:left="2444" w:hanging="360"/>
      </w:pPr>
      <w:rPr>
        <w:rFonts w:ascii="Wingdings" w:hAnsi="Wingdings" w:hint="default"/>
      </w:rPr>
    </w:lvl>
    <w:lvl w:ilvl="3" w:tplc="04130001" w:tentative="1">
      <w:start w:val="1"/>
      <w:numFmt w:val="bullet"/>
      <w:lvlText w:val=""/>
      <w:lvlJc w:val="left"/>
      <w:pPr>
        <w:tabs>
          <w:tab w:val="num" w:pos="3164"/>
        </w:tabs>
        <w:ind w:left="3164" w:hanging="360"/>
      </w:pPr>
      <w:rPr>
        <w:rFonts w:ascii="Symbol" w:hAnsi="Symbol" w:hint="default"/>
      </w:rPr>
    </w:lvl>
    <w:lvl w:ilvl="4" w:tplc="04130003" w:tentative="1">
      <w:start w:val="1"/>
      <w:numFmt w:val="bullet"/>
      <w:lvlText w:val="o"/>
      <w:lvlJc w:val="left"/>
      <w:pPr>
        <w:tabs>
          <w:tab w:val="num" w:pos="3884"/>
        </w:tabs>
        <w:ind w:left="3884" w:hanging="360"/>
      </w:pPr>
      <w:rPr>
        <w:rFonts w:ascii="Courier New" w:hAnsi="Courier New" w:cs="Courier New" w:hint="default"/>
      </w:rPr>
    </w:lvl>
    <w:lvl w:ilvl="5" w:tplc="04130005" w:tentative="1">
      <w:start w:val="1"/>
      <w:numFmt w:val="bullet"/>
      <w:lvlText w:val=""/>
      <w:lvlJc w:val="left"/>
      <w:pPr>
        <w:tabs>
          <w:tab w:val="num" w:pos="4604"/>
        </w:tabs>
        <w:ind w:left="4604" w:hanging="360"/>
      </w:pPr>
      <w:rPr>
        <w:rFonts w:ascii="Wingdings" w:hAnsi="Wingdings" w:hint="default"/>
      </w:rPr>
    </w:lvl>
    <w:lvl w:ilvl="6" w:tplc="04130001" w:tentative="1">
      <w:start w:val="1"/>
      <w:numFmt w:val="bullet"/>
      <w:lvlText w:val=""/>
      <w:lvlJc w:val="left"/>
      <w:pPr>
        <w:tabs>
          <w:tab w:val="num" w:pos="5324"/>
        </w:tabs>
        <w:ind w:left="5324" w:hanging="360"/>
      </w:pPr>
      <w:rPr>
        <w:rFonts w:ascii="Symbol" w:hAnsi="Symbol" w:hint="default"/>
      </w:rPr>
    </w:lvl>
    <w:lvl w:ilvl="7" w:tplc="04130003" w:tentative="1">
      <w:start w:val="1"/>
      <w:numFmt w:val="bullet"/>
      <w:lvlText w:val="o"/>
      <w:lvlJc w:val="left"/>
      <w:pPr>
        <w:tabs>
          <w:tab w:val="num" w:pos="6044"/>
        </w:tabs>
        <w:ind w:left="6044" w:hanging="360"/>
      </w:pPr>
      <w:rPr>
        <w:rFonts w:ascii="Courier New" w:hAnsi="Courier New" w:cs="Courier New" w:hint="default"/>
      </w:rPr>
    </w:lvl>
    <w:lvl w:ilvl="8" w:tplc="04130005" w:tentative="1">
      <w:start w:val="1"/>
      <w:numFmt w:val="bullet"/>
      <w:lvlText w:val=""/>
      <w:lvlJc w:val="left"/>
      <w:pPr>
        <w:tabs>
          <w:tab w:val="num" w:pos="6764"/>
        </w:tabs>
        <w:ind w:left="6764" w:hanging="360"/>
      </w:pPr>
      <w:rPr>
        <w:rFonts w:ascii="Wingdings" w:hAnsi="Wingdings" w:hint="default"/>
      </w:rPr>
    </w:lvl>
  </w:abstractNum>
  <w:abstractNum w:abstractNumId="85" w15:restartNumberingAfterBreak="0">
    <w:nsid w:val="59D7615F"/>
    <w:multiLevelType w:val="hybridMultilevel"/>
    <w:tmpl w:val="65ACE500"/>
    <w:lvl w:ilvl="0" w:tplc="84A8BC12">
      <w:start w:val="1"/>
      <w:numFmt w:val="decimal"/>
      <w:lvlText w:val="%1."/>
      <w:lvlJc w:val="left"/>
      <w:pPr>
        <w:ind w:left="72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86" w15:restartNumberingAfterBreak="0">
    <w:nsid w:val="5A4E33F2"/>
    <w:multiLevelType w:val="hybridMultilevel"/>
    <w:tmpl w:val="7952E2D6"/>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7" w15:restartNumberingAfterBreak="0">
    <w:nsid w:val="5B2C62C3"/>
    <w:multiLevelType w:val="hybridMultilevel"/>
    <w:tmpl w:val="925A0CF2"/>
    <w:lvl w:ilvl="0" w:tplc="7A6636EE">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8" w15:restartNumberingAfterBreak="0">
    <w:nsid w:val="5CD46BAF"/>
    <w:multiLevelType w:val="hybridMultilevel"/>
    <w:tmpl w:val="EF00841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9" w15:restartNumberingAfterBreak="0">
    <w:nsid w:val="5D0D79CB"/>
    <w:multiLevelType w:val="hybridMultilevel"/>
    <w:tmpl w:val="70F4DD22"/>
    <w:lvl w:ilvl="0" w:tplc="24D2E9A2">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0" w15:restartNumberingAfterBreak="0">
    <w:nsid w:val="5D2D432A"/>
    <w:multiLevelType w:val="hybridMultilevel"/>
    <w:tmpl w:val="C00CFE14"/>
    <w:lvl w:ilvl="0" w:tplc="2CBA6B80">
      <w:start w:val="1"/>
      <w:numFmt w:val="decimal"/>
      <w:lvlText w:val="%1."/>
      <w:lvlJc w:val="left"/>
      <w:pPr>
        <w:tabs>
          <w:tab w:val="num" w:pos="1211"/>
        </w:tabs>
        <w:ind w:left="1211"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1" w15:restartNumberingAfterBreak="0">
    <w:nsid w:val="5E913AD9"/>
    <w:multiLevelType w:val="hybridMultilevel"/>
    <w:tmpl w:val="602E237A"/>
    <w:lvl w:ilvl="0" w:tplc="F9C4571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5EB16692"/>
    <w:multiLevelType w:val="hybridMultilevel"/>
    <w:tmpl w:val="3C3E61F8"/>
    <w:lvl w:ilvl="0" w:tplc="0813000F">
      <w:start w:val="1"/>
      <w:numFmt w:val="decimal"/>
      <w:lvlText w:val="%1."/>
      <w:lvlJc w:val="left"/>
      <w:pPr>
        <w:ind w:left="1571" w:hanging="360"/>
      </w:pPr>
    </w:lvl>
    <w:lvl w:ilvl="1" w:tplc="08130019" w:tentative="1">
      <w:start w:val="1"/>
      <w:numFmt w:val="lowerLetter"/>
      <w:lvlText w:val="%2."/>
      <w:lvlJc w:val="left"/>
      <w:pPr>
        <w:ind w:left="2291" w:hanging="360"/>
      </w:pPr>
    </w:lvl>
    <w:lvl w:ilvl="2" w:tplc="0813001B" w:tentative="1">
      <w:start w:val="1"/>
      <w:numFmt w:val="lowerRoman"/>
      <w:lvlText w:val="%3."/>
      <w:lvlJc w:val="right"/>
      <w:pPr>
        <w:ind w:left="3011" w:hanging="180"/>
      </w:pPr>
    </w:lvl>
    <w:lvl w:ilvl="3" w:tplc="0813000F" w:tentative="1">
      <w:start w:val="1"/>
      <w:numFmt w:val="decimal"/>
      <w:lvlText w:val="%4."/>
      <w:lvlJc w:val="left"/>
      <w:pPr>
        <w:ind w:left="3731" w:hanging="360"/>
      </w:pPr>
    </w:lvl>
    <w:lvl w:ilvl="4" w:tplc="08130019" w:tentative="1">
      <w:start w:val="1"/>
      <w:numFmt w:val="lowerLetter"/>
      <w:lvlText w:val="%5."/>
      <w:lvlJc w:val="left"/>
      <w:pPr>
        <w:ind w:left="4451" w:hanging="360"/>
      </w:pPr>
    </w:lvl>
    <w:lvl w:ilvl="5" w:tplc="0813001B" w:tentative="1">
      <w:start w:val="1"/>
      <w:numFmt w:val="lowerRoman"/>
      <w:lvlText w:val="%6."/>
      <w:lvlJc w:val="right"/>
      <w:pPr>
        <w:ind w:left="5171" w:hanging="180"/>
      </w:pPr>
    </w:lvl>
    <w:lvl w:ilvl="6" w:tplc="0813000F" w:tentative="1">
      <w:start w:val="1"/>
      <w:numFmt w:val="decimal"/>
      <w:lvlText w:val="%7."/>
      <w:lvlJc w:val="left"/>
      <w:pPr>
        <w:ind w:left="5891" w:hanging="360"/>
      </w:pPr>
    </w:lvl>
    <w:lvl w:ilvl="7" w:tplc="08130019" w:tentative="1">
      <w:start w:val="1"/>
      <w:numFmt w:val="lowerLetter"/>
      <w:lvlText w:val="%8."/>
      <w:lvlJc w:val="left"/>
      <w:pPr>
        <w:ind w:left="6611" w:hanging="360"/>
      </w:pPr>
    </w:lvl>
    <w:lvl w:ilvl="8" w:tplc="0813001B" w:tentative="1">
      <w:start w:val="1"/>
      <w:numFmt w:val="lowerRoman"/>
      <w:lvlText w:val="%9."/>
      <w:lvlJc w:val="right"/>
      <w:pPr>
        <w:ind w:left="7331" w:hanging="180"/>
      </w:pPr>
    </w:lvl>
  </w:abstractNum>
  <w:abstractNum w:abstractNumId="93" w15:restartNumberingAfterBreak="0">
    <w:nsid w:val="5F47027E"/>
    <w:multiLevelType w:val="hybridMultilevel"/>
    <w:tmpl w:val="828CB18C"/>
    <w:lvl w:ilvl="0" w:tplc="A8845364">
      <w:start w:val="1"/>
      <w:numFmt w:val="lowerLetter"/>
      <w:lvlText w:val="%1."/>
      <w:lvlJc w:val="right"/>
      <w:pPr>
        <w:tabs>
          <w:tab w:val="num" w:pos="1211"/>
        </w:tabs>
        <w:ind w:left="1211" w:hanging="180"/>
      </w:pPr>
      <w:rPr>
        <w:rFonts w:hint="default"/>
      </w:rPr>
    </w:lvl>
    <w:lvl w:ilvl="1" w:tplc="04130019" w:tentative="1">
      <w:start w:val="1"/>
      <w:numFmt w:val="lowerLetter"/>
      <w:lvlText w:val="%2."/>
      <w:lvlJc w:val="left"/>
      <w:pPr>
        <w:tabs>
          <w:tab w:val="num" w:pos="720"/>
        </w:tabs>
        <w:ind w:left="720" w:hanging="360"/>
      </w:pPr>
    </w:lvl>
    <w:lvl w:ilvl="2" w:tplc="0413001B" w:tentative="1">
      <w:start w:val="1"/>
      <w:numFmt w:val="lowerRoman"/>
      <w:lvlText w:val="%3."/>
      <w:lvlJc w:val="right"/>
      <w:pPr>
        <w:tabs>
          <w:tab w:val="num" w:pos="1440"/>
        </w:tabs>
        <w:ind w:left="1440" w:hanging="180"/>
      </w:pPr>
    </w:lvl>
    <w:lvl w:ilvl="3" w:tplc="0413000F" w:tentative="1">
      <w:start w:val="1"/>
      <w:numFmt w:val="decimal"/>
      <w:lvlText w:val="%4."/>
      <w:lvlJc w:val="left"/>
      <w:pPr>
        <w:tabs>
          <w:tab w:val="num" w:pos="2160"/>
        </w:tabs>
        <w:ind w:left="2160" w:hanging="360"/>
      </w:pPr>
    </w:lvl>
    <w:lvl w:ilvl="4" w:tplc="04130019" w:tentative="1">
      <w:start w:val="1"/>
      <w:numFmt w:val="lowerLetter"/>
      <w:lvlText w:val="%5."/>
      <w:lvlJc w:val="left"/>
      <w:pPr>
        <w:tabs>
          <w:tab w:val="num" w:pos="2880"/>
        </w:tabs>
        <w:ind w:left="2880" w:hanging="360"/>
      </w:pPr>
    </w:lvl>
    <w:lvl w:ilvl="5" w:tplc="0413001B" w:tentative="1">
      <w:start w:val="1"/>
      <w:numFmt w:val="lowerRoman"/>
      <w:lvlText w:val="%6."/>
      <w:lvlJc w:val="right"/>
      <w:pPr>
        <w:tabs>
          <w:tab w:val="num" w:pos="3600"/>
        </w:tabs>
        <w:ind w:left="3600" w:hanging="180"/>
      </w:pPr>
    </w:lvl>
    <w:lvl w:ilvl="6" w:tplc="0413000F" w:tentative="1">
      <w:start w:val="1"/>
      <w:numFmt w:val="decimal"/>
      <w:lvlText w:val="%7."/>
      <w:lvlJc w:val="left"/>
      <w:pPr>
        <w:tabs>
          <w:tab w:val="num" w:pos="4320"/>
        </w:tabs>
        <w:ind w:left="4320" w:hanging="360"/>
      </w:pPr>
    </w:lvl>
    <w:lvl w:ilvl="7" w:tplc="04130019" w:tentative="1">
      <w:start w:val="1"/>
      <w:numFmt w:val="lowerLetter"/>
      <w:lvlText w:val="%8."/>
      <w:lvlJc w:val="left"/>
      <w:pPr>
        <w:tabs>
          <w:tab w:val="num" w:pos="5040"/>
        </w:tabs>
        <w:ind w:left="5040" w:hanging="360"/>
      </w:pPr>
    </w:lvl>
    <w:lvl w:ilvl="8" w:tplc="0413001B" w:tentative="1">
      <w:start w:val="1"/>
      <w:numFmt w:val="lowerRoman"/>
      <w:lvlText w:val="%9."/>
      <w:lvlJc w:val="right"/>
      <w:pPr>
        <w:tabs>
          <w:tab w:val="num" w:pos="5760"/>
        </w:tabs>
        <w:ind w:left="5760" w:hanging="180"/>
      </w:pPr>
    </w:lvl>
  </w:abstractNum>
  <w:abstractNum w:abstractNumId="94" w15:restartNumberingAfterBreak="0">
    <w:nsid w:val="610E1814"/>
    <w:multiLevelType w:val="hybridMultilevel"/>
    <w:tmpl w:val="F754E228"/>
    <w:lvl w:ilvl="0" w:tplc="0413000F">
      <w:start w:val="1"/>
      <w:numFmt w:val="decimal"/>
      <w:lvlText w:val="%1."/>
      <w:lvlJc w:val="left"/>
      <w:pPr>
        <w:tabs>
          <w:tab w:val="num" w:pos="1211"/>
        </w:tabs>
        <w:ind w:left="1211" w:hanging="360"/>
      </w:pPr>
    </w:lvl>
    <w:lvl w:ilvl="1" w:tplc="04130019" w:tentative="1">
      <w:start w:val="1"/>
      <w:numFmt w:val="lowerLetter"/>
      <w:lvlText w:val="%2."/>
      <w:lvlJc w:val="left"/>
      <w:pPr>
        <w:tabs>
          <w:tab w:val="num" w:pos="1931"/>
        </w:tabs>
        <w:ind w:left="1931" w:hanging="360"/>
      </w:pPr>
    </w:lvl>
    <w:lvl w:ilvl="2" w:tplc="0413001B" w:tentative="1">
      <w:start w:val="1"/>
      <w:numFmt w:val="lowerRoman"/>
      <w:lvlText w:val="%3."/>
      <w:lvlJc w:val="right"/>
      <w:pPr>
        <w:tabs>
          <w:tab w:val="num" w:pos="2651"/>
        </w:tabs>
        <w:ind w:left="2651" w:hanging="180"/>
      </w:pPr>
    </w:lvl>
    <w:lvl w:ilvl="3" w:tplc="0413000F" w:tentative="1">
      <w:start w:val="1"/>
      <w:numFmt w:val="decimal"/>
      <w:lvlText w:val="%4."/>
      <w:lvlJc w:val="left"/>
      <w:pPr>
        <w:tabs>
          <w:tab w:val="num" w:pos="3371"/>
        </w:tabs>
        <w:ind w:left="3371" w:hanging="360"/>
      </w:pPr>
    </w:lvl>
    <w:lvl w:ilvl="4" w:tplc="04130019" w:tentative="1">
      <w:start w:val="1"/>
      <w:numFmt w:val="lowerLetter"/>
      <w:lvlText w:val="%5."/>
      <w:lvlJc w:val="left"/>
      <w:pPr>
        <w:tabs>
          <w:tab w:val="num" w:pos="4091"/>
        </w:tabs>
        <w:ind w:left="4091" w:hanging="360"/>
      </w:pPr>
    </w:lvl>
    <w:lvl w:ilvl="5" w:tplc="0413001B" w:tentative="1">
      <w:start w:val="1"/>
      <w:numFmt w:val="lowerRoman"/>
      <w:lvlText w:val="%6."/>
      <w:lvlJc w:val="right"/>
      <w:pPr>
        <w:tabs>
          <w:tab w:val="num" w:pos="4811"/>
        </w:tabs>
        <w:ind w:left="4811" w:hanging="180"/>
      </w:pPr>
    </w:lvl>
    <w:lvl w:ilvl="6" w:tplc="0413000F" w:tentative="1">
      <w:start w:val="1"/>
      <w:numFmt w:val="decimal"/>
      <w:lvlText w:val="%7."/>
      <w:lvlJc w:val="left"/>
      <w:pPr>
        <w:tabs>
          <w:tab w:val="num" w:pos="5531"/>
        </w:tabs>
        <w:ind w:left="5531" w:hanging="360"/>
      </w:pPr>
    </w:lvl>
    <w:lvl w:ilvl="7" w:tplc="04130019" w:tentative="1">
      <w:start w:val="1"/>
      <w:numFmt w:val="lowerLetter"/>
      <w:lvlText w:val="%8."/>
      <w:lvlJc w:val="left"/>
      <w:pPr>
        <w:tabs>
          <w:tab w:val="num" w:pos="6251"/>
        </w:tabs>
        <w:ind w:left="6251" w:hanging="360"/>
      </w:pPr>
    </w:lvl>
    <w:lvl w:ilvl="8" w:tplc="0413001B" w:tentative="1">
      <w:start w:val="1"/>
      <w:numFmt w:val="lowerRoman"/>
      <w:lvlText w:val="%9."/>
      <w:lvlJc w:val="right"/>
      <w:pPr>
        <w:tabs>
          <w:tab w:val="num" w:pos="6971"/>
        </w:tabs>
        <w:ind w:left="6971" w:hanging="180"/>
      </w:pPr>
    </w:lvl>
  </w:abstractNum>
  <w:abstractNum w:abstractNumId="95" w15:restartNumberingAfterBreak="0">
    <w:nsid w:val="61180E34"/>
    <w:multiLevelType w:val="hybridMultilevel"/>
    <w:tmpl w:val="46466C4C"/>
    <w:lvl w:ilvl="0" w:tplc="D7B0249C">
      <w:start w:val="1"/>
      <w:numFmt w:val="decimal"/>
      <w:lvlText w:val="%1."/>
      <w:lvlJc w:val="left"/>
      <w:pPr>
        <w:tabs>
          <w:tab w:val="num" w:pos="1211"/>
        </w:tabs>
        <w:ind w:left="1211"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6" w15:restartNumberingAfterBreak="0">
    <w:nsid w:val="6182034F"/>
    <w:multiLevelType w:val="hybridMultilevel"/>
    <w:tmpl w:val="2B70CAC6"/>
    <w:lvl w:ilvl="0" w:tplc="4CD87B7A">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7" w15:restartNumberingAfterBreak="0">
    <w:nsid w:val="61AA044C"/>
    <w:multiLevelType w:val="hybridMultilevel"/>
    <w:tmpl w:val="13E6A40A"/>
    <w:lvl w:ilvl="0" w:tplc="F9C45710">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8" w15:restartNumberingAfterBreak="0">
    <w:nsid w:val="6315796F"/>
    <w:multiLevelType w:val="hybridMultilevel"/>
    <w:tmpl w:val="F5183470"/>
    <w:lvl w:ilvl="0" w:tplc="DCB0FF10">
      <w:start w:val="1"/>
      <w:numFmt w:val="decimal"/>
      <w:lvlText w:val="%1."/>
      <w:lvlJc w:val="left"/>
      <w:pPr>
        <w:tabs>
          <w:tab w:val="num" w:pos="1211"/>
        </w:tabs>
        <w:ind w:left="1211" w:hanging="360"/>
      </w:pPr>
    </w:lvl>
    <w:lvl w:ilvl="1" w:tplc="04130019" w:tentative="1">
      <w:start w:val="1"/>
      <w:numFmt w:val="lowerLetter"/>
      <w:lvlText w:val="%2."/>
      <w:lvlJc w:val="left"/>
      <w:pPr>
        <w:tabs>
          <w:tab w:val="num" w:pos="1931"/>
        </w:tabs>
        <w:ind w:left="1931" w:hanging="360"/>
      </w:pPr>
    </w:lvl>
    <w:lvl w:ilvl="2" w:tplc="0413001B" w:tentative="1">
      <w:start w:val="1"/>
      <w:numFmt w:val="lowerRoman"/>
      <w:lvlText w:val="%3."/>
      <w:lvlJc w:val="right"/>
      <w:pPr>
        <w:tabs>
          <w:tab w:val="num" w:pos="2651"/>
        </w:tabs>
        <w:ind w:left="2651" w:hanging="180"/>
      </w:pPr>
    </w:lvl>
    <w:lvl w:ilvl="3" w:tplc="0413000F" w:tentative="1">
      <w:start w:val="1"/>
      <w:numFmt w:val="decimal"/>
      <w:lvlText w:val="%4."/>
      <w:lvlJc w:val="left"/>
      <w:pPr>
        <w:tabs>
          <w:tab w:val="num" w:pos="3371"/>
        </w:tabs>
        <w:ind w:left="3371" w:hanging="360"/>
      </w:pPr>
    </w:lvl>
    <w:lvl w:ilvl="4" w:tplc="04130019" w:tentative="1">
      <w:start w:val="1"/>
      <w:numFmt w:val="lowerLetter"/>
      <w:lvlText w:val="%5."/>
      <w:lvlJc w:val="left"/>
      <w:pPr>
        <w:tabs>
          <w:tab w:val="num" w:pos="4091"/>
        </w:tabs>
        <w:ind w:left="4091" w:hanging="360"/>
      </w:pPr>
    </w:lvl>
    <w:lvl w:ilvl="5" w:tplc="0413001B" w:tentative="1">
      <w:start w:val="1"/>
      <w:numFmt w:val="lowerRoman"/>
      <w:lvlText w:val="%6."/>
      <w:lvlJc w:val="right"/>
      <w:pPr>
        <w:tabs>
          <w:tab w:val="num" w:pos="4811"/>
        </w:tabs>
        <w:ind w:left="4811" w:hanging="180"/>
      </w:pPr>
    </w:lvl>
    <w:lvl w:ilvl="6" w:tplc="0413000F" w:tentative="1">
      <w:start w:val="1"/>
      <w:numFmt w:val="decimal"/>
      <w:lvlText w:val="%7."/>
      <w:lvlJc w:val="left"/>
      <w:pPr>
        <w:tabs>
          <w:tab w:val="num" w:pos="5531"/>
        </w:tabs>
        <w:ind w:left="5531" w:hanging="360"/>
      </w:pPr>
    </w:lvl>
    <w:lvl w:ilvl="7" w:tplc="04130019" w:tentative="1">
      <w:start w:val="1"/>
      <w:numFmt w:val="lowerLetter"/>
      <w:lvlText w:val="%8."/>
      <w:lvlJc w:val="left"/>
      <w:pPr>
        <w:tabs>
          <w:tab w:val="num" w:pos="6251"/>
        </w:tabs>
        <w:ind w:left="6251" w:hanging="360"/>
      </w:pPr>
    </w:lvl>
    <w:lvl w:ilvl="8" w:tplc="0413001B" w:tentative="1">
      <w:start w:val="1"/>
      <w:numFmt w:val="lowerRoman"/>
      <w:lvlText w:val="%9."/>
      <w:lvlJc w:val="right"/>
      <w:pPr>
        <w:tabs>
          <w:tab w:val="num" w:pos="6971"/>
        </w:tabs>
        <w:ind w:left="6971" w:hanging="180"/>
      </w:pPr>
    </w:lvl>
  </w:abstractNum>
  <w:abstractNum w:abstractNumId="99" w15:restartNumberingAfterBreak="0">
    <w:nsid w:val="631D16AD"/>
    <w:multiLevelType w:val="hybridMultilevel"/>
    <w:tmpl w:val="CE900CC8"/>
    <w:lvl w:ilvl="0" w:tplc="BE22A5BC">
      <w:start w:val="1"/>
      <w:numFmt w:val="upperRoman"/>
      <w:lvlText w:val="%1)"/>
      <w:lvlJc w:val="left"/>
      <w:pPr>
        <w:tabs>
          <w:tab w:val="num" w:pos="1571"/>
        </w:tabs>
        <w:ind w:left="1571" w:hanging="360"/>
      </w:pPr>
      <w:rPr>
        <w:rFonts w:hint="default"/>
      </w:rPr>
    </w:lvl>
    <w:lvl w:ilvl="1" w:tplc="BE22A5BC">
      <w:start w:val="1"/>
      <w:numFmt w:val="upperRoman"/>
      <w:lvlText w:val="%2)"/>
      <w:lvlJc w:val="left"/>
      <w:pPr>
        <w:tabs>
          <w:tab w:val="num" w:pos="1440"/>
        </w:tabs>
        <w:ind w:left="1440" w:hanging="360"/>
      </w:pPr>
      <w:rPr>
        <w:rFonts w:hint="default"/>
      </w:rPr>
    </w:lvl>
    <w:lvl w:ilvl="2" w:tplc="0813001B">
      <w:start w:val="1"/>
      <w:numFmt w:val="lowerRoman"/>
      <w:lvlText w:val="%3."/>
      <w:lvlJc w:val="right"/>
      <w:pPr>
        <w:tabs>
          <w:tab w:val="num" w:pos="2160"/>
        </w:tabs>
        <w:ind w:left="2160" w:hanging="180"/>
      </w:pPr>
    </w:lvl>
    <w:lvl w:ilvl="3" w:tplc="BDB66CFE">
      <w:start w:val="1"/>
      <w:numFmt w:val="decimal"/>
      <w:lvlText w:val="%4."/>
      <w:lvlJc w:val="left"/>
      <w:pPr>
        <w:ind w:left="2880" w:hanging="360"/>
      </w:pPr>
      <w:rPr>
        <w:rFonts w:hint="default"/>
      </w:r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100" w15:restartNumberingAfterBreak="0">
    <w:nsid w:val="63C55743"/>
    <w:multiLevelType w:val="hybridMultilevel"/>
    <w:tmpl w:val="E65E652C"/>
    <w:lvl w:ilvl="0" w:tplc="BCBE39A2">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1" w15:restartNumberingAfterBreak="0">
    <w:nsid w:val="647816B9"/>
    <w:multiLevelType w:val="hybridMultilevel"/>
    <w:tmpl w:val="D556D14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2" w15:restartNumberingAfterBreak="0">
    <w:nsid w:val="6552596D"/>
    <w:multiLevelType w:val="hybridMultilevel"/>
    <w:tmpl w:val="0D10603E"/>
    <w:lvl w:ilvl="0" w:tplc="0413000F">
      <w:start w:val="1"/>
      <w:numFmt w:val="lowerLetter"/>
      <w:lvlText w:val="%1."/>
      <w:lvlJc w:val="right"/>
      <w:pPr>
        <w:tabs>
          <w:tab w:val="num" w:pos="1211"/>
        </w:tabs>
        <w:ind w:left="1211" w:hanging="180"/>
      </w:pPr>
      <w:rPr>
        <w:rFonts w:hint="default"/>
      </w:rPr>
    </w:lvl>
    <w:lvl w:ilvl="1" w:tplc="04130019" w:tentative="1">
      <w:start w:val="1"/>
      <w:numFmt w:val="lowerLetter"/>
      <w:lvlText w:val="%2."/>
      <w:lvlJc w:val="left"/>
      <w:pPr>
        <w:tabs>
          <w:tab w:val="num" w:pos="720"/>
        </w:tabs>
        <w:ind w:left="720" w:hanging="360"/>
      </w:pPr>
    </w:lvl>
    <w:lvl w:ilvl="2" w:tplc="0413001B" w:tentative="1">
      <w:start w:val="1"/>
      <w:numFmt w:val="lowerRoman"/>
      <w:lvlText w:val="%3."/>
      <w:lvlJc w:val="right"/>
      <w:pPr>
        <w:tabs>
          <w:tab w:val="num" w:pos="1440"/>
        </w:tabs>
        <w:ind w:left="1440" w:hanging="180"/>
      </w:pPr>
    </w:lvl>
    <w:lvl w:ilvl="3" w:tplc="0413000F" w:tentative="1">
      <w:start w:val="1"/>
      <w:numFmt w:val="decimal"/>
      <w:lvlText w:val="%4."/>
      <w:lvlJc w:val="left"/>
      <w:pPr>
        <w:tabs>
          <w:tab w:val="num" w:pos="2160"/>
        </w:tabs>
        <w:ind w:left="2160" w:hanging="360"/>
      </w:pPr>
    </w:lvl>
    <w:lvl w:ilvl="4" w:tplc="04130019" w:tentative="1">
      <w:start w:val="1"/>
      <w:numFmt w:val="lowerLetter"/>
      <w:lvlText w:val="%5."/>
      <w:lvlJc w:val="left"/>
      <w:pPr>
        <w:tabs>
          <w:tab w:val="num" w:pos="2880"/>
        </w:tabs>
        <w:ind w:left="2880" w:hanging="360"/>
      </w:pPr>
    </w:lvl>
    <w:lvl w:ilvl="5" w:tplc="0413001B" w:tentative="1">
      <w:start w:val="1"/>
      <w:numFmt w:val="lowerRoman"/>
      <w:lvlText w:val="%6."/>
      <w:lvlJc w:val="right"/>
      <w:pPr>
        <w:tabs>
          <w:tab w:val="num" w:pos="3600"/>
        </w:tabs>
        <w:ind w:left="3600" w:hanging="180"/>
      </w:pPr>
    </w:lvl>
    <w:lvl w:ilvl="6" w:tplc="0413000F" w:tentative="1">
      <w:start w:val="1"/>
      <w:numFmt w:val="decimal"/>
      <w:lvlText w:val="%7."/>
      <w:lvlJc w:val="left"/>
      <w:pPr>
        <w:tabs>
          <w:tab w:val="num" w:pos="4320"/>
        </w:tabs>
        <w:ind w:left="4320" w:hanging="360"/>
      </w:pPr>
    </w:lvl>
    <w:lvl w:ilvl="7" w:tplc="04130019" w:tentative="1">
      <w:start w:val="1"/>
      <w:numFmt w:val="lowerLetter"/>
      <w:lvlText w:val="%8."/>
      <w:lvlJc w:val="left"/>
      <w:pPr>
        <w:tabs>
          <w:tab w:val="num" w:pos="5040"/>
        </w:tabs>
        <w:ind w:left="5040" w:hanging="360"/>
      </w:pPr>
    </w:lvl>
    <w:lvl w:ilvl="8" w:tplc="0413001B" w:tentative="1">
      <w:start w:val="1"/>
      <w:numFmt w:val="lowerRoman"/>
      <w:lvlText w:val="%9."/>
      <w:lvlJc w:val="right"/>
      <w:pPr>
        <w:tabs>
          <w:tab w:val="num" w:pos="5760"/>
        </w:tabs>
        <w:ind w:left="5760" w:hanging="180"/>
      </w:pPr>
    </w:lvl>
  </w:abstractNum>
  <w:abstractNum w:abstractNumId="103" w15:restartNumberingAfterBreak="0">
    <w:nsid w:val="662858F1"/>
    <w:multiLevelType w:val="hybridMultilevel"/>
    <w:tmpl w:val="63D0A296"/>
    <w:lvl w:ilvl="0" w:tplc="8C5AC45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949"/>
        </w:tabs>
        <w:ind w:left="949" w:hanging="360"/>
      </w:pPr>
    </w:lvl>
    <w:lvl w:ilvl="2" w:tplc="FFFFFFFF" w:tentative="1">
      <w:start w:val="1"/>
      <w:numFmt w:val="lowerRoman"/>
      <w:lvlText w:val="%3."/>
      <w:lvlJc w:val="right"/>
      <w:pPr>
        <w:tabs>
          <w:tab w:val="num" w:pos="1669"/>
        </w:tabs>
        <w:ind w:left="1669" w:hanging="180"/>
      </w:pPr>
    </w:lvl>
    <w:lvl w:ilvl="3" w:tplc="FFFFFFFF" w:tentative="1">
      <w:start w:val="1"/>
      <w:numFmt w:val="decimal"/>
      <w:lvlText w:val="%4."/>
      <w:lvlJc w:val="left"/>
      <w:pPr>
        <w:tabs>
          <w:tab w:val="num" w:pos="2389"/>
        </w:tabs>
        <w:ind w:left="2389" w:hanging="360"/>
      </w:pPr>
    </w:lvl>
    <w:lvl w:ilvl="4" w:tplc="FFFFFFFF" w:tentative="1">
      <w:start w:val="1"/>
      <w:numFmt w:val="lowerLetter"/>
      <w:lvlText w:val="%5."/>
      <w:lvlJc w:val="left"/>
      <w:pPr>
        <w:tabs>
          <w:tab w:val="num" w:pos="3109"/>
        </w:tabs>
        <w:ind w:left="3109" w:hanging="360"/>
      </w:pPr>
    </w:lvl>
    <w:lvl w:ilvl="5" w:tplc="FFFFFFFF" w:tentative="1">
      <w:start w:val="1"/>
      <w:numFmt w:val="lowerRoman"/>
      <w:lvlText w:val="%6."/>
      <w:lvlJc w:val="right"/>
      <w:pPr>
        <w:tabs>
          <w:tab w:val="num" w:pos="3829"/>
        </w:tabs>
        <w:ind w:left="3829" w:hanging="180"/>
      </w:pPr>
    </w:lvl>
    <w:lvl w:ilvl="6" w:tplc="FFFFFFFF" w:tentative="1">
      <w:start w:val="1"/>
      <w:numFmt w:val="decimal"/>
      <w:lvlText w:val="%7."/>
      <w:lvlJc w:val="left"/>
      <w:pPr>
        <w:tabs>
          <w:tab w:val="num" w:pos="4549"/>
        </w:tabs>
        <w:ind w:left="4549" w:hanging="360"/>
      </w:pPr>
    </w:lvl>
    <w:lvl w:ilvl="7" w:tplc="FFFFFFFF" w:tentative="1">
      <w:start w:val="1"/>
      <w:numFmt w:val="lowerLetter"/>
      <w:lvlText w:val="%8."/>
      <w:lvlJc w:val="left"/>
      <w:pPr>
        <w:tabs>
          <w:tab w:val="num" w:pos="5269"/>
        </w:tabs>
        <w:ind w:left="5269" w:hanging="360"/>
      </w:pPr>
    </w:lvl>
    <w:lvl w:ilvl="8" w:tplc="FFFFFFFF" w:tentative="1">
      <w:start w:val="1"/>
      <w:numFmt w:val="lowerRoman"/>
      <w:lvlText w:val="%9."/>
      <w:lvlJc w:val="right"/>
      <w:pPr>
        <w:tabs>
          <w:tab w:val="num" w:pos="5989"/>
        </w:tabs>
        <w:ind w:left="5989" w:hanging="180"/>
      </w:pPr>
    </w:lvl>
  </w:abstractNum>
  <w:abstractNum w:abstractNumId="104" w15:restartNumberingAfterBreak="0">
    <w:nsid w:val="662C0287"/>
    <w:multiLevelType w:val="hybridMultilevel"/>
    <w:tmpl w:val="335EFB0C"/>
    <w:lvl w:ilvl="0" w:tplc="39583622">
      <w:start w:val="1"/>
      <w:numFmt w:val="bullet"/>
      <w:lvlText w:val="-"/>
      <w:lvlJc w:val="left"/>
      <w:pPr>
        <w:tabs>
          <w:tab w:val="num" w:pos="491"/>
        </w:tabs>
        <w:ind w:left="1211" w:hanging="360"/>
      </w:pPr>
      <w:rPr>
        <w:rFonts w:ascii="Courier New" w:hAnsi="Courier New" w:hint="default"/>
      </w:rPr>
    </w:lvl>
    <w:lvl w:ilvl="1" w:tplc="04130003" w:tentative="1">
      <w:start w:val="1"/>
      <w:numFmt w:val="bullet"/>
      <w:lvlText w:val="o"/>
      <w:lvlJc w:val="left"/>
      <w:pPr>
        <w:tabs>
          <w:tab w:val="num" w:pos="2291"/>
        </w:tabs>
        <w:ind w:left="2291" w:hanging="360"/>
      </w:pPr>
      <w:rPr>
        <w:rFonts w:ascii="Courier New" w:hAnsi="Courier New" w:cs="Courier New" w:hint="default"/>
      </w:rPr>
    </w:lvl>
    <w:lvl w:ilvl="2" w:tplc="04130005" w:tentative="1">
      <w:start w:val="1"/>
      <w:numFmt w:val="bullet"/>
      <w:lvlText w:val=""/>
      <w:lvlJc w:val="left"/>
      <w:pPr>
        <w:tabs>
          <w:tab w:val="num" w:pos="3011"/>
        </w:tabs>
        <w:ind w:left="3011" w:hanging="360"/>
      </w:pPr>
      <w:rPr>
        <w:rFonts w:ascii="Wingdings" w:hAnsi="Wingdings" w:hint="default"/>
      </w:rPr>
    </w:lvl>
    <w:lvl w:ilvl="3" w:tplc="04130001" w:tentative="1">
      <w:start w:val="1"/>
      <w:numFmt w:val="bullet"/>
      <w:lvlText w:val=""/>
      <w:lvlJc w:val="left"/>
      <w:pPr>
        <w:tabs>
          <w:tab w:val="num" w:pos="3731"/>
        </w:tabs>
        <w:ind w:left="3731" w:hanging="360"/>
      </w:pPr>
      <w:rPr>
        <w:rFonts w:ascii="Symbol" w:hAnsi="Symbol" w:hint="default"/>
      </w:rPr>
    </w:lvl>
    <w:lvl w:ilvl="4" w:tplc="04130003" w:tentative="1">
      <w:start w:val="1"/>
      <w:numFmt w:val="bullet"/>
      <w:lvlText w:val="o"/>
      <w:lvlJc w:val="left"/>
      <w:pPr>
        <w:tabs>
          <w:tab w:val="num" w:pos="4451"/>
        </w:tabs>
        <w:ind w:left="4451" w:hanging="360"/>
      </w:pPr>
      <w:rPr>
        <w:rFonts w:ascii="Courier New" w:hAnsi="Courier New" w:cs="Courier New" w:hint="default"/>
      </w:rPr>
    </w:lvl>
    <w:lvl w:ilvl="5" w:tplc="04130005" w:tentative="1">
      <w:start w:val="1"/>
      <w:numFmt w:val="bullet"/>
      <w:lvlText w:val=""/>
      <w:lvlJc w:val="left"/>
      <w:pPr>
        <w:tabs>
          <w:tab w:val="num" w:pos="5171"/>
        </w:tabs>
        <w:ind w:left="5171" w:hanging="360"/>
      </w:pPr>
      <w:rPr>
        <w:rFonts w:ascii="Wingdings" w:hAnsi="Wingdings" w:hint="default"/>
      </w:rPr>
    </w:lvl>
    <w:lvl w:ilvl="6" w:tplc="04130001" w:tentative="1">
      <w:start w:val="1"/>
      <w:numFmt w:val="bullet"/>
      <w:lvlText w:val=""/>
      <w:lvlJc w:val="left"/>
      <w:pPr>
        <w:tabs>
          <w:tab w:val="num" w:pos="5891"/>
        </w:tabs>
        <w:ind w:left="5891" w:hanging="360"/>
      </w:pPr>
      <w:rPr>
        <w:rFonts w:ascii="Symbol" w:hAnsi="Symbol" w:hint="default"/>
      </w:rPr>
    </w:lvl>
    <w:lvl w:ilvl="7" w:tplc="04130003" w:tentative="1">
      <w:start w:val="1"/>
      <w:numFmt w:val="bullet"/>
      <w:lvlText w:val="o"/>
      <w:lvlJc w:val="left"/>
      <w:pPr>
        <w:tabs>
          <w:tab w:val="num" w:pos="6611"/>
        </w:tabs>
        <w:ind w:left="6611" w:hanging="360"/>
      </w:pPr>
      <w:rPr>
        <w:rFonts w:ascii="Courier New" w:hAnsi="Courier New" w:cs="Courier New" w:hint="default"/>
      </w:rPr>
    </w:lvl>
    <w:lvl w:ilvl="8" w:tplc="04130005" w:tentative="1">
      <w:start w:val="1"/>
      <w:numFmt w:val="bullet"/>
      <w:lvlText w:val=""/>
      <w:lvlJc w:val="left"/>
      <w:pPr>
        <w:tabs>
          <w:tab w:val="num" w:pos="7331"/>
        </w:tabs>
        <w:ind w:left="7331" w:hanging="360"/>
      </w:pPr>
      <w:rPr>
        <w:rFonts w:ascii="Wingdings" w:hAnsi="Wingdings" w:hint="default"/>
      </w:rPr>
    </w:lvl>
  </w:abstractNum>
  <w:abstractNum w:abstractNumId="105" w15:restartNumberingAfterBreak="0">
    <w:nsid w:val="663A0C9C"/>
    <w:multiLevelType w:val="hybridMultilevel"/>
    <w:tmpl w:val="D80A961C"/>
    <w:lvl w:ilvl="0" w:tplc="7F08D2BE">
      <w:start w:val="3"/>
      <w:numFmt w:val="bullet"/>
      <w:lvlText w:val="-"/>
      <w:lvlJc w:val="left"/>
      <w:pPr>
        <w:ind w:left="1571" w:hanging="360"/>
      </w:pPr>
      <w:rPr>
        <w:rFonts w:ascii="Times New Roman" w:eastAsia="Times New Roman" w:hAnsi="Times New Roman" w:cs="Times New Roman" w:hint="default"/>
        <w:color w:val="auto"/>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106" w15:restartNumberingAfterBreak="0">
    <w:nsid w:val="6ADB13B5"/>
    <w:multiLevelType w:val="hybridMultilevel"/>
    <w:tmpl w:val="5BD6A6A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7" w15:restartNumberingAfterBreak="0">
    <w:nsid w:val="6D896414"/>
    <w:multiLevelType w:val="hybridMultilevel"/>
    <w:tmpl w:val="840C3B80"/>
    <w:lvl w:ilvl="0" w:tplc="24D2E9A2">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8" w15:restartNumberingAfterBreak="0">
    <w:nsid w:val="6E405EAC"/>
    <w:multiLevelType w:val="hybridMultilevel"/>
    <w:tmpl w:val="489617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9" w15:restartNumberingAfterBreak="0">
    <w:nsid w:val="6FF3095E"/>
    <w:multiLevelType w:val="hybridMultilevel"/>
    <w:tmpl w:val="828CB18C"/>
    <w:lvl w:ilvl="0" w:tplc="FFFFFFFF">
      <w:start w:val="1"/>
      <w:numFmt w:val="lowerLetter"/>
      <w:lvlText w:val="%1."/>
      <w:lvlJc w:val="right"/>
      <w:pPr>
        <w:tabs>
          <w:tab w:val="num" w:pos="1211"/>
        </w:tabs>
        <w:ind w:left="1211" w:hanging="18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10" w15:restartNumberingAfterBreak="0">
    <w:nsid w:val="74511B45"/>
    <w:multiLevelType w:val="hybridMultilevel"/>
    <w:tmpl w:val="70F4DD2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15:restartNumberingAfterBreak="0">
    <w:nsid w:val="76740418"/>
    <w:multiLevelType w:val="hybridMultilevel"/>
    <w:tmpl w:val="7B82D1A2"/>
    <w:lvl w:ilvl="0" w:tplc="08130019">
      <w:start w:val="1"/>
      <w:numFmt w:val="lowerLetter"/>
      <w:lvlText w:val="%1."/>
      <w:lvlJc w:val="left"/>
      <w:pPr>
        <w:ind w:left="1211" w:hanging="360"/>
      </w:pPr>
    </w:lvl>
    <w:lvl w:ilvl="1" w:tplc="08130019" w:tentative="1">
      <w:start w:val="1"/>
      <w:numFmt w:val="lowerLetter"/>
      <w:lvlText w:val="%2."/>
      <w:lvlJc w:val="left"/>
      <w:pPr>
        <w:ind w:left="1931" w:hanging="360"/>
      </w:pPr>
    </w:lvl>
    <w:lvl w:ilvl="2" w:tplc="0813001B" w:tentative="1">
      <w:start w:val="1"/>
      <w:numFmt w:val="lowerRoman"/>
      <w:lvlText w:val="%3."/>
      <w:lvlJc w:val="right"/>
      <w:pPr>
        <w:ind w:left="2651" w:hanging="180"/>
      </w:pPr>
    </w:lvl>
    <w:lvl w:ilvl="3" w:tplc="0813000F" w:tentative="1">
      <w:start w:val="1"/>
      <w:numFmt w:val="decimal"/>
      <w:lvlText w:val="%4."/>
      <w:lvlJc w:val="left"/>
      <w:pPr>
        <w:ind w:left="3371" w:hanging="360"/>
      </w:pPr>
    </w:lvl>
    <w:lvl w:ilvl="4" w:tplc="08130019" w:tentative="1">
      <w:start w:val="1"/>
      <w:numFmt w:val="lowerLetter"/>
      <w:lvlText w:val="%5."/>
      <w:lvlJc w:val="left"/>
      <w:pPr>
        <w:ind w:left="4091" w:hanging="360"/>
      </w:pPr>
    </w:lvl>
    <w:lvl w:ilvl="5" w:tplc="0813001B" w:tentative="1">
      <w:start w:val="1"/>
      <w:numFmt w:val="lowerRoman"/>
      <w:lvlText w:val="%6."/>
      <w:lvlJc w:val="right"/>
      <w:pPr>
        <w:ind w:left="4811" w:hanging="180"/>
      </w:pPr>
    </w:lvl>
    <w:lvl w:ilvl="6" w:tplc="0813000F" w:tentative="1">
      <w:start w:val="1"/>
      <w:numFmt w:val="decimal"/>
      <w:lvlText w:val="%7."/>
      <w:lvlJc w:val="left"/>
      <w:pPr>
        <w:ind w:left="5531" w:hanging="360"/>
      </w:pPr>
    </w:lvl>
    <w:lvl w:ilvl="7" w:tplc="08130019" w:tentative="1">
      <w:start w:val="1"/>
      <w:numFmt w:val="lowerLetter"/>
      <w:lvlText w:val="%8."/>
      <w:lvlJc w:val="left"/>
      <w:pPr>
        <w:ind w:left="6251" w:hanging="360"/>
      </w:pPr>
    </w:lvl>
    <w:lvl w:ilvl="8" w:tplc="0813001B" w:tentative="1">
      <w:start w:val="1"/>
      <w:numFmt w:val="lowerRoman"/>
      <w:lvlText w:val="%9."/>
      <w:lvlJc w:val="right"/>
      <w:pPr>
        <w:ind w:left="6971" w:hanging="180"/>
      </w:pPr>
    </w:lvl>
  </w:abstractNum>
  <w:abstractNum w:abstractNumId="112" w15:restartNumberingAfterBreak="0">
    <w:nsid w:val="76794A62"/>
    <w:multiLevelType w:val="hybridMultilevel"/>
    <w:tmpl w:val="CDA27C3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3" w15:restartNumberingAfterBreak="0">
    <w:nsid w:val="77750ECB"/>
    <w:multiLevelType w:val="hybridMultilevel"/>
    <w:tmpl w:val="DF6A771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4" w15:restartNumberingAfterBreak="0">
    <w:nsid w:val="786168DD"/>
    <w:multiLevelType w:val="hybridMultilevel"/>
    <w:tmpl w:val="9530C9BE"/>
    <w:lvl w:ilvl="0" w:tplc="8B6C2AA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B4C6A55"/>
    <w:multiLevelType w:val="hybridMultilevel"/>
    <w:tmpl w:val="748A4B5E"/>
    <w:lvl w:ilvl="0" w:tplc="3F9A442C">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6" w15:restartNumberingAfterBreak="0">
    <w:nsid w:val="7D3949FB"/>
    <w:multiLevelType w:val="hybridMultilevel"/>
    <w:tmpl w:val="B7E09BFA"/>
    <w:lvl w:ilvl="0" w:tplc="8C1C7BE4">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7" w15:restartNumberingAfterBreak="0">
    <w:nsid w:val="7E0E2D52"/>
    <w:multiLevelType w:val="hybridMultilevel"/>
    <w:tmpl w:val="CB783B98"/>
    <w:lvl w:ilvl="0" w:tplc="0813000F">
      <w:start w:val="1"/>
      <w:numFmt w:val="decimal"/>
      <w:lvlText w:val="%1."/>
      <w:lvlJc w:val="left"/>
      <w:pPr>
        <w:ind w:left="1571" w:hanging="360"/>
      </w:pPr>
    </w:lvl>
    <w:lvl w:ilvl="1" w:tplc="08130019" w:tentative="1">
      <w:start w:val="1"/>
      <w:numFmt w:val="lowerLetter"/>
      <w:lvlText w:val="%2."/>
      <w:lvlJc w:val="left"/>
      <w:pPr>
        <w:ind w:left="2291" w:hanging="360"/>
      </w:pPr>
    </w:lvl>
    <w:lvl w:ilvl="2" w:tplc="0813001B" w:tentative="1">
      <w:start w:val="1"/>
      <w:numFmt w:val="lowerRoman"/>
      <w:lvlText w:val="%3."/>
      <w:lvlJc w:val="right"/>
      <w:pPr>
        <w:ind w:left="3011" w:hanging="180"/>
      </w:pPr>
    </w:lvl>
    <w:lvl w:ilvl="3" w:tplc="0813000F" w:tentative="1">
      <w:start w:val="1"/>
      <w:numFmt w:val="decimal"/>
      <w:lvlText w:val="%4."/>
      <w:lvlJc w:val="left"/>
      <w:pPr>
        <w:ind w:left="3731" w:hanging="360"/>
      </w:pPr>
    </w:lvl>
    <w:lvl w:ilvl="4" w:tplc="08130019" w:tentative="1">
      <w:start w:val="1"/>
      <w:numFmt w:val="lowerLetter"/>
      <w:lvlText w:val="%5."/>
      <w:lvlJc w:val="left"/>
      <w:pPr>
        <w:ind w:left="4451" w:hanging="360"/>
      </w:pPr>
    </w:lvl>
    <w:lvl w:ilvl="5" w:tplc="0813001B" w:tentative="1">
      <w:start w:val="1"/>
      <w:numFmt w:val="lowerRoman"/>
      <w:lvlText w:val="%6."/>
      <w:lvlJc w:val="right"/>
      <w:pPr>
        <w:ind w:left="5171" w:hanging="180"/>
      </w:pPr>
    </w:lvl>
    <w:lvl w:ilvl="6" w:tplc="0813000F" w:tentative="1">
      <w:start w:val="1"/>
      <w:numFmt w:val="decimal"/>
      <w:lvlText w:val="%7."/>
      <w:lvlJc w:val="left"/>
      <w:pPr>
        <w:ind w:left="5891" w:hanging="360"/>
      </w:pPr>
    </w:lvl>
    <w:lvl w:ilvl="7" w:tplc="08130019" w:tentative="1">
      <w:start w:val="1"/>
      <w:numFmt w:val="lowerLetter"/>
      <w:lvlText w:val="%8."/>
      <w:lvlJc w:val="left"/>
      <w:pPr>
        <w:ind w:left="6611" w:hanging="360"/>
      </w:pPr>
    </w:lvl>
    <w:lvl w:ilvl="8" w:tplc="0813001B" w:tentative="1">
      <w:start w:val="1"/>
      <w:numFmt w:val="lowerRoman"/>
      <w:lvlText w:val="%9."/>
      <w:lvlJc w:val="right"/>
      <w:pPr>
        <w:ind w:left="7331" w:hanging="180"/>
      </w:pPr>
    </w:lvl>
  </w:abstractNum>
  <w:abstractNum w:abstractNumId="118" w15:restartNumberingAfterBreak="0">
    <w:nsid w:val="7FB4669D"/>
    <w:multiLevelType w:val="hybridMultilevel"/>
    <w:tmpl w:val="C884112E"/>
    <w:lvl w:ilvl="0" w:tplc="97E4ABD8">
      <w:start w:val="1"/>
      <w:numFmt w:val="bullet"/>
      <w:pStyle w:val="OVERZICHT"/>
      <w:lvlText w:val=""/>
      <w:lvlJc w:val="left"/>
      <w:pPr>
        <w:tabs>
          <w:tab w:val="num" w:pos="720"/>
        </w:tabs>
        <w:ind w:left="720" w:hanging="360"/>
      </w:pPr>
      <w:rPr>
        <w:rFonts w:ascii="Wingdings" w:hAnsi="Wingdings"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num w:numId="1" w16cid:durableId="1242984205">
    <w:abstractNumId w:val="45"/>
  </w:num>
  <w:num w:numId="2" w16cid:durableId="1753623505">
    <w:abstractNumId w:val="63"/>
  </w:num>
  <w:num w:numId="3" w16cid:durableId="878594535">
    <w:abstractNumId w:val="64"/>
  </w:num>
  <w:num w:numId="4" w16cid:durableId="2071152490">
    <w:abstractNumId w:val="76"/>
  </w:num>
  <w:num w:numId="5" w16cid:durableId="2044209752">
    <w:abstractNumId w:val="98"/>
  </w:num>
  <w:num w:numId="6" w16cid:durableId="564880860">
    <w:abstractNumId w:val="94"/>
  </w:num>
  <w:num w:numId="7" w16cid:durableId="1749187417">
    <w:abstractNumId w:val="10"/>
  </w:num>
  <w:num w:numId="8" w16cid:durableId="2114006615">
    <w:abstractNumId w:val="90"/>
  </w:num>
  <w:num w:numId="9" w16cid:durableId="2129934124">
    <w:abstractNumId w:val="93"/>
  </w:num>
  <w:num w:numId="10" w16cid:durableId="1440494579">
    <w:abstractNumId w:val="102"/>
  </w:num>
  <w:num w:numId="11" w16cid:durableId="1175655692">
    <w:abstractNumId w:val="95"/>
  </w:num>
  <w:num w:numId="12" w16cid:durableId="559290115">
    <w:abstractNumId w:val="3"/>
  </w:num>
  <w:num w:numId="13" w16cid:durableId="1052267135">
    <w:abstractNumId w:val="17"/>
  </w:num>
  <w:num w:numId="14" w16cid:durableId="387848096">
    <w:abstractNumId w:val="73"/>
  </w:num>
  <w:num w:numId="15" w16cid:durableId="358090023">
    <w:abstractNumId w:val="118"/>
  </w:num>
  <w:num w:numId="16" w16cid:durableId="1232429083">
    <w:abstractNumId w:val="34"/>
  </w:num>
  <w:num w:numId="17" w16cid:durableId="632368644">
    <w:abstractNumId w:val="27"/>
  </w:num>
  <w:num w:numId="18" w16cid:durableId="1139496286">
    <w:abstractNumId w:val="60"/>
  </w:num>
  <w:num w:numId="19" w16cid:durableId="828209641">
    <w:abstractNumId w:val="65"/>
  </w:num>
  <w:num w:numId="20" w16cid:durableId="111826534">
    <w:abstractNumId w:val="57"/>
  </w:num>
  <w:num w:numId="21" w16cid:durableId="1505584132">
    <w:abstractNumId w:val="21"/>
  </w:num>
  <w:num w:numId="22" w16cid:durableId="940068052">
    <w:abstractNumId w:val="29"/>
  </w:num>
  <w:num w:numId="23" w16cid:durableId="692724571">
    <w:abstractNumId w:val="36"/>
  </w:num>
  <w:num w:numId="24" w16cid:durableId="110832404">
    <w:abstractNumId w:val="62"/>
  </w:num>
  <w:num w:numId="25" w16cid:durableId="1664819302">
    <w:abstractNumId w:val="100"/>
  </w:num>
  <w:num w:numId="26" w16cid:durableId="688222502">
    <w:abstractNumId w:val="81"/>
  </w:num>
  <w:num w:numId="27" w16cid:durableId="157963131">
    <w:abstractNumId w:val="107"/>
  </w:num>
  <w:num w:numId="28" w16cid:durableId="1531145097">
    <w:abstractNumId w:val="89"/>
  </w:num>
  <w:num w:numId="29" w16cid:durableId="326591802">
    <w:abstractNumId w:val="104"/>
  </w:num>
  <w:num w:numId="30" w16cid:durableId="2134328231">
    <w:abstractNumId w:val="33"/>
  </w:num>
  <w:num w:numId="31" w16cid:durableId="545066368">
    <w:abstractNumId w:val="84"/>
  </w:num>
  <w:num w:numId="32" w16cid:durableId="922224614">
    <w:abstractNumId w:val="99"/>
  </w:num>
  <w:num w:numId="33" w16cid:durableId="276916378">
    <w:abstractNumId w:val="42"/>
  </w:num>
  <w:num w:numId="34" w16cid:durableId="264071408">
    <w:abstractNumId w:val="32"/>
  </w:num>
  <w:num w:numId="35" w16cid:durableId="466823413">
    <w:abstractNumId w:val="92"/>
  </w:num>
  <w:num w:numId="36" w16cid:durableId="2122409972">
    <w:abstractNumId w:val="67"/>
  </w:num>
  <w:num w:numId="37" w16cid:durableId="1088043444">
    <w:abstractNumId w:val="24"/>
  </w:num>
  <w:num w:numId="38" w16cid:durableId="1959484104">
    <w:abstractNumId w:val="105"/>
  </w:num>
  <w:num w:numId="39" w16cid:durableId="98454860">
    <w:abstractNumId w:val="11"/>
  </w:num>
  <w:num w:numId="40" w16cid:durableId="304164957">
    <w:abstractNumId w:val="19"/>
  </w:num>
  <w:num w:numId="41" w16cid:durableId="1693920161">
    <w:abstractNumId w:val="5"/>
  </w:num>
  <w:num w:numId="42" w16cid:durableId="97617903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15121788">
    <w:abstractNumId w:val="39"/>
  </w:num>
  <w:num w:numId="44" w16cid:durableId="588465831">
    <w:abstractNumId w:val="1"/>
  </w:num>
  <w:num w:numId="45" w16cid:durableId="1060635077">
    <w:abstractNumId w:val="71"/>
  </w:num>
  <w:num w:numId="46" w16cid:durableId="344983288">
    <w:abstractNumId w:val="43"/>
  </w:num>
  <w:num w:numId="47" w16cid:durableId="95953961">
    <w:abstractNumId w:val="87"/>
  </w:num>
  <w:num w:numId="48" w16cid:durableId="1700162583">
    <w:abstractNumId w:val="44"/>
  </w:num>
  <w:num w:numId="49" w16cid:durableId="1953130007">
    <w:abstractNumId w:val="61"/>
  </w:num>
  <w:num w:numId="50" w16cid:durableId="318387958">
    <w:abstractNumId w:val="78"/>
  </w:num>
  <w:num w:numId="51" w16cid:durableId="1162811850">
    <w:abstractNumId w:val="2"/>
  </w:num>
  <w:num w:numId="52" w16cid:durableId="291525528">
    <w:abstractNumId w:val="96"/>
  </w:num>
  <w:num w:numId="53" w16cid:durableId="1113478320">
    <w:abstractNumId w:val="35"/>
  </w:num>
  <w:num w:numId="54" w16cid:durableId="866405272">
    <w:abstractNumId w:val="69"/>
  </w:num>
  <w:num w:numId="55" w16cid:durableId="1319920779">
    <w:abstractNumId w:val="68"/>
  </w:num>
  <w:num w:numId="56" w16cid:durableId="937566713">
    <w:abstractNumId w:val="86"/>
  </w:num>
  <w:num w:numId="57" w16cid:durableId="260332860">
    <w:abstractNumId w:val="40"/>
  </w:num>
  <w:num w:numId="58" w16cid:durableId="375273012">
    <w:abstractNumId w:val="14"/>
  </w:num>
  <w:num w:numId="59" w16cid:durableId="2096588053">
    <w:abstractNumId w:val="49"/>
  </w:num>
  <w:num w:numId="60" w16cid:durableId="578488241">
    <w:abstractNumId w:val="8"/>
  </w:num>
  <w:num w:numId="61" w16cid:durableId="1153136062">
    <w:abstractNumId w:val="115"/>
  </w:num>
  <w:num w:numId="62" w16cid:durableId="1288120180">
    <w:abstractNumId w:val="91"/>
  </w:num>
  <w:num w:numId="63" w16cid:durableId="1038048196">
    <w:abstractNumId w:val="97"/>
  </w:num>
  <w:num w:numId="64" w16cid:durableId="1090006534">
    <w:abstractNumId w:val="112"/>
  </w:num>
  <w:num w:numId="65" w16cid:durableId="1605652649">
    <w:abstractNumId w:val="31"/>
  </w:num>
  <w:num w:numId="66" w16cid:durableId="423307810">
    <w:abstractNumId w:val="53"/>
  </w:num>
  <w:num w:numId="67" w16cid:durableId="403995770">
    <w:abstractNumId w:val="16"/>
  </w:num>
  <w:num w:numId="68" w16cid:durableId="96952312">
    <w:abstractNumId w:val="108"/>
  </w:num>
  <w:num w:numId="69" w16cid:durableId="2023049556">
    <w:abstractNumId w:val="54"/>
  </w:num>
  <w:num w:numId="70" w16cid:durableId="510412885">
    <w:abstractNumId w:val="26"/>
  </w:num>
  <w:num w:numId="71" w16cid:durableId="1205486651">
    <w:abstractNumId w:val="82"/>
  </w:num>
  <w:num w:numId="72" w16cid:durableId="553590768">
    <w:abstractNumId w:val="83"/>
  </w:num>
  <w:num w:numId="73" w16cid:durableId="1465275208">
    <w:abstractNumId w:val="55"/>
  </w:num>
  <w:num w:numId="74" w16cid:durableId="757946355">
    <w:abstractNumId w:val="77"/>
  </w:num>
  <w:num w:numId="75" w16cid:durableId="1953781268">
    <w:abstractNumId w:val="22"/>
  </w:num>
  <w:num w:numId="76" w16cid:durableId="234361786">
    <w:abstractNumId w:val="117"/>
  </w:num>
  <w:num w:numId="77" w16cid:durableId="756706362">
    <w:abstractNumId w:val="48"/>
  </w:num>
  <w:num w:numId="78" w16cid:durableId="1316453736">
    <w:abstractNumId w:val="74"/>
  </w:num>
  <w:num w:numId="79" w16cid:durableId="680399455">
    <w:abstractNumId w:val="116"/>
  </w:num>
  <w:num w:numId="80" w16cid:durableId="727916942">
    <w:abstractNumId w:val="13"/>
  </w:num>
  <w:num w:numId="81" w16cid:durableId="1273170022">
    <w:abstractNumId w:val="79"/>
  </w:num>
  <w:num w:numId="82" w16cid:durableId="1723021433">
    <w:abstractNumId w:val="56"/>
  </w:num>
  <w:num w:numId="83" w16cid:durableId="446506052">
    <w:abstractNumId w:val="0"/>
  </w:num>
  <w:num w:numId="84" w16cid:durableId="297994596">
    <w:abstractNumId w:val="4"/>
  </w:num>
  <w:num w:numId="85" w16cid:durableId="914634263">
    <w:abstractNumId w:val="58"/>
  </w:num>
  <w:num w:numId="86" w16cid:durableId="1480078468">
    <w:abstractNumId w:val="85"/>
  </w:num>
  <w:num w:numId="87" w16cid:durableId="501354780">
    <w:abstractNumId w:val="38"/>
  </w:num>
  <w:num w:numId="88" w16cid:durableId="104009718">
    <w:abstractNumId w:val="18"/>
  </w:num>
  <w:num w:numId="89" w16cid:durableId="1328439693">
    <w:abstractNumId w:val="50"/>
  </w:num>
  <w:num w:numId="90" w16cid:durableId="790367785">
    <w:abstractNumId w:val="106"/>
  </w:num>
  <w:num w:numId="91" w16cid:durableId="1925995020">
    <w:abstractNumId w:val="52"/>
  </w:num>
  <w:num w:numId="92" w16cid:durableId="2127658820">
    <w:abstractNumId w:val="28"/>
  </w:num>
  <w:num w:numId="93" w16cid:durableId="535197865">
    <w:abstractNumId w:val="51"/>
  </w:num>
  <w:num w:numId="94" w16cid:durableId="879634950">
    <w:abstractNumId w:val="80"/>
  </w:num>
  <w:num w:numId="95" w16cid:durableId="447353839">
    <w:abstractNumId w:val="7"/>
  </w:num>
  <w:num w:numId="96" w16cid:durableId="381439585">
    <w:abstractNumId w:val="25"/>
  </w:num>
  <w:num w:numId="97" w16cid:durableId="1563519729">
    <w:abstractNumId w:val="88"/>
  </w:num>
  <w:num w:numId="98" w16cid:durableId="431975044">
    <w:abstractNumId w:val="15"/>
  </w:num>
  <w:num w:numId="99" w16cid:durableId="1942491198">
    <w:abstractNumId w:val="46"/>
  </w:num>
  <w:num w:numId="100" w16cid:durableId="558125825">
    <w:abstractNumId w:val="6"/>
  </w:num>
  <w:num w:numId="101" w16cid:durableId="1065495082">
    <w:abstractNumId w:val="75"/>
  </w:num>
  <w:num w:numId="102" w16cid:durableId="21904376">
    <w:abstractNumId w:val="101"/>
  </w:num>
  <w:num w:numId="103" w16cid:durableId="1533493920">
    <w:abstractNumId w:val="103"/>
  </w:num>
  <w:num w:numId="104" w16cid:durableId="1510412711">
    <w:abstractNumId w:val="111"/>
  </w:num>
  <w:num w:numId="105" w16cid:durableId="1782796292">
    <w:abstractNumId w:val="113"/>
  </w:num>
  <w:num w:numId="106" w16cid:durableId="1447653893">
    <w:abstractNumId w:val="9"/>
  </w:num>
  <w:num w:numId="107" w16cid:durableId="280573676">
    <w:abstractNumId w:val="47"/>
  </w:num>
  <w:num w:numId="108" w16cid:durableId="2105609928">
    <w:abstractNumId w:val="23"/>
  </w:num>
  <w:num w:numId="109" w16cid:durableId="1686050134">
    <w:abstractNumId w:val="41"/>
  </w:num>
  <w:num w:numId="110" w16cid:durableId="1207260837">
    <w:abstractNumId w:val="70"/>
  </w:num>
  <w:num w:numId="111" w16cid:durableId="1015620483">
    <w:abstractNumId w:val="12"/>
  </w:num>
  <w:num w:numId="112" w16cid:durableId="1631782696">
    <w:abstractNumId w:val="30"/>
  </w:num>
  <w:num w:numId="113" w16cid:durableId="435906903">
    <w:abstractNumId w:val="109"/>
  </w:num>
  <w:num w:numId="114" w16cid:durableId="841971714">
    <w:abstractNumId w:val="66"/>
  </w:num>
  <w:num w:numId="115" w16cid:durableId="840320086">
    <w:abstractNumId w:val="114"/>
  </w:num>
  <w:num w:numId="116" w16cid:durableId="473913457">
    <w:abstractNumId w:val="72"/>
  </w:num>
  <w:num w:numId="117" w16cid:durableId="624310440">
    <w:abstractNumId w:val="20"/>
  </w:num>
  <w:num w:numId="118" w16cid:durableId="1592621792">
    <w:abstractNumId w:val="110"/>
  </w:num>
  <w:num w:numId="119" w16cid:durableId="1264612133">
    <w:abstractNumId w:val="59"/>
  </w:num>
  <w:num w:numId="120" w16cid:durableId="1199582821">
    <w:abstractNumId w:val="37"/>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ESEMANS Jarne">
    <w15:presenceInfo w15:providerId="AD" w15:userId="S::Jarne.BIESEMANS@beersel.be::8ceb7c42-9905-4f30-9a53-5a30766cb5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FB"/>
    <w:rsid w:val="0000092F"/>
    <w:rsid w:val="00001135"/>
    <w:rsid w:val="0000207A"/>
    <w:rsid w:val="000045BB"/>
    <w:rsid w:val="0000461E"/>
    <w:rsid w:val="00004794"/>
    <w:rsid w:val="00006261"/>
    <w:rsid w:val="0000780D"/>
    <w:rsid w:val="00010F7D"/>
    <w:rsid w:val="00011D9E"/>
    <w:rsid w:val="000132F9"/>
    <w:rsid w:val="000155D1"/>
    <w:rsid w:val="00015960"/>
    <w:rsid w:val="0001713F"/>
    <w:rsid w:val="00017C59"/>
    <w:rsid w:val="00017D2B"/>
    <w:rsid w:val="00017DC0"/>
    <w:rsid w:val="00020D0F"/>
    <w:rsid w:val="0002100D"/>
    <w:rsid w:val="00021B10"/>
    <w:rsid w:val="00023798"/>
    <w:rsid w:val="000239B7"/>
    <w:rsid w:val="00024FC2"/>
    <w:rsid w:val="00025E68"/>
    <w:rsid w:val="0002648B"/>
    <w:rsid w:val="00026775"/>
    <w:rsid w:val="00026820"/>
    <w:rsid w:val="00026F56"/>
    <w:rsid w:val="00031141"/>
    <w:rsid w:val="00031331"/>
    <w:rsid w:val="00033082"/>
    <w:rsid w:val="000335BB"/>
    <w:rsid w:val="00033736"/>
    <w:rsid w:val="00033E5B"/>
    <w:rsid w:val="00033FE6"/>
    <w:rsid w:val="0003401E"/>
    <w:rsid w:val="0003475E"/>
    <w:rsid w:val="00034BE5"/>
    <w:rsid w:val="0003508D"/>
    <w:rsid w:val="000350A2"/>
    <w:rsid w:val="00035741"/>
    <w:rsid w:val="00037247"/>
    <w:rsid w:val="00037A46"/>
    <w:rsid w:val="00042149"/>
    <w:rsid w:val="00043161"/>
    <w:rsid w:val="00044301"/>
    <w:rsid w:val="000453F1"/>
    <w:rsid w:val="00045FC9"/>
    <w:rsid w:val="00046408"/>
    <w:rsid w:val="000505D9"/>
    <w:rsid w:val="000514EB"/>
    <w:rsid w:val="00052923"/>
    <w:rsid w:val="00053013"/>
    <w:rsid w:val="00054B69"/>
    <w:rsid w:val="000556D2"/>
    <w:rsid w:val="00055C6F"/>
    <w:rsid w:val="00055E5B"/>
    <w:rsid w:val="000571AF"/>
    <w:rsid w:val="00057DE7"/>
    <w:rsid w:val="00060D02"/>
    <w:rsid w:val="00060FF6"/>
    <w:rsid w:val="000616BA"/>
    <w:rsid w:val="000619D6"/>
    <w:rsid w:val="0006201A"/>
    <w:rsid w:val="00066C56"/>
    <w:rsid w:val="000734CC"/>
    <w:rsid w:val="0007431A"/>
    <w:rsid w:val="00074DFE"/>
    <w:rsid w:val="0007596D"/>
    <w:rsid w:val="00076E5D"/>
    <w:rsid w:val="000772D5"/>
    <w:rsid w:val="00080EC3"/>
    <w:rsid w:val="00080F85"/>
    <w:rsid w:val="00081713"/>
    <w:rsid w:val="00082424"/>
    <w:rsid w:val="00082561"/>
    <w:rsid w:val="00082D80"/>
    <w:rsid w:val="0008368C"/>
    <w:rsid w:val="00083871"/>
    <w:rsid w:val="00084522"/>
    <w:rsid w:val="000846F8"/>
    <w:rsid w:val="00085A7F"/>
    <w:rsid w:val="0008677C"/>
    <w:rsid w:val="00087182"/>
    <w:rsid w:val="00087BEF"/>
    <w:rsid w:val="000902DB"/>
    <w:rsid w:val="00091410"/>
    <w:rsid w:val="00091CB7"/>
    <w:rsid w:val="000922B7"/>
    <w:rsid w:val="00092356"/>
    <w:rsid w:val="000938FB"/>
    <w:rsid w:val="00093EDC"/>
    <w:rsid w:val="00093F5C"/>
    <w:rsid w:val="0009482D"/>
    <w:rsid w:val="000953FB"/>
    <w:rsid w:val="00095699"/>
    <w:rsid w:val="00096195"/>
    <w:rsid w:val="00096358"/>
    <w:rsid w:val="00096C8C"/>
    <w:rsid w:val="00096EB9"/>
    <w:rsid w:val="000A018E"/>
    <w:rsid w:val="000A0905"/>
    <w:rsid w:val="000A09A2"/>
    <w:rsid w:val="000A2865"/>
    <w:rsid w:val="000A2877"/>
    <w:rsid w:val="000A327E"/>
    <w:rsid w:val="000A3F24"/>
    <w:rsid w:val="000A40D7"/>
    <w:rsid w:val="000A55D5"/>
    <w:rsid w:val="000A606E"/>
    <w:rsid w:val="000A61F2"/>
    <w:rsid w:val="000A65D2"/>
    <w:rsid w:val="000A736D"/>
    <w:rsid w:val="000A7D75"/>
    <w:rsid w:val="000B17AD"/>
    <w:rsid w:val="000B183C"/>
    <w:rsid w:val="000B26D3"/>
    <w:rsid w:val="000B4313"/>
    <w:rsid w:val="000B5844"/>
    <w:rsid w:val="000B639E"/>
    <w:rsid w:val="000B6A4C"/>
    <w:rsid w:val="000B6A9A"/>
    <w:rsid w:val="000B6EF9"/>
    <w:rsid w:val="000B7007"/>
    <w:rsid w:val="000B7131"/>
    <w:rsid w:val="000C0DCA"/>
    <w:rsid w:val="000C126C"/>
    <w:rsid w:val="000C164C"/>
    <w:rsid w:val="000C2462"/>
    <w:rsid w:val="000C3BAC"/>
    <w:rsid w:val="000C44B0"/>
    <w:rsid w:val="000C4A12"/>
    <w:rsid w:val="000C4F11"/>
    <w:rsid w:val="000C51D6"/>
    <w:rsid w:val="000C52B2"/>
    <w:rsid w:val="000C532D"/>
    <w:rsid w:val="000C574B"/>
    <w:rsid w:val="000C6216"/>
    <w:rsid w:val="000C766C"/>
    <w:rsid w:val="000C7B76"/>
    <w:rsid w:val="000D2537"/>
    <w:rsid w:val="000D31B1"/>
    <w:rsid w:val="000D3639"/>
    <w:rsid w:val="000D379E"/>
    <w:rsid w:val="000D395A"/>
    <w:rsid w:val="000D464C"/>
    <w:rsid w:val="000D5CBD"/>
    <w:rsid w:val="000D5E8A"/>
    <w:rsid w:val="000D5FDB"/>
    <w:rsid w:val="000D5FEE"/>
    <w:rsid w:val="000D62A9"/>
    <w:rsid w:val="000D6386"/>
    <w:rsid w:val="000D708E"/>
    <w:rsid w:val="000D7A1D"/>
    <w:rsid w:val="000E192D"/>
    <w:rsid w:val="000E3AB7"/>
    <w:rsid w:val="000E3B64"/>
    <w:rsid w:val="000E4B57"/>
    <w:rsid w:val="000E4F49"/>
    <w:rsid w:val="000E5D1A"/>
    <w:rsid w:val="000E60F0"/>
    <w:rsid w:val="000E62D3"/>
    <w:rsid w:val="000E7951"/>
    <w:rsid w:val="000F18B1"/>
    <w:rsid w:val="000F1EB6"/>
    <w:rsid w:val="000F5191"/>
    <w:rsid w:val="000F5230"/>
    <w:rsid w:val="000F6162"/>
    <w:rsid w:val="000F631C"/>
    <w:rsid w:val="000F73BE"/>
    <w:rsid w:val="00101E2D"/>
    <w:rsid w:val="00106211"/>
    <w:rsid w:val="00106788"/>
    <w:rsid w:val="00106D8C"/>
    <w:rsid w:val="00107643"/>
    <w:rsid w:val="00107CA7"/>
    <w:rsid w:val="00110AEA"/>
    <w:rsid w:val="001115DD"/>
    <w:rsid w:val="00111601"/>
    <w:rsid w:val="00112CA5"/>
    <w:rsid w:val="001165D4"/>
    <w:rsid w:val="00120A9C"/>
    <w:rsid w:val="0012162D"/>
    <w:rsid w:val="001227A4"/>
    <w:rsid w:val="00123AF5"/>
    <w:rsid w:val="00123D78"/>
    <w:rsid w:val="00124C52"/>
    <w:rsid w:val="00124D45"/>
    <w:rsid w:val="00125BA3"/>
    <w:rsid w:val="0012637E"/>
    <w:rsid w:val="001270BC"/>
    <w:rsid w:val="001270D7"/>
    <w:rsid w:val="001271B7"/>
    <w:rsid w:val="00127246"/>
    <w:rsid w:val="001273D0"/>
    <w:rsid w:val="001308C4"/>
    <w:rsid w:val="00135883"/>
    <w:rsid w:val="00135E66"/>
    <w:rsid w:val="00136857"/>
    <w:rsid w:val="00136EF2"/>
    <w:rsid w:val="00137552"/>
    <w:rsid w:val="00140A4E"/>
    <w:rsid w:val="001426AD"/>
    <w:rsid w:val="0014389B"/>
    <w:rsid w:val="00144F40"/>
    <w:rsid w:val="00145472"/>
    <w:rsid w:val="00145D47"/>
    <w:rsid w:val="001475D0"/>
    <w:rsid w:val="00147B68"/>
    <w:rsid w:val="00151459"/>
    <w:rsid w:val="00151775"/>
    <w:rsid w:val="001526D2"/>
    <w:rsid w:val="00152BF9"/>
    <w:rsid w:val="0015412E"/>
    <w:rsid w:val="0015419A"/>
    <w:rsid w:val="00154DC5"/>
    <w:rsid w:val="001554A6"/>
    <w:rsid w:val="00155849"/>
    <w:rsid w:val="00156A3D"/>
    <w:rsid w:val="00156D6A"/>
    <w:rsid w:val="00157663"/>
    <w:rsid w:val="00157AA5"/>
    <w:rsid w:val="00157B78"/>
    <w:rsid w:val="00160B40"/>
    <w:rsid w:val="001617EC"/>
    <w:rsid w:val="0016182C"/>
    <w:rsid w:val="00162FC0"/>
    <w:rsid w:val="00164D00"/>
    <w:rsid w:val="0017099E"/>
    <w:rsid w:val="00171AF1"/>
    <w:rsid w:val="001728B9"/>
    <w:rsid w:val="00172E3A"/>
    <w:rsid w:val="00174C68"/>
    <w:rsid w:val="00175E9C"/>
    <w:rsid w:val="00175ED1"/>
    <w:rsid w:val="00177DC5"/>
    <w:rsid w:val="001802E8"/>
    <w:rsid w:val="001803A9"/>
    <w:rsid w:val="00181128"/>
    <w:rsid w:val="00181BEE"/>
    <w:rsid w:val="001839AD"/>
    <w:rsid w:val="00184343"/>
    <w:rsid w:val="00184CE2"/>
    <w:rsid w:val="00184E5F"/>
    <w:rsid w:val="0018572E"/>
    <w:rsid w:val="00185E90"/>
    <w:rsid w:val="0018672D"/>
    <w:rsid w:val="00187103"/>
    <w:rsid w:val="00187E44"/>
    <w:rsid w:val="00190969"/>
    <w:rsid w:val="0019155C"/>
    <w:rsid w:val="00191D39"/>
    <w:rsid w:val="0019355E"/>
    <w:rsid w:val="001937AF"/>
    <w:rsid w:val="00194040"/>
    <w:rsid w:val="0019413D"/>
    <w:rsid w:val="00194E07"/>
    <w:rsid w:val="0019607E"/>
    <w:rsid w:val="00196218"/>
    <w:rsid w:val="001964A0"/>
    <w:rsid w:val="00196738"/>
    <w:rsid w:val="00196CB2"/>
    <w:rsid w:val="00197535"/>
    <w:rsid w:val="001A00AF"/>
    <w:rsid w:val="001A0332"/>
    <w:rsid w:val="001A1251"/>
    <w:rsid w:val="001A17AC"/>
    <w:rsid w:val="001A2AE5"/>
    <w:rsid w:val="001A2C57"/>
    <w:rsid w:val="001A2F30"/>
    <w:rsid w:val="001A30B8"/>
    <w:rsid w:val="001A4067"/>
    <w:rsid w:val="001A4321"/>
    <w:rsid w:val="001A496E"/>
    <w:rsid w:val="001A7889"/>
    <w:rsid w:val="001A7A76"/>
    <w:rsid w:val="001A7D0D"/>
    <w:rsid w:val="001B1215"/>
    <w:rsid w:val="001B1F1E"/>
    <w:rsid w:val="001B223F"/>
    <w:rsid w:val="001B23B3"/>
    <w:rsid w:val="001B386C"/>
    <w:rsid w:val="001B408B"/>
    <w:rsid w:val="001B5D90"/>
    <w:rsid w:val="001B6629"/>
    <w:rsid w:val="001B6732"/>
    <w:rsid w:val="001B70A1"/>
    <w:rsid w:val="001B7431"/>
    <w:rsid w:val="001C02E6"/>
    <w:rsid w:val="001C0FD4"/>
    <w:rsid w:val="001C1F12"/>
    <w:rsid w:val="001C4327"/>
    <w:rsid w:val="001C4A09"/>
    <w:rsid w:val="001C66CA"/>
    <w:rsid w:val="001C67D2"/>
    <w:rsid w:val="001C7290"/>
    <w:rsid w:val="001C7D42"/>
    <w:rsid w:val="001C7EBB"/>
    <w:rsid w:val="001D1A48"/>
    <w:rsid w:val="001D1E3D"/>
    <w:rsid w:val="001D33DB"/>
    <w:rsid w:val="001D3FA9"/>
    <w:rsid w:val="001D518D"/>
    <w:rsid w:val="001D5B22"/>
    <w:rsid w:val="001D5B60"/>
    <w:rsid w:val="001D7045"/>
    <w:rsid w:val="001E1D0A"/>
    <w:rsid w:val="001E1E64"/>
    <w:rsid w:val="001E1E68"/>
    <w:rsid w:val="001E439D"/>
    <w:rsid w:val="001E43CD"/>
    <w:rsid w:val="001E4583"/>
    <w:rsid w:val="001E6D85"/>
    <w:rsid w:val="001F03A3"/>
    <w:rsid w:val="001F088D"/>
    <w:rsid w:val="001F183C"/>
    <w:rsid w:val="001F2416"/>
    <w:rsid w:val="001F33DD"/>
    <w:rsid w:val="001F3FF6"/>
    <w:rsid w:val="001F5D6B"/>
    <w:rsid w:val="001F6C5F"/>
    <w:rsid w:val="001F6CD5"/>
    <w:rsid w:val="00203500"/>
    <w:rsid w:val="00203D68"/>
    <w:rsid w:val="002066D0"/>
    <w:rsid w:val="00206B63"/>
    <w:rsid w:val="00207278"/>
    <w:rsid w:val="002073E3"/>
    <w:rsid w:val="002106CB"/>
    <w:rsid w:val="002106E4"/>
    <w:rsid w:val="00211287"/>
    <w:rsid w:val="00213E7C"/>
    <w:rsid w:val="0022020F"/>
    <w:rsid w:val="0022048D"/>
    <w:rsid w:val="00220A6A"/>
    <w:rsid w:val="00222060"/>
    <w:rsid w:val="00222399"/>
    <w:rsid w:val="00222688"/>
    <w:rsid w:val="002228C6"/>
    <w:rsid w:val="002231D8"/>
    <w:rsid w:val="00224962"/>
    <w:rsid w:val="00225372"/>
    <w:rsid w:val="00225B4B"/>
    <w:rsid w:val="0022639D"/>
    <w:rsid w:val="00226907"/>
    <w:rsid w:val="0023202C"/>
    <w:rsid w:val="00233241"/>
    <w:rsid w:val="002340CA"/>
    <w:rsid w:val="00234176"/>
    <w:rsid w:val="00234711"/>
    <w:rsid w:val="00235BCF"/>
    <w:rsid w:val="002367A1"/>
    <w:rsid w:val="0023695E"/>
    <w:rsid w:val="00237282"/>
    <w:rsid w:val="002378B5"/>
    <w:rsid w:val="0024007D"/>
    <w:rsid w:val="00240330"/>
    <w:rsid w:val="00240693"/>
    <w:rsid w:val="00241A4A"/>
    <w:rsid w:val="00244B49"/>
    <w:rsid w:val="00245175"/>
    <w:rsid w:val="002460EB"/>
    <w:rsid w:val="0024627B"/>
    <w:rsid w:val="002469EF"/>
    <w:rsid w:val="002469F5"/>
    <w:rsid w:val="00246CED"/>
    <w:rsid w:val="002506B6"/>
    <w:rsid w:val="002509C4"/>
    <w:rsid w:val="00250D32"/>
    <w:rsid w:val="002515AE"/>
    <w:rsid w:val="0025191B"/>
    <w:rsid w:val="00253309"/>
    <w:rsid w:val="0025340C"/>
    <w:rsid w:val="00255240"/>
    <w:rsid w:val="002566CD"/>
    <w:rsid w:val="0025696C"/>
    <w:rsid w:val="00257477"/>
    <w:rsid w:val="00260E75"/>
    <w:rsid w:val="002623A0"/>
    <w:rsid w:val="0026281F"/>
    <w:rsid w:val="00263236"/>
    <w:rsid w:val="00263677"/>
    <w:rsid w:val="0026506F"/>
    <w:rsid w:val="00265F1B"/>
    <w:rsid w:val="002667CF"/>
    <w:rsid w:val="002679BC"/>
    <w:rsid w:val="00270117"/>
    <w:rsid w:val="002709AA"/>
    <w:rsid w:val="00272692"/>
    <w:rsid w:val="002729BD"/>
    <w:rsid w:val="002740F8"/>
    <w:rsid w:val="0027513E"/>
    <w:rsid w:val="00275DAC"/>
    <w:rsid w:val="00275E1B"/>
    <w:rsid w:val="002761AB"/>
    <w:rsid w:val="00276415"/>
    <w:rsid w:val="00276A88"/>
    <w:rsid w:val="002779C3"/>
    <w:rsid w:val="002808D3"/>
    <w:rsid w:val="002812BB"/>
    <w:rsid w:val="00281E6B"/>
    <w:rsid w:val="0028321A"/>
    <w:rsid w:val="00283781"/>
    <w:rsid w:val="00283802"/>
    <w:rsid w:val="00283E7D"/>
    <w:rsid w:val="00284E96"/>
    <w:rsid w:val="0028551A"/>
    <w:rsid w:val="00285685"/>
    <w:rsid w:val="0028571A"/>
    <w:rsid w:val="0028581D"/>
    <w:rsid w:val="00287D97"/>
    <w:rsid w:val="0029019C"/>
    <w:rsid w:val="00290760"/>
    <w:rsid w:val="00291AF3"/>
    <w:rsid w:val="00294CD0"/>
    <w:rsid w:val="002974DF"/>
    <w:rsid w:val="002978AE"/>
    <w:rsid w:val="002A05DD"/>
    <w:rsid w:val="002A20E9"/>
    <w:rsid w:val="002A30E5"/>
    <w:rsid w:val="002A3E15"/>
    <w:rsid w:val="002A46B2"/>
    <w:rsid w:val="002A50FD"/>
    <w:rsid w:val="002A5FE4"/>
    <w:rsid w:val="002A62F2"/>
    <w:rsid w:val="002A642D"/>
    <w:rsid w:val="002A64C3"/>
    <w:rsid w:val="002A66BD"/>
    <w:rsid w:val="002A692D"/>
    <w:rsid w:val="002A722D"/>
    <w:rsid w:val="002B11BF"/>
    <w:rsid w:val="002B1905"/>
    <w:rsid w:val="002B2DD8"/>
    <w:rsid w:val="002B34C4"/>
    <w:rsid w:val="002B50A3"/>
    <w:rsid w:val="002B5B4B"/>
    <w:rsid w:val="002B6881"/>
    <w:rsid w:val="002B6CDF"/>
    <w:rsid w:val="002B6DBC"/>
    <w:rsid w:val="002B6E93"/>
    <w:rsid w:val="002C0588"/>
    <w:rsid w:val="002C0D8C"/>
    <w:rsid w:val="002C1915"/>
    <w:rsid w:val="002C3DCA"/>
    <w:rsid w:val="002C5048"/>
    <w:rsid w:val="002C5721"/>
    <w:rsid w:val="002C59B4"/>
    <w:rsid w:val="002C7B46"/>
    <w:rsid w:val="002D00AD"/>
    <w:rsid w:val="002D1C23"/>
    <w:rsid w:val="002D2902"/>
    <w:rsid w:val="002D3A4C"/>
    <w:rsid w:val="002D49B1"/>
    <w:rsid w:val="002D52B0"/>
    <w:rsid w:val="002D58DB"/>
    <w:rsid w:val="002D5D82"/>
    <w:rsid w:val="002D6ECA"/>
    <w:rsid w:val="002D7CAC"/>
    <w:rsid w:val="002E43B4"/>
    <w:rsid w:val="002E4539"/>
    <w:rsid w:val="002E6E29"/>
    <w:rsid w:val="002E7875"/>
    <w:rsid w:val="002F1747"/>
    <w:rsid w:val="002F3363"/>
    <w:rsid w:val="002F7217"/>
    <w:rsid w:val="002F7A48"/>
    <w:rsid w:val="002F7BE8"/>
    <w:rsid w:val="003000D1"/>
    <w:rsid w:val="0030157A"/>
    <w:rsid w:val="00303CAD"/>
    <w:rsid w:val="00304C88"/>
    <w:rsid w:val="003050C0"/>
    <w:rsid w:val="00305F65"/>
    <w:rsid w:val="003069C5"/>
    <w:rsid w:val="00306DE2"/>
    <w:rsid w:val="00306F49"/>
    <w:rsid w:val="00307E21"/>
    <w:rsid w:val="00311FC2"/>
    <w:rsid w:val="00313CCA"/>
    <w:rsid w:val="00313D60"/>
    <w:rsid w:val="00313EAF"/>
    <w:rsid w:val="00317622"/>
    <w:rsid w:val="00317FD9"/>
    <w:rsid w:val="00320E4B"/>
    <w:rsid w:val="003225ED"/>
    <w:rsid w:val="00322848"/>
    <w:rsid w:val="00322C38"/>
    <w:rsid w:val="00323AD5"/>
    <w:rsid w:val="00323D8D"/>
    <w:rsid w:val="003244E3"/>
    <w:rsid w:val="003268FF"/>
    <w:rsid w:val="00327A95"/>
    <w:rsid w:val="003302BA"/>
    <w:rsid w:val="00330860"/>
    <w:rsid w:val="0033147B"/>
    <w:rsid w:val="003315D6"/>
    <w:rsid w:val="003320AD"/>
    <w:rsid w:val="00333190"/>
    <w:rsid w:val="003346E6"/>
    <w:rsid w:val="00334A21"/>
    <w:rsid w:val="0033559A"/>
    <w:rsid w:val="00335DF5"/>
    <w:rsid w:val="00335E32"/>
    <w:rsid w:val="00336BD8"/>
    <w:rsid w:val="00337A47"/>
    <w:rsid w:val="00337F85"/>
    <w:rsid w:val="00337FA9"/>
    <w:rsid w:val="00340FD6"/>
    <w:rsid w:val="00343A15"/>
    <w:rsid w:val="003444D5"/>
    <w:rsid w:val="00344AB1"/>
    <w:rsid w:val="00345C71"/>
    <w:rsid w:val="00346590"/>
    <w:rsid w:val="00346E1D"/>
    <w:rsid w:val="003474E1"/>
    <w:rsid w:val="003519AD"/>
    <w:rsid w:val="0035285F"/>
    <w:rsid w:val="00352ED7"/>
    <w:rsid w:val="00354249"/>
    <w:rsid w:val="003544B3"/>
    <w:rsid w:val="0035517F"/>
    <w:rsid w:val="00355282"/>
    <w:rsid w:val="0035550F"/>
    <w:rsid w:val="003568D9"/>
    <w:rsid w:val="0035780C"/>
    <w:rsid w:val="00357AB7"/>
    <w:rsid w:val="003618D3"/>
    <w:rsid w:val="00362CDC"/>
    <w:rsid w:val="00362EB2"/>
    <w:rsid w:val="0036319B"/>
    <w:rsid w:val="0036529B"/>
    <w:rsid w:val="0036646C"/>
    <w:rsid w:val="003664C0"/>
    <w:rsid w:val="0036706C"/>
    <w:rsid w:val="003670C5"/>
    <w:rsid w:val="0036755C"/>
    <w:rsid w:val="00367EFF"/>
    <w:rsid w:val="003701DA"/>
    <w:rsid w:val="00370819"/>
    <w:rsid w:val="0037123B"/>
    <w:rsid w:val="003716F5"/>
    <w:rsid w:val="003721B5"/>
    <w:rsid w:val="003727E7"/>
    <w:rsid w:val="0037345A"/>
    <w:rsid w:val="00373BE7"/>
    <w:rsid w:val="00373C11"/>
    <w:rsid w:val="00374206"/>
    <w:rsid w:val="00374E6F"/>
    <w:rsid w:val="00375E70"/>
    <w:rsid w:val="00376EB7"/>
    <w:rsid w:val="003778DE"/>
    <w:rsid w:val="00377CE2"/>
    <w:rsid w:val="00380593"/>
    <w:rsid w:val="00381262"/>
    <w:rsid w:val="00381EAC"/>
    <w:rsid w:val="003827B9"/>
    <w:rsid w:val="00383FC4"/>
    <w:rsid w:val="00384D25"/>
    <w:rsid w:val="00385463"/>
    <w:rsid w:val="00386D89"/>
    <w:rsid w:val="003908F0"/>
    <w:rsid w:val="003914FD"/>
    <w:rsid w:val="00391903"/>
    <w:rsid w:val="0039233B"/>
    <w:rsid w:val="00392487"/>
    <w:rsid w:val="003926F8"/>
    <w:rsid w:val="00392C83"/>
    <w:rsid w:val="003940BA"/>
    <w:rsid w:val="003943B3"/>
    <w:rsid w:val="003945B0"/>
    <w:rsid w:val="003950D3"/>
    <w:rsid w:val="003957DC"/>
    <w:rsid w:val="00395E38"/>
    <w:rsid w:val="003960F3"/>
    <w:rsid w:val="00396EA9"/>
    <w:rsid w:val="00397CE9"/>
    <w:rsid w:val="00397D70"/>
    <w:rsid w:val="003A11FB"/>
    <w:rsid w:val="003A1ADF"/>
    <w:rsid w:val="003A1CBB"/>
    <w:rsid w:val="003A20B4"/>
    <w:rsid w:val="003A2714"/>
    <w:rsid w:val="003A31C1"/>
    <w:rsid w:val="003A3CB7"/>
    <w:rsid w:val="003A7152"/>
    <w:rsid w:val="003A75E0"/>
    <w:rsid w:val="003B00BE"/>
    <w:rsid w:val="003B162D"/>
    <w:rsid w:val="003B1A73"/>
    <w:rsid w:val="003B1BA0"/>
    <w:rsid w:val="003B2821"/>
    <w:rsid w:val="003B2985"/>
    <w:rsid w:val="003B29E2"/>
    <w:rsid w:val="003B3D08"/>
    <w:rsid w:val="003B3D40"/>
    <w:rsid w:val="003B41C4"/>
    <w:rsid w:val="003B4305"/>
    <w:rsid w:val="003B5076"/>
    <w:rsid w:val="003B5C95"/>
    <w:rsid w:val="003B5D9B"/>
    <w:rsid w:val="003B773A"/>
    <w:rsid w:val="003B7A0F"/>
    <w:rsid w:val="003C1176"/>
    <w:rsid w:val="003C2623"/>
    <w:rsid w:val="003C2A80"/>
    <w:rsid w:val="003C2B1F"/>
    <w:rsid w:val="003C6598"/>
    <w:rsid w:val="003C6E19"/>
    <w:rsid w:val="003D04E6"/>
    <w:rsid w:val="003D1278"/>
    <w:rsid w:val="003D12FF"/>
    <w:rsid w:val="003D1D80"/>
    <w:rsid w:val="003D2A3E"/>
    <w:rsid w:val="003D31D0"/>
    <w:rsid w:val="003D3768"/>
    <w:rsid w:val="003D390F"/>
    <w:rsid w:val="003D4F26"/>
    <w:rsid w:val="003D7447"/>
    <w:rsid w:val="003E04C6"/>
    <w:rsid w:val="003E0E9D"/>
    <w:rsid w:val="003E3293"/>
    <w:rsid w:val="003E37D4"/>
    <w:rsid w:val="003E4780"/>
    <w:rsid w:val="003E518F"/>
    <w:rsid w:val="003E595E"/>
    <w:rsid w:val="003F1578"/>
    <w:rsid w:val="003F159D"/>
    <w:rsid w:val="003F2758"/>
    <w:rsid w:val="003F2793"/>
    <w:rsid w:val="003F3695"/>
    <w:rsid w:val="003F4154"/>
    <w:rsid w:val="003F481F"/>
    <w:rsid w:val="003F4E43"/>
    <w:rsid w:val="003F699A"/>
    <w:rsid w:val="003F75FC"/>
    <w:rsid w:val="003F7E5D"/>
    <w:rsid w:val="004011A0"/>
    <w:rsid w:val="0040160E"/>
    <w:rsid w:val="004016EF"/>
    <w:rsid w:val="004018FA"/>
    <w:rsid w:val="00401CBA"/>
    <w:rsid w:val="0040443B"/>
    <w:rsid w:val="00404564"/>
    <w:rsid w:val="0040482C"/>
    <w:rsid w:val="00405A81"/>
    <w:rsid w:val="00405E98"/>
    <w:rsid w:val="0040640A"/>
    <w:rsid w:val="00406B70"/>
    <w:rsid w:val="00406BB8"/>
    <w:rsid w:val="00407955"/>
    <w:rsid w:val="00407B2F"/>
    <w:rsid w:val="004100B1"/>
    <w:rsid w:val="00411D75"/>
    <w:rsid w:val="0041290A"/>
    <w:rsid w:val="00412D78"/>
    <w:rsid w:val="004132C5"/>
    <w:rsid w:val="00415336"/>
    <w:rsid w:val="00415D13"/>
    <w:rsid w:val="00417291"/>
    <w:rsid w:val="00420100"/>
    <w:rsid w:val="00420695"/>
    <w:rsid w:val="00420C8E"/>
    <w:rsid w:val="0042234B"/>
    <w:rsid w:val="00422A4E"/>
    <w:rsid w:val="004246F5"/>
    <w:rsid w:val="00425F2F"/>
    <w:rsid w:val="004265AF"/>
    <w:rsid w:val="004306A3"/>
    <w:rsid w:val="0043099F"/>
    <w:rsid w:val="00430DBA"/>
    <w:rsid w:val="00431022"/>
    <w:rsid w:val="004317EB"/>
    <w:rsid w:val="00431B09"/>
    <w:rsid w:val="00432842"/>
    <w:rsid w:val="004332A0"/>
    <w:rsid w:val="004338C9"/>
    <w:rsid w:val="004339F2"/>
    <w:rsid w:val="00433DCC"/>
    <w:rsid w:val="004350D6"/>
    <w:rsid w:val="0043514A"/>
    <w:rsid w:val="00435C39"/>
    <w:rsid w:val="00436505"/>
    <w:rsid w:val="0043655A"/>
    <w:rsid w:val="0043724F"/>
    <w:rsid w:val="00437B01"/>
    <w:rsid w:val="0044100C"/>
    <w:rsid w:val="004422D4"/>
    <w:rsid w:val="00443BB2"/>
    <w:rsid w:val="00445F42"/>
    <w:rsid w:val="004460CF"/>
    <w:rsid w:val="00446D33"/>
    <w:rsid w:val="00451DF9"/>
    <w:rsid w:val="00452259"/>
    <w:rsid w:val="004531A8"/>
    <w:rsid w:val="00453369"/>
    <w:rsid w:val="00453BA6"/>
    <w:rsid w:val="004543C9"/>
    <w:rsid w:val="004563A8"/>
    <w:rsid w:val="0045713E"/>
    <w:rsid w:val="004608C9"/>
    <w:rsid w:val="00460F29"/>
    <w:rsid w:val="0046127D"/>
    <w:rsid w:val="00461A13"/>
    <w:rsid w:val="00462D8F"/>
    <w:rsid w:val="004634CE"/>
    <w:rsid w:val="004641E5"/>
    <w:rsid w:val="0046453B"/>
    <w:rsid w:val="004654DD"/>
    <w:rsid w:val="00465902"/>
    <w:rsid w:val="004667DC"/>
    <w:rsid w:val="0046780F"/>
    <w:rsid w:val="004707DE"/>
    <w:rsid w:val="004713BA"/>
    <w:rsid w:val="004714CB"/>
    <w:rsid w:val="00471D05"/>
    <w:rsid w:val="0047290C"/>
    <w:rsid w:val="00472ADB"/>
    <w:rsid w:val="00473888"/>
    <w:rsid w:val="00473E14"/>
    <w:rsid w:val="004745DE"/>
    <w:rsid w:val="0047488D"/>
    <w:rsid w:val="00476233"/>
    <w:rsid w:val="0047681C"/>
    <w:rsid w:val="00481835"/>
    <w:rsid w:val="00483998"/>
    <w:rsid w:val="00483F68"/>
    <w:rsid w:val="004852F1"/>
    <w:rsid w:val="00485912"/>
    <w:rsid w:val="0048638D"/>
    <w:rsid w:val="00487B0D"/>
    <w:rsid w:val="00491444"/>
    <w:rsid w:val="00491F66"/>
    <w:rsid w:val="00492146"/>
    <w:rsid w:val="004926FD"/>
    <w:rsid w:val="00492724"/>
    <w:rsid w:val="00492AF2"/>
    <w:rsid w:val="00495DFE"/>
    <w:rsid w:val="004969A2"/>
    <w:rsid w:val="00497139"/>
    <w:rsid w:val="004A0020"/>
    <w:rsid w:val="004A02F8"/>
    <w:rsid w:val="004A0F81"/>
    <w:rsid w:val="004A113C"/>
    <w:rsid w:val="004A11BB"/>
    <w:rsid w:val="004A1235"/>
    <w:rsid w:val="004A1569"/>
    <w:rsid w:val="004A190C"/>
    <w:rsid w:val="004A2110"/>
    <w:rsid w:val="004A226B"/>
    <w:rsid w:val="004A3012"/>
    <w:rsid w:val="004A3468"/>
    <w:rsid w:val="004A4C07"/>
    <w:rsid w:val="004A5325"/>
    <w:rsid w:val="004A6541"/>
    <w:rsid w:val="004A6580"/>
    <w:rsid w:val="004A695D"/>
    <w:rsid w:val="004A753D"/>
    <w:rsid w:val="004A762A"/>
    <w:rsid w:val="004A79C9"/>
    <w:rsid w:val="004A7A4F"/>
    <w:rsid w:val="004B00C7"/>
    <w:rsid w:val="004B0FE6"/>
    <w:rsid w:val="004B17B8"/>
    <w:rsid w:val="004B1ADD"/>
    <w:rsid w:val="004B3226"/>
    <w:rsid w:val="004B3707"/>
    <w:rsid w:val="004B4BD5"/>
    <w:rsid w:val="004B51A8"/>
    <w:rsid w:val="004B64EB"/>
    <w:rsid w:val="004B76A8"/>
    <w:rsid w:val="004C16EB"/>
    <w:rsid w:val="004C1C40"/>
    <w:rsid w:val="004C1D9C"/>
    <w:rsid w:val="004C2D1A"/>
    <w:rsid w:val="004C431F"/>
    <w:rsid w:val="004C4610"/>
    <w:rsid w:val="004C49F1"/>
    <w:rsid w:val="004C4BD7"/>
    <w:rsid w:val="004C525D"/>
    <w:rsid w:val="004C609C"/>
    <w:rsid w:val="004C646D"/>
    <w:rsid w:val="004C6877"/>
    <w:rsid w:val="004C6AAC"/>
    <w:rsid w:val="004C735D"/>
    <w:rsid w:val="004C7434"/>
    <w:rsid w:val="004C74E7"/>
    <w:rsid w:val="004D0952"/>
    <w:rsid w:val="004D0EBC"/>
    <w:rsid w:val="004D2E35"/>
    <w:rsid w:val="004D2F2F"/>
    <w:rsid w:val="004D39ED"/>
    <w:rsid w:val="004D3A20"/>
    <w:rsid w:val="004D5C8F"/>
    <w:rsid w:val="004D7022"/>
    <w:rsid w:val="004D7672"/>
    <w:rsid w:val="004E037E"/>
    <w:rsid w:val="004E1095"/>
    <w:rsid w:val="004E2E17"/>
    <w:rsid w:val="004E39DB"/>
    <w:rsid w:val="004E660A"/>
    <w:rsid w:val="004E717F"/>
    <w:rsid w:val="004F135C"/>
    <w:rsid w:val="004F4182"/>
    <w:rsid w:val="004F4E5E"/>
    <w:rsid w:val="004F55FA"/>
    <w:rsid w:val="00500818"/>
    <w:rsid w:val="00500959"/>
    <w:rsid w:val="00502D17"/>
    <w:rsid w:val="00502E97"/>
    <w:rsid w:val="00503087"/>
    <w:rsid w:val="0050355A"/>
    <w:rsid w:val="005049EB"/>
    <w:rsid w:val="005054A2"/>
    <w:rsid w:val="00505F2A"/>
    <w:rsid w:val="005061E3"/>
    <w:rsid w:val="0050694C"/>
    <w:rsid w:val="00507F98"/>
    <w:rsid w:val="005101DF"/>
    <w:rsid w:val="00510A83"/>
    <w:rsid w:val="005126F4"/>
    <w:rsid w:val="00512E34"/>
    <w:rsid w:val="005137B3"/>
    <w:rsid w:val="00514438"/>
    <w:rsid w:val="00514F94"/>
    <w:rsid w:val="005153DE"/>
    <w:rsid w:val="0051554C"/>
    <w:rsid w:val="005156D3"/>
    <w:rsid w:val="00515EE6"/>
    <w:rsid w:val="00516615"/>
    <w:rsid w:val="00516F9B"/>
    <w:rsid w:val="00517954"/>
    <w:rsid w:val="00520105"/>
    <w:rsid w:val="00520484"/>
    <w:rsid w:val="00520D41"/>
    <w:rsid w:val="0052167D"/>
    <w:rsid w:val="00525070"/>
    <w:rsid w:val="0052508F"/>
    <w:rsid w:val="00527366"/>
    <w:rsid w:val="00527EBF"/>
    <w:rsid w:val="00530BA6"/>
    <w:rsid w:val="0053193A"/>
    <w:rsid w:val="00532998"/>
    <w:rsid w:val="005348D0"/>
    <w:rsid w:val="00535B5A"/>
    <w:rsid w:val="00540640"/>
    <w:rsid w:val="00541D80"/>
    <w:rsid w:val="00544444"/>
    <w:rsid w:val="005446FD"/>
    <w:rsid w:val="005451AE"/>
    <w:rsid w:val="00545430"/>
    <w:rsid w:val="00545607"/>
    <w:rsid w:val="00545D19"/>
    <w:rsid w:val="005466F6"/>
    <w:rsid w:val="00546739"/>
    <w:rsid w:val="0054709C"/>
    <w:rsid w:val="00547ABD"/>
    <w:rsid w:val="0055071C"/>
    <w:rsid w:val="0055112E"/>
    <w:rsid w:val="00551A9F"/>
    <w:rsid w:val="00551B39"/>
    <w:rsid w:val="00551DFB"/>
    <w:rsid w:val="00551E16"/>
    <w:rsid w:val="00551F31"/>
    <w:rsid w:val="005527C6"/>
    <w:rsid w:val="00552A05"/>
    <w:rsid w:val="0055378A"/>
    <w:rsid w:val="00553971"/>
    <w:rsid w:val="00554AFE"/>
    <w:rsid w:val="00555EE8"/>
    <w:rsid w:val="005563CE"/>
    <w:rsid w:val="00556A2C"/>
    <w:rsid w:val="00556EEC"/>
    <w:rsid w:val="005572ED"/>
    <w:rsid w:val="0056133B"/>
    <w:rsid w:val="00561EBF"/>
    <w:rsid w:val="005621E9"/>
    <w:rsid w:val="005638BE"/>
    <w:rsid w:val="00563F5F"/>
    <w:rsid w:val="0056582E"/>
    <w:rsid w:val="00565ACF"/>
    <w:rsid w:val="00565B74"/>
    <w:rsid w:val="00566C78"/>
    <w:rsid w:val="00567AA1"/>
    <w:rsid w:val="00567DC2"/>
    <w:rsid w:val="005713F9"/>
    <w:rsid w:val="00571BB8"/>
    <w:rsid w:val="0057353E"/>
    <w:rsid w:val="00575BC9"/>
    <w:rsid w:val="00575DEE"/>
    <w:rsid w:val="00575E58"/>
    <w:rsid w:val="005766B8"/>
    <w:rsid w:val="00577C14"/>
    <w:rsid w:val="00577DF1"/>
    <w:rsid w:val="00580196"/>
    <w:rsid w:val="00580AB6"/>
    <w:rsid w:val="005810D1"/>
    <w:rsid w:val="00582454"/>
    <w:rsid w:val="00582E4B"/>
    <w:rsid w:val="00585F28"/>
    <w:rsid w:val="00586037"/>
    <w:rsid w:val="005875C4"/>
    <w:rsid w:val="00587FA9"/>
    <w:rsid w:val="005908FC"/>
    <w:rsid w:val="00590FCB"/>
    <w:rsid w:val="005920D2"/>
    <w:rsid w:val="005920F2"/>
    <w:rsid w:val="0059225F"/>
    <w:rsid w:val="00592430"/>
    <w:rsid w:val="00592511"/>
    <w:rsid w:val="0059274D"/>
    <w:rsid w:val="005941FC"/>
    <w:rsid w:val="00594814"/>
    <w:rsid w:val="00594AD4"/>
    <w:rsid w:val="00596977"/>
    <w:rsid w:val="005A133B"/>
    <w:rsid w:val="005A156F"/>
    <w:rsid w:val="005A1B5E"/>
    <w:rsid w:val="005A43CD"/>
    <w:rsid w:val="005A70F8"/>
    <w:rsid w:val="005A7204"/>
    <w:rsid w:val="005B1BDD"/>
    <w:rsid w:val="005B1D55"/>
    <w:rsid w:val="005B2AD5"/>
    <w:rsid w:val="005B31AF"/>
    <w:rsid w:val="005B3481"/>
    <w:rsid w:val="005B4A58"/>
    <w:rsid w:val="005B5FFA"/>
    <w:rsid w:val="005B7D80"/>
    <w:rsid w:val="005C0A3C"/>
    <w:rsid w:val="005C1FDB"/>
    <w:rsid w:val="005C3129"/>
    <w:rsid w:val="005C3822"/>
    <w:rsid w:val="005C3CA4"/>
    <w:rsid w:val="005C3E44"/>
    <w:rsid w:val="005C3EE9"/>
    <w:rsid w:val="005C4611"/>
    <w:rsid w:val="005C49C4"/>
    <w:rsid w:val="005C4E09"/>
    <w:rsid w:val="005C5B8A"/>
    <w:rsid w:val="005C672C"/>
    <w:rsid w:val="005C7390"/>
    <w:rsid w:val="005D2DE7"/>
    <w:rsid w:val="005D3165"/>
    <w:rsid w:val="005D4FCC"/>
    <w:rsid w:val="005D5672"/>
    <w:rsid w:val="005D5DF1"/>
    <w:rsid w:val="005D7E59"/>
    <w:rsid w:val="005E01B8"/>
    <w:rsid w:val="005E0DBE"/>
    <w:rsid w:val="005E1D68"/>
    <w:rsid w:val="005E2103"/>
    <w:rsid w:val="005E349A"/>
    <w:rsid w:val="005E43BD"/>
    <w:rsid w:val="005E4E71"/>
    <w:rsid w:val="005E4F44"/>
    <w:rsid w:val="005E53B7"/>
    <w:rsid w:val="005E53C4"/>
    <w:rsid w:val="005E53DA"/>
    <w:rsid w:val="005E5B08"/>
    <w:rsid w:val="005E685D"/>
    <w:rsid w:val="005F0268"/>
    <w:rsid w:val="005F10B4"/>
    <w:rsid w:val="005F2536"/>
    <w:rsid w:val="005F3697"/>
    <w:rsid w:val="005F3AD2"/>
    <w:rsid w:val="005F3CD3"/>
    <w:rsid w:val="005F4879"/>
    <w:rsid w:val="005F7B02"/>
    <w:rsid w:val="006001F0"/>
    <w:rsid w:val="00600207"/>
    <w:rsid w:val="006005B1"/>
    <w:rsid w:val="006005BE"/>
    <w:rsid w:val="00600D2E"/>
    <w:rsid w:val="0060161E"/>
    <w:rsid w:val="00601A0A"/>
    <w:rsid w:val="00601CF8"/>
    <w:rsid w:val="00602CD4"/>
    <w:rsid w:val="0060384A"/>
    <w:rsid w:val="00604728"/>
    <w:rsid w:val="00604FDA"/>
    <w:rsid w:val="0060637A"/>
    <w:rsid w:val="00607A99"/>
    <w:rsid w:val="00607D23"/>
    <w:rsid w:val="00610798"/>
    <w:rsid w:val="00610C49"/>
    <w:rsid w:val="00610CA6"/>
    <w:rsid w:val="00612BF3"/>
    <w:rsid w:val="0061362A"/>
    <w:rsid w:val="00613F75"/>
    <w:rsid w:val="00613FB6"/>
    <w:rsid w:val="006143C4"/>
    <w:rsid w:val="0061448D"/>
    <w:rsid w:val="00614959"/>
    <w:rsid w:val="00616074"/>
    <w:rsid w:val="006160C3"/>
    <w:rsid w:val="00616896"/>
    <w:rsid w:val="00616ADE"/>
    <w:rsid w:val="00617661"/>
    <w:rsid w:val="00617C5B"/>
    <w:rsid w:val="006217E2"/>
    <w:rsid w:val="00621A1C"/>
    <w:rsid w:val="00621C27"/>
    <w:rsid w:val="00622277"/>
    <w:rsid w:val="006237BC"/>
    <w:rsid w:val="006239C0"/>
    <w:rsid w:val="00623A0B"/>
    <w:rsid w:val="00623BA1"/>
    <w:rsid w:val="0062683C"/>
    <w:rsid w:val="006276B5"/>
    <w:rsid w:val="00631F42"/>
    <w:rsid w:val="00631F73"/>
    <w:rsid w:val="00633461"/>
    <w:rsid w:val="0063383A"/>
    <w:rsid w:val="00633E24"/>
    <w:rsid w:val="00633FAB"/>
    <w:rsid w:val="0063442E"/>
    <w:rsid w:val="00634AB7"/>
    <w:rsid w:val="00634F9C"/>
    <w:rsid w:val="00635724"/>
    <w:rsid w:val="0063626C"/>
    <w:rsid w:val="00637322"/>
    <w:rsid w:val="006377E0"/>
    <w:rsid w:val="006379A8"/>
    <w:rsid w:val="00640D3B"/>
    <w:rsid w:val="00641012"/>
    <w:rsid w:val="00643075"/>
    <w:rsid w:val="00643FF0"/>
    <w:rsid w:val="006447B8"/>
    <w:rsid w:val="00644D9B"/>
    <w:rsid w:val="0064692F"/>
    <w:rsid w:val="00647654"/>
    <w:rsid w:val="006478F5"/>
    <w:rsid w:val="00650595"/>
    <w:rsid w:val="00652FB9"/>
    <w:rsid w:val="00653F63"/>
    <w:rsid w:val="00654336"/>
    <w:rsid w:val="006550C7"/>
    <w:rsid w:val="00655941"/>
    <w:rsid w:val="00655A81"/>
    <w:rsid w:val="0066019F"/>
    <w:rsid w:val="00660C0D"/>
    <w:rsid w:val="00661A28"/>
    <w:rsid w:val="00661A7D"/>
    <w:rsid w:val="00661F4E"/>
    <w:rsid w:val="00662870"/>
    <w:rsid w:val="006637AA"/>
    <w:rsid w:val="006658D5"/>
    <w:rsid w:val="00666226"/>
    <w:rsid w:val="00666497"/>
    <w:rsid w:val="00667CD9"/>
    <w:rsid w:val="00667D36"/>
    <w:rsid w:val="0067123A"/>
    <w:rsid w:val="006735FA"/>
    <w:rsid w:val="006746A7"/>
    <w:rsid w:val="006751CB"/>
    <w:rsid w:val="00675947"/>
    <w:rsid w:val="00675FBE"/>
    <w:rsid w:val="006763C7"/>
    <w:rsid w:val="006776C7"/>
    <w:rsid w:val="00677A80"/>
    <w:rsid w:val="00681802"/>
    <w:rsid w:val="006824D5"/>
    <w:rsid w:val="00683657"/>
    <w:rsid w:val="00683E37"/>
    <w:rsid w:val="00684791"/>
    <w:rsid w:val="00685FDD"/>
    <w:rsid w:val="006863B1"/>
    <w:rsid w:val="00686459"/>
    <w:rsid w:val="006877EA"/>
    <w:rsid w:val="0068786C"/>
    <w:rsid w:val="00687987"/>
    <w:rsid w:val="00687DA5"/>
    <w:rsid w:val="00691235"/>
    <w:rsid w:val="006912DA"/>
    <w:rsid w:val="00692546"/>
    <w:rsid w:val="00692A3A"/>
    <w:rsid w:val="0069305F"/>
    <w:rsid w:val="00695C0D"/>
    <w:rsid w:val="00697321"/>
    <w:rsid w:val="00697559"/>
    <w:rsid w:val="0069E27D"/>
    <w:rsid w:val="006A0A1E"/>
    <w:rsid w:val="006A179D"/>
    <w:rsid w:val="006A25F5"/>
    <w:rsid w:val="006A3788"/>
    <w:rsid w:val="006A395C"/>
    <w:rsid w:val="006A4012"/>
    <w:rsid w:val="006A54FF"/>
    <w:rsid w:val="006A6FE4"/>
    <w:rsid w:val="006A7E58"/>
    <w:rsid w:val="006B1AD8"/>
    <w:rsid w:val="006B2133"/>
    <w:rsid w:val="006B3586"/>
    <w:rsid w:val="006B3696"/>
    <w:rsid w:val="006B3DB3"/>
    <w:rsid w:val="006B4ADA"/>
    <w:rsid w:val="006B5715"/>
    <w:rsid w:val="006B5C41"/>
    <w:rsid w:val="006B68CD"/>
    <w:rsid w:val="006B6A59"/>
    <w:rsid w:val="006B736D"/>
    <w:rsid w:val="006B74CE"/>
    <w:rsid w:val="006C16D1"/>
    <w:rsid w:val="006C28F4"/>
    <w:rsid w:val="006C3520"/>
    <w:rsid w:val="006C3575"/>
    <w:rsid w:val="006C41EF"/>
    <w:rsid w:val="006C48F4"/>
    <w:rsid w:val="006C4BF8"/>
    <w:rsid w:val="006C4CD5"/>
    <w:rsid w:val="006C4D1D"/>
    <w:rsid w:val="006D1A58"/>
    <w:rsid w:val="006D3199"/>
    <w:rsid w:val="006D56E8"/>
    <w:rsid w:val="006D58DB"/>
    <w:rsid w:val="006E0EC3"/>
    <w:rsid w:val="006E1CB8"/>
    <w:rsid w:val="006E2681"/>
    <w:rsid w:val="006E277B"/>
    <w:rsid w:val="006E2EBC"/>
    <w:rsid w:val="006E3BB4"/>
    <w:rsid w:val="006E5695"/>
    <w:rsid w:val="006E6257"/>
    <w:rsid w:val="006E7043"/>
    <w:rsid w:val="006E7677"/>
    <w:rsid w:val="006E77EB"/>
    <w:rsid w:val="006E7AE8"/>
    <w:rsid w:val="006E7CEB"/>
    <w:rsid w:val="006F1A28"/>
    <w:rsid w:val="006F40C8"/>
    <w:rsid w:val="006F427C"/>
    <w:rsid w:val="006F5222"/>
    <w:rsid w:val="006F65AE"/>
    <w:rsid w:val="007000B1"/>
    <w:rsid w:val="007005B8"/>
    <w:rsid w:val="00700775"/>
    <w:rsid w:val="007008B8"/>
    <w:rsid w:val="007016CF"/>
    <w:rsid w:val="00702689"/>
    <w:rsid w:val="00705131"/>
    <w:rsid w:val="00705C71"/>
    <w:rsid w:val="00706649"/>
    <w:rsid w:val="007068CF"/>
    <w:rsid w:val="00706A2D"/>
    <w:rsid w:val="00711778"/>
    <w:rsid w:val="00714158"/>
    <w:rsid w:val="00714410"/>
    <w:rsid w:val="00714C5B"/>
    <w:rsid w:val="0071519A"/>
    <w:rsid w:val="00715A96"/>
    <w:rsid w:val="00715B8B"/>
    <w:rsid w:val="00715C8D"/>
    <w:rsid w:val="00716022"/>
    <w:rsid w:val="007166CA"/>
    <w:rsid w:val="0071677F"/>
    <w:rsid w:val="007167DE"/>
    <w:rsid w:val="007169AF"/>
    <w:rsid w:val="007172D8"/>
    <w:rsid w:val="00717400"/>
    <w:rsid w:val="007176BF"/>
    <w:rsid w:val="0071772A"/>
    <w:rsid w:val="00723096"/>
    <w:rsid w:val="00724344"/>
    <w:rsid w:val="007243F4"/>
    <w:rsid w:val="007255BD"/>
    <w:rsid w:val="00725744"/>
    <w:rsid w:val="007273A2"/>
    <w:rsid w:val="00732C08"/>
    <w:rsid w:val="00733837"/>
    <w:rsid w:val="00733CA7"/>
    <w:rsid w:val="00733CBA"/>
    <w:rsid w:val="00734059"/>
    <w:rsid w:val="0073428E"/>
    <w:rsid w:val="00734782"/>
    <w:rsid w:val="00734885"/>
    <w:rsid w:val="00735E6A"/>
    <w:rsid w:val="00735E79"/>
    <w:rsid w:val="0073675A"/>
    <w:rsid w:val="00736F1B"/>
    <w:rsid w:val="007371AD"/>
    <w:rsid w:val="0074006E"/>
    <w:rsid w:val="007405B4"/>
    <w:rsid w:val="007406AE"/>
    <w:rsid w:val="00740A02"/>
    <w:rsid w:val="00741052"/>
    <w:rsid w:val="00741A26"/>
    <w:rsid w:val="007431CC"/>
    <w:rsid w:val="0074336C"/>
    <w:rsid w:val="00743AE9"/>
    <w:rsid w:val="00743B64"/>
    <w:rsid w:val="007468C4"/>
    <w:rsid w:val="00747F21"/>
    <w:rsid w:val="0075199B"/>
    <w:rsid w:val="00751AAD"/>
    <w:rsid w:val="00751B34"/>
    <w:rsid w:val="0075334A"/>
    <w:rsid w:val="00755543"/>
    <w:rsid w:val="00755F94"/>
    <w:rsid w:val="00756BF9"/>
    <w:rsid w:val="00760073"/>
    <w:rsid w:val="007602E5"/>
    <w:rsid w:val="00762441"/>
    <w:rsid w:val="0076338C"/>
    <w:rsid w:val="00763808"/>
    <w:rsid w:val="0076668D"/>
    <w:rsid w:val="00767367"/>
    <w:rsid w:val="00767FC8"/>
    <w:rsid w:val="007701F0"/>
    <w:rsid w:val="007706C1"/>
    <w:rsid w:val="007707B8"/>
    <w:rsid w:val="00770C96"/>
    <w:rsid w:val="007713C0"/>
    <w:rsid w:val="0077228C"/>
    <w:rsid w:val="00773221"/>
    <w:rsid w:val="00774D52"/>
    <w:rsid w:val="007759EB"/>
    <w:rsid w:val="007765BA"/>
    <w:rsid w:val="00776DDB"/>
    <w:rsid w:val="00777C0B"/>
    <w:rsid w:val="00780792"/>
    <w:rsid w:val="007807D9"/>
    <w:rsid w:val="007827FB"/>
    <w:rsid w:val="00782F80"/>
    <w:rsid w:val="00783C13"/>
    <w:rsid w:val="0078483F"/>
    <w:rsid w:val="007859E5"/>
    <w:rsid w:val="007865E5"/>
    <w:rsid w:val="007875C9"/>
    <w:rsid w:val="007904B3"/>
    <w:rsid w:val="007908E8"/>
    <w:rsid w:val="007913A9"/>
    <w:rsid w:val="00791439"/>
    <w:rsid w:val="00791ABF"/>
    <w:rsid w:val="00792CD4"/>
    <w:rsid w:val="007944E4"/>
    <w:rsid w:val="007946C4"/>
    <w:rsid w:val="007948FC"/>
    <w:rsid w:val="0079495C"/>
    <w:rsid w:val="00795D56"/>
    <w:rsid w:val="007966E0"/>
    <w:rsid w:val="00796E17"/>
    <w:rsid w:val="007A1570"/>
    <w:rsid w:val="007A1CE8"/>
    <w:rsid w:val="007A36A0"/>
    <w:rsid w:val="007A4A7D"/>
    <w:rsid w:val="007A4ED8"/>
    <w:rsid w:val="007A5A4C"/>
    <w:rsid w:val="007A5CCB"/>
    <w:rsid w:val="007A6062"/>
    <w:rsid w:val="007A63E5"/>
    <w:rsid w:val="007A64EE"/>
    <w:rsid w:val="007A7023"/>
    <w:rsid w:val="007A71B9"/>
    <w:rsid w:val="007A77D9"/>
    <w:rsid w:val="007A7835"/>
    <w:rsid w:val="007A78C5"/>
    <w:rsid w:val="007B0356"/>
    <w:rsid w:val="007B087C"/>
    <w:rsid w:val="007B1212"/>
    <w:rsid w:val="007B184D"/>
    <w:rsid w:val="007B20CA"/>
    <w:rsid w:val="007B22EA"/>
    <w:rsid w:val="007B3126"/>
    <w:rsid w:val="007B35B5"/>
    <w:rsid w:val="007B4918"/>
    <w:rsid w:val="007B56AC"/>
    <w:rsid w:val="007B7C1C"/>
    <w:rsid w:val="007C0240"/>
    <w:rsid w:val="007C0728"/>
    <w:rsid w:val="007C0E14"/>
    <w:rsid w:val="007C1157"/>
    <w:rsid w:val="007C397B"/>
    <w:rsid w:val="007C3BC7"/>
    <w:rsid w:val="007C560B"/>
    <w:rsid w:val="007C6A22"/>
    <w:rsid w:val="007C7964"/>
    <w:rsid w:val="007D03E9"/>
    <w:rsid w:val="007D0EB1"/>
    <w:rsid w:val="007D10BF"/>
    <w:rsid w:val="007D382D"/>
    <w:rsid w:val="007D43A1"/>
    <w:rsid w:val="007D50D0"/>
    <w:rsid w:val="007D5779"/>
    <w:rsid w:val="007D5F1A"/>
    <w:rsid w:val="007D6102"/>
    <w:rsid w:val="007D6CD4"/>
    <w:rsid w:val="007D71AF"/>
    <w:rsid w:val="007E364A"/>
    <w:rsid w:val="007E4800"/>
    <w:rsid w:val="007E52EA"/>
    <w:rsid w:val="007E595A"/>
    <w:rsid w:val="007E6707"/>
    <w:rsid w:val="007E6EE1"/>
    <w:rsid w:val="007E74A2"/>
    <w:rsid w:val="007E7F1C"/>
    <w:rsid w:val="007F160A"/>
    <w:rsid w:val="007F2AF5"/>
    <w:rsid w:val="007F2E6D"/>
    <w:rsid w:val="007F2EB8"/>
    <w:rsid w:val="007F305B"/>
    <w:rsid w:val="007F3C26"/>
    <w:rsid w:val="007F3E43"/>
    <w:rsid w:val="007F427E"/>
    <w:rsid w:val="007F44EC"/>
    <w:rsid w:val="007F53C8"/>
    <w:rsid w:val="007F5CBA"/>
    <w:rsid w:val="007F7CFF"/>
    <w:rsid w:val="00800ADD"/>
    <w:rsid w:val="008017D3"/>
    <w:rsid w:val="008020B9"/>
    <w:rsid w:val="008027D4"/>
    <w:rsid w:val="00802E33"/>
    <w:rsid w:val="00802FBC"/>
    <w:rsid w:val="00804634"/>
    <w:rsid w:val="008048B5"/>
    <w:rsid w:val="00804A16"/>
    <w:rsid w:val="00804A49"/>
    <w:rsid w:val="00804C99"/>
    <w:rsid w:val="008052C1"/>
    <w:rsid w:val="00805699"/>
    <w:rsid w:val="008064A9"/>
    <w:rsid w:val="008100EF"/>
    <w:rsid w:val="00810CEA"/>
    <w:rsid w:val="00811202"/>
    <w:rsid w:val="0081123F"/>
    <w:rsid w:val="00812D8D"/>
    <w:rsid w:val="008134B0"/>
    <w:rsid w:val="00813F7A"/>
    <w:rsid w:val="00814265"/>
    <w:rsid w:val="008148D4"/>
    <w:rsid w:val="008159BD"/>
    <w:rsid w:val="00815AAE"/>
    <w:rsid w:val="00816C48"/>
    <w:rsid w:val="00817041"/>
    <w:rsid w:val="0081715B"/>
    <w:rsid w:val="00822D21"/>
    <w:rsid w:val="00824F5C"/>
    <w:rsid w:val="00826A73"/>
    <w:rsid w:val="00827318"/>
    <w:rsid w:val="00827D99"/>
    <w:rsid w:val="0083014A"/>
    <w:rsid w:val="00831EC0"/>
    <w:rsid w:val="00831F5A"/>
    <w:rsid w:val="00831FC1"/>
    <w:rsid w:val="00832B17"/>
    <w:rsid w:val="00832C88"/>
    <w:rsid w:val="00832F4C"/>
    <w:rsid w:val="0083413B"/>
    <w:rsid w:val="0083511D"/>
    <w:rsid w:val="00837E99"/>
    <w:rsid w:val="00837FFA"/>
    <w:rsid w:val="00840418"/>
    <w:rsid w:val="008408A7"/>
    <w:rsid w:val="00840BFB"/>
    <w:rsid w:val="0084115E"/>
    <w:rsid w:val="00842934"/>
    <w:rsid w:val="00843561"/>
    <w:rsid w:val="00845A0F"/>
    <w:rsid w:val="00851A1D"/>
    <w:rsid w:val="00851DE6"/>
    <w:rsid w:val="00854063"/>
    <w:rsid w:val="008549BC"/>
    <w:rsid w:val="00854A07"/>
    <w:rsid w:val="0085561F"/>
    <w:rsid w:val="00855674"/>
    <w:rsid w:val="008558BC"/>
    <w:rsid w:val="008576DF"/>
    <w:rsid w:val="00860504"/>
    <w:rsid w:val="00860B7B"/>
    <w:rsid w:val="0086124E"/>
    <w:rsid w:val="008630FC"/>
    <w:rsid w:val="00865125"/>
    <w:rsid w:val="00865AB8"/>
    <w:rsid w:val="00867915"/>
    <w:rsid w:val="00870422"/>
    <w:rsid w:val="00870862"/>
    <w:rsid w:val="00870DD9"/>
    <w:rsid w:val="0087285D"/>
    <w:rsid w:val="008729A9"/>
    <w:rsid w:val="00873194"/>
    <w:rsid w:val="008744BA"/>
    <w:rsid w:val="00874509"/>
    <w:rsid w:val="00874E75"/>
    <w:rsid w:val="00875F48"/>
    <w:rsid w:val="0087733F"/>
    <w:rsid w:val="0088022D"/>
    <w:rsid w:val="00880628"/>
    <w:rsid w:val="00880CA5"/>
    <w:rsid w:val="008822E5"/>
    <w:rsid w:val="00882F90"/>
    <w:rsid w:val="00883DBB"/>
    <w:rsid w:val="00884A2B"/>
    <w:rsid w:val="00884A9D"/>
    <w:rsid w:val="00884E32"/>
    <w:rsid w:val="00885134"/>
    <w:rsid w:val="00885C89"/>
    <w:rsid w:val="00887030"/>
    <w:rsid w:val="00890072"/>
    <w:rsid w:val="00891517"/>
    <w:rsid w:val="008924F5"/>
    <w:rsid w:val="008935E3"/>
    <w:rsid w:val="00895165"/>
    <w:rsid w:val="008956CE"/>
    <w:rsid w:val="0089749F"/>
    <w:rsid w:val="008A024D"/>
    <w:rsid w:val="008A02F2"/>
    <w:rsid w:val="008A061D"/>
    <w:rsid w:val="008A08A4"/>
    <w:rsid w:val="008A19E2"/>
    <w:rsid w:val="008A1D80"/>
    <w:rsid w:val="008A1FAA"/>
    <w:rsid w:val="008A39CC"/>
    <w:rsid w:val="008A47C4"/>
    <w:rsid w:val="008A4E3F"/>
    <w:rsid w:val="008A64D3"/>
    <w:rsid w:val="008B03BD"/>
    <w:rsid w:val="008B13C4"/>
    <w:rsid w:val="008B257B"/>
    <w:rsid w:val="008B27E6"/>
    <w:rsid w:val="008B3F09"/>
    <w:rsid w:val="008B48B6"/>
    <w:rsid w:val="008B68C5"/>
    <w:rsid w:val="008B7866"/>
    <w:rsid w:val="008C0B72"/>
    <w:rsid w:val="008C1193"/>
    <w:rsid w:val="008C1875"/>
    <w:rsid w:val="008C18B6"/>
    <w:rsid w:val="008C250F"/>
    <w:rsid w:val="008C2BDD"/>
    <w:rsid w:val="008C6551"/>
    <w:rsid w:val="008C67E6"/>
    <w:rsid w:val="008C6D26"/>
    <w:rsid w:val="008D0579"/>
    <w:rsid w:val="008D0895"/>
    <w:rsid w:val="008D0B0F"/>
    <w:rsid w:val="008D380B"/>
    <w:rsid w:val="008D3B73"/>
    <w:rsid w:val="008D4635"/>
    <w:rsid w:val="008D4937"/>
    <w:rsid w:val="008D6334"/>
    <w:rsid w:val="008D641F"/>
    <w:rsid w:val="008D6494"/>
    <w:rsid w:val="008D7B30"/>
    <w:rsid w:val="008E0576"/>
    <w:rsid w:val="008E0BC0"/>
    <w:rsid w:val="008E0D4D"/>
    <w:rsid w:val="008E1D4C"/>
    <w:rsid w:val="008E1E41"/>
    <w:rsid w:val="008E32F3"/>
    <w:rsid w:val="008E371E"/>
    <w:rsid w:val="008E63BF"/>
    <w:rsid w:val="008E6D7E"/>
    <w:rsid w:val="008E6DAB"/>
    <w:rsid w:val="008F1977"/>
    <w:rsid w:val="008F1DB3"/>
    <w:rsid w:val="008F294D"/>
    <w:rsid w:val="008F4135"/>
    <w:rsid w:val="008F4E2F"/>
    <w:rsid w:val="008F5396"/>
    <w:rsid w:val="00900625"/>
    <w:rsid w:val="00901191"/>
    <w:rsid w:val="00901B9B"/>
    <w:rsid w:val="0090549A"/>
    <w:rsid w:val="00905BD2"/>
    <w:rsid w:val="00906E5F"/>
    <w:rsid w:val="00910EC7"/>
    <w:rsid w:val="009111C1"/>
    <w:rsid w:val="0091163B"/>
    <w:rsid w:val="00911E41"/>
    <w:rsid w:val="00912470"/>
    <w:rsid w:val="0091252F"/>
    <w:rsid w:val="009127E3"/>
    <w:rsid w:val="00912838"/>
    <w:rsid w:val="00912DB0"/>
    <w:rsid w:val="009133F2"/>
    <w:rsid w:val="009134A3"/>
    <w:rsid w:val="0091412F"/>
    <w:rsid w:val="00914328"/>
    <w:rsid w:val="00915589"/>
    <w:rsid w:val="009155F8"/>
    <w:rsid w:val="00917F31"/>
    <w:rsid w:val="0092013C"/>
    <w:rsid w:val="0092021E"/>
    <w:rsid w:val="0092308A"/>
    <w:rsid w:val="00923F8F"/>
    <w:rsid w:val="00924955"/>
    <w:rsid w:val="00926B60"/>
    <w:rsid w:val="00927FE7"/>
    <w:rsid w:val="0093046D"/>
    <w:rsid w:val="00930506"/>
    <w:rsid w:val="009317FA"/>
    <w:rsid w:val="009329AE"/>
    <w:rsid w:val="00933703"/>
    <w:rsid w:val="00933C8B"/>
    <w:rsid w:val="00934100"/>
    <w:rsid w:val="00934E2D"/>
    <w:rsid w:val="009369B0"/>
    <w:rsid w:val="009369F9"/>
    <w:rsid w:val="00937493"/>
    <w:rsid w:val="00940227"/>
    <w:rsid w:val="0094098B"/>
    <w:rsid w:val="00941CD8"/>
    <w:rsid w:val="00946BAA"/>
    <w:rsid w:val="0094764F"/>
    <w:rsid w:val="00950818"/>
    <w:rsid w:val="00950852"/>
    <w:rsid w:val="00950DAE"/>
    <w:rsid w:val="009511B9"/>
    <w:rsid w:val="00951865"/>
    <w:rsid w:val="009518EA"/>
    <w:rsid w:val="00953CE6"/>
    <w:rsid w:val="0095464E"/>
    <w:rsid w:val="00954A97"/>
    <w:rsid w:val="0095503D"/>
    <w:rsid w:val="0096136A"/>
    <w:rsid w:val="009618DD"/>
    <w:rsid w:val="0096281A"/>
    <w:rsid w:val="009637CB"/>
    <w:rsid w:val="00963C24"/>
    <w:rsid w:val="00963FED"/>
    <w:rsid w:val="009664DA"/>
    <w:rsid w:val="00966DFB"/>
    <w:rsid w:val="00966FDA"/>
    <w:rsid w:val="00970DAC"/>
    <w:rsid w:val="00971124"/>
    <w:rsid w:val="00971F6D"/>
    <w:rsid w:val="0097264F"/>
    <w:rsid w:val="009726C7"/>
    <w:rsid w:val="00972E3F"/>
    <w:rsid w:val="009743CE"/>
    <w:rsid w:val="00974B18"/>
    <w:rsid w:val="009760B5"/>
    <w:rsid w:val="0097747F"/>
    <w:rsid w:val="00981F9A"/>
    <w:rsid w:val="00984162"/>
    <w:rsid w:val="009841BF"/>
    <w:rsid w:val="009842AF"/>
    <w:rsid w:val="00984BAE"/>
    <w:rsid w:val="0098590F"/>
    <w:rsid w:val="009863D4"/>
    <w:rsid w:val="00986D7E"/>
    <w:rsid w:val="00987962"/>
    <w:rsid w:val="00987AB9"/>
    <w:rsid w:val="00990792"/>
    <w:rsid w:val="009935E0"/>
    <w:rsid w:val="00993772"/>
    <w:rsid w:val="00995ECE"/>
    <w:rsid w:val="00996D62"/>
    <w:rsid w:val="00996F1C"/>
    <w:rsid w:val="009971E1"/>
    <w:rsid w:val="009972EF"/>
    <w:rsid w:val="009A006A"/>
    <w:rsid w:val="009A1552"/>
    <w:rsid w:val="009A1BB4"/>
    <w:rsid w:val="009A1C67"/>
    <w:rsid w:val="009A24F5"/>
    <w:rsid w:val="009A288A"/>
    <w:rsid w:val="009A2C1E"/>
    <w:rsid w:val="009A33DC"/>
    <w:rsid w:val="009A3C06"/>
    <w:rsid w:val="009A4BF3"/>
    <w:rsid w:val="009A59A2"/>
    <w:rsid w:val="009A5EEF"/>
    <w:rsid w:val="009B08C3"/>
    <w:rsid w:val="009B112F"/>
    <w:rsid w:val="009B270E"/>
    <w:rsid w:val="009B2E56"/>
    <w:rsid w:val="009B3A93"/>
    <w:rsid w:val="009B3E64"/>
    <w:rsid w:val="009B3EEF"/>
    <w:rsid w:val="009B4284"/>
    <w:rsid w:val="009B50A7"/>
    <w:rsid w:val="009B57C0"/>
    <w:rsid w:val="009B6E6C"/>
    <w:rsid w:val="009C021A"/>
    <w:rsid w:val="009C0662"/>
    <w:rsid w:val="009C0979"/>
    <w:rsid w:val="009C0FC6"/>
    <w:rsid w:val="009C2D55"/>
    <w:rsid w:val="009C2E6A"/>
    <w:rsid w:val="009C642B"/>
    <w:rsid w:val="009C6EA2"/>
    <w:rsid w:val="009C8423"/>
    <w:rsid w:val="009D013B"/>
    <w:rsid w:val="009D19E1"/>
    <w:rsid w:val="009D2BE9"/>
    <w:rsid w:val="009D3084"/>
    <w:rsid w:val="009D33A0"/>
    <w:rsid w:val="009D38C6"/>
    <w:rsid w:val="009D47D0"/>
    <w:rsid w:val="009D4C40"/>
    <w:rsid w:val="009D6422"/>
    <w:rsid w:val="009D7A50"/>
    <w:rsid w:val="009E107C"/>
    <w:rsid w:val="009E1DC0"/>
    <w:rsid w:val="009E290C"/>
    <w:rsid w:val="009E2E8D"/>
    <w:rsid w:val="009E2FA1"/>
    <w:rsid w:val="009E3395"/>
    <w:rsid w:val="009E3737"/>
    <w:rsid w:val="009E4327"/>
    <w:rsid w:val="009E52EE"/>
    <w:rsid w:val="009E5AAC"/>
    <w:rsid w:val="009E6131"/>
    <w:rsid w:val="009E63B5"/>
    <w:rsid w:val="009E652B"/>
    <w:rsid w:val="009F146C"/>
    <w:rsid w:val="009F153B"/>
    <w:rsid w:val="009F1A9A"/>
    <w:rsid w:val="009F2997"/>
    <w:rsid w:val="009F50F7"/>
    <w:rsid w:val="009F5BDB"/>
    <w:rsid w:val="009F7359"/>
    <w:rsid w:val="009F7478"/>
    <w:rsid w:val="00A01961"/>
    <w:rsid w:val="00A022DB"/>
    <w:rsid w:val="00A03F30"/>
    <w:rsid w:val="00A03FDD"/>
    <w:rsid w:val="00A0443C"/>
    <w:rsid w:val="00A06E06"/>
    <w:rsid w:val="00A11675"/>
    <w:rsid w:val="00A1251A"/>
    <w:rsid w:val="00A12A33"/>
    <w:rsid w:val="00A12B58"/>
    <w:rsid w:val="00A12BB0"/>
    <w:rsid w:val="00A13FA9"/>
    <w:rsid w:val="00A14DB0"/>
    <w:rsid w:val="00A15163"/>
    <w:rsid w:val="00A1569C"/>
    <w:rsid w:val="00A15AEF"/>
    <w:rsid w:val="00A23C34"/>
    <w:rsid w:val="00A26557"/>
    <w:rsid w:val="00A272AC"/>
    <w:rsid w:val="00A27778"/>
    <w:rsid w:val="00A30779"/>
    <w:rsid w:val="00A31473"/>
    <w:rsid w:val="00A31A95"/>
    <w:rsid w:val="00A33770"/>
    <w:rsid w:val="00A33CAC"/>
    <w:rsid w:val="00A3480E"/>
    <w:rsid w:val="00A358AB"/>
    <w:rsid w:val="00A36C91"/>
    <w:rsid w:val="00A37064"/>
    <w:rsid w:val="00A37E28"/>
    <w:rsid w:val="00A40184"/>
    <w:rsid w:val="00A409D8"/>
    <w:rsid w:val="00A427D5"/>
    <w:rsid w:val="00A440FC"/>
    <w:rsid w:val="00A44365"/>
    <w:rsid w:val="00A44829"/>
    <w:rsid w:val="00A44F0F"/>
    <w:rsid w:val="00A459E1"/>
    <w:rsid w:val="00A45A3A"/>
    <w:rsid w:val="00A45EA4"/>
    <w:rsid w:val="00A46CEF"/>
    <w:rsid w:val="00A470D5"/>
    <w:rsid w:val="00A508EB"/>
    <w:rsid w:val="00A51A36"/>
    <w:rsid w:val="00A521CE"/>
    <w:rsid w:val="00A52781"/>
    <w:rsid w:val="00A52F19"/>
    <w:rsid w:val="00A53455"/>
    <w:rsid w:val="00A5404B"/>
    <w:rsid w:val="00A54B07"/>
    <w:rsid w:val="00A55ABF"/>
    <w:rsid w:val="00A56AD5"/>
    <w:rsid w:val="00A570E7"/>
    <w:rsid w:val="00A57115"/>
    <w:rsid w:val="00A575CC"/>
    <w:rsid w:val="00A60A89"/>
    <w:rsid w:val="00A61B72"/>
    <w:rsid w:val="00A61D4D"/>
    <w:rsid w:val="00A6354A"/>
    <w:rsid w:val="00A651C8"/>
    <w:rsid w:val="00A66788"/>
    <w:rsid w:val="00A66D04"/>
    <w:rsid w:val="00A67B8D"/>
    <w:rsid w:val="00A70867"/>
    <w:rsid w:val="00A729E7"/>
    <w:rsid w:val="00A7371A"/>
    <w:rsid w:val="00A74FEF"/>
    <w:rsid w:val="00A750D2"/>
    <w:rsid w:val="00A75193"/>
    <w:rsid w:val="00A753DC"/>
    <w:rsid w:val="00A76997"/>
    <w:rsid w:val="00A777E7"/>
    <w:rsid w:val="00A807EB"/>
    <w:rsid w:val="00A80A1D"/>
    <w:rsid w:val="00A8100C"/>
    <w:rsid w:val="00A817C0"/>
    <w:rsid w:val="00A825FC"/>
    <w:rsid w:val="00A82DF4"/>
    <w:rsid w:val="00A83082"/>
    <w:rsid w:val="00A8419F"/>
    <w:rsid w:val="00A84227"/>
    <w:rsid w:val="00A85928"/>
    <w:rsid w:val="00A85982"/>
    <w:rsid w:val="00A85AB6"/>
    <w:rsid w:val="00A862C5"/>
    <w:rsid w:val="00A865EC"/>
    <w:rsid w:val="00A86975"/>
    <w:rsid w:val="00A90D45"/>
    <w:rsid w:val="00A910FC"/>
    <w:rsid w:val="00A913E7"/>
    <w:rsid w:val="00A92823"/>
    <w:rsid w:val="00A92AF1"/>
    <w:rsid w:val="00A93610"/>
    <w:rsid w:val="00A93F2F"/>
    <w:rsid w:val="00A946BF"/>
    <w:rsid w:val="00A951F6"/>
    <w:rsid w:val="00A9561F"/>
    <w:rsid w:val="00A95C72"/>
    <w:rsid w:val="00A96A4F"/>
    <w:rsid w:val="00A974D4"/>
    <w:rsid w:val="00A97966"/>
    <w:rsid w:val="00AA08B3"/>
    <w:rsid w:val="00AA0D8E"/>
    <w:rsid w:val="00AA0DCE"/>
    <w:rsid w:val="00AA0FBA"/>
    <w:rsid w:val="00AA168B"/>
    <w:rsid w:val="00AA2FF1"/>
    <w:rsid w:val="00AA32C8"/>
    <w:rsid w:val="00AA3ED4"/>
    <w:rsid w:val="00AA4450"/>
    <w:rsid w:val="00AA5C9B"/>
    <w:rsid w:val="00AA7041"/>
    <w:rsid w:val="00AA7C6F"/>
    <w:rsid w:val="00AB0029"/>
    <w:rsid w:val="00AB077E"/>
    <w:rsid w:val="00AB0F54"/>
    <w:rsid w:val="00AB1BBE"/>
    <w:rsid w:val="00AB35E8"/>
    <w:rsid w:val="00AB3B38"/>
    <w:rsid w:val="00AB414B"/>
    <w:rsid w:val="00AB42FE"/>
    <w:rsid w:val="00AB4939"/>
    <w:rsid w:val="00AB5551"/>
    <w:rsid w:val="00AB61D2"/>
    <w:rsid w:val="00AC0529"/>
    <w:rsid w:val="00AC21C3"/>
    <w:rsid w:val="00AC4108"/>
    <w:rsid w:val="00AC48E8"/>
    <w:rsid w:val="00AC6F57"/>
    <w:rsid w:val="00AD204A"/>
    <w:rsid w:val="00AD246A"/>
    <w:rsid w:val="00AD38D7"/>
    <w:rsid w:val="00AD4164"/>
    <w:rsid w:val="00AD4964"/>
    <w:rsid w:val="00AD77E0"/>
    <w:rsid w:val="00AE0A28"/>
    <w:rsid w:val="00AE12EE"/>
    <w:rsid w:val="00AE2051"/>
    <w:rsid w:val="00AE21F6"/>
    <w:rsid w:val="00AE4E8C"/>
    <w:rsid w:val="00AE71C0"/>
    <w:rsid w:val="00AF0C30"/>
    <w:rsid w:val="00AF0EE9"/>
    <w:rsid w:val="00AF1BE1"/>
    <w:rsid w:val="00AF20EC"/>
    <w:rsid w:val="00AF5881"/>
    <w:rsid w:val="00AF66D7"/>
    <w:rsid w:val="00AF6DE7"/>
    <w:rsid w:val="00AF6F41"/>
    <w:rsid w:val="00B00125"/>
    <w:rsid w:val="00B00CC2"/>
    <w:rsid w:val="00B01394"/>
    <w:rsid w:val="00B0214E"/>
    <w:rsid w:val="00B033C1"/>
    <w:rsid w:val="00B03A50"/>
    <w:rsid w:val="00B03AF7"/>
    <w:rsid w:val="00B04309"/>
    <w:rsid w:val="00B04CDD"/>
    <w:rsid w:val="00B0747C"/>
    <w:rsid w:val="00B077F3"/>
    <w:rsid w:val="00B10F0F"/>
    <w:rsid w:val="00B11F33"/>
    <w:rsid w:val="00B12372"/>
    <w:rsid w:val="00B1267C"/>
    <w:rsid w:val="00B1343D"/>
    <w:rsid w:val="00B13C8B"/>
    <w:rsid w:val="00B13F02"/>
    <w:rsid w:val="00B150CA"/>
    <w:rsid w:val="00B164CE"/>
    <w:rsid w:val="00B1696E"/>
    <w:rsid w:val="00B16B55"/>
    <w:rsid w:val="00B16E41"/>
    <w:rsid w:val="00B17286"/>
    <w:rsid w:val="00B207F3"/>
    <w:rsid w:val="00B2231A"/>
    <w:rsid w:val="00B22AE8"/>
    <w:rsid w:val="00B22E3F"/>
    <w:rsid w:val="00B2301A"/>
    <w:rsid w:val="00B23B30"/>
    <w:rsid w:val="00B255C0"/>
    <w:rsid w:val="00B259AA"/>
    <w:rsid w:val="00B270CE"/>
    <w:rsid w:val="00B30433"/>
    <w:rsid w:val="00B31B0B"/>
    <w:rsid w:val="00B321EC"/>
    <w:rsid w:val="00B32FF9"/>
    <w:rsid w:val="00B346FE"/>
    <w:rsid w:val="00B34B9B"/>
    <w:rsid w:val="00B34E76"/>
    <w:rsid w:val="00B3533A"/>
    <w:rsid w:val="00B3590A"/>
    <w:rsid w:val="00B35911"/>
    <w:rsid w:val="00B36ECE"/>
    <w:rsid w:val="00B3701D"/>
    <w:rsid w:val="00B37480"/>
    <w:rsid w:val="00B37BAD"/>
    <w:rsid w:val="00B40EFC"/>
    <w:rsid w:val="00B415B3"/>
    <w:rsid w:val="00B41FE3"/>
    <w:rsid w:val="00B421BC"/>
    <w:rsid w:val="00B424E6"/>
    <w:rsid w:val="00B42A17"/>
    <w:rsid w:val="00B43FDF"/>
    <w:rsid w:val="00B443FD"/>
    <w:rsid w:val="00B44B7E"/>
    <w:rsid w:val="00B44CF7"/>
    <w:rsid w:val="00B44D0E"/>
    <w:rsid w:val="00B45B29"/>
    <w:rsid w:val="00B471DF"/>
    <w:rsid w:val="00B47C39"/>
    <w:rsid w:val="00B503D9"/>
    <w:rsid w:val="00B507B4"/>
    <w:rsid w:val="00B515EE"/>
    <w:rsid w:val="00B51AC6"/>
    <w:rsid w:val="00B531F1"/>
    <w:rsid w:val="00B536BA"/>
    <w:rsid w:val="00B53AD9"/>
    <w:rsid w:val="00B5461C"/>
    <w:rsid w:val="00B54D78"/>
    <w:rsid w:val="00B556A7"/>
    <w:rsid w:val="00B55FCE"/>
    <w:rsid w:val="00B573FE"/>
    <w:rsid w:val="00B57E5C"/>
    <w:rsid w:val="00B60A3C"/>
    <w:rsid w:val="00B628B2"/>
    <w:rsid w:val="00B635FA"/>
    <w:rsid w:val="00B64888"/>
    <w:rsid w:val="00B64AAE"/>
    <w:rsid w:val="00B658D7"/>
    <w:rsid w:val="00B65D25"/>
    <w:rsid w:val="00B661FE"/>
    <w:rsid w:val="00B66F99"/>
    <w:rsid w:val="00B6743E"/>
    <w:rsid w:val="00B6767D"/>
    <w:rsid w:val="00B70943"/>
    <w:rsid w:val="00B76006"/>
    <w:rsid w:val="00B761B9"/>
    <w:rsid w:val="00B7726C"/>
    <w:rsid w:val="00B772A6"/>
    <w:rsid w:val="00B80096"/>
    <w:rsid w:val="00B805F2"/>
    <w:rsid w:val="00B80D03"/>
    <w:rsid w:val="00B80EDB"/>
    <w:rsid w:val="00B81EAE"/>
    <w:rsid w:val="00B830A9"/>
    <w:rsid w:val="00B840EE"/>
    <w:rsid w:val="00B84F31"/>
    <w:rsid w:val="00B85627"/>
    <w:rsid w:val="00B866CA"/>
    <w:rsid w:val="00B8698E"/>
    <w:rsid w:val="00B869CC"/>
    <w:rsid w:val="00B8AB99"/>
    <w:rsid w:val="00B901DB"/>
    <w:rsid w:val="00B90A3E"/>
    <w:rsid w:val="00B90FC9"/>
    <w:rsid w:val="00B91ECD"/>
    <w:rsid w:val="00B94115"/>
    <w:rsid w:val="00B94445"/>
    <w:rsid w:val="00B94AF2"/>
    <w:rsid w:val="00B94BA0"/>
    <w:rsid w:val="00B9549A"/>
    <w:rsid w:val="00B96B5B"/>
    <w:rsid w:val="00B9709F"/>
    <w:rsid w:val="00B976AB"/>
    <w:rsid w:val="00BA1190"/>
    <w:rsid w:val="00BA146D"/>
    <w:rsid w:val="00BA150F"/>
    <w:rsid w:val="00BA1969"/>
    <w:rsid w:val="00BA1EB7"/>
    <w:rsid w:val="00BA2AE4"/>
    <w:rsid w:val="00BA332A"/>
    <w:rsid w:val="00BA348B"/>
    <w:rsid w:val="00BA4A02"/>
    <w:rsid w:val="00BA578E"/>
    <w:rsid w:val="00BA7C17"/>
    <w:rsid w:val="00BA7E00"/>
    <w:rsid w:val="00BB1302"/>
    <w:rsid w:val="00BB2A58"/>
    <w:rsid w:val="00BB2CFA"/>
    <w:rsid w:val="00BB35B5"/>
    <w:rsid w:val="00BB5E19"/>
    <w:rsid w:val="00BB629F"/>
    <w:rsid w:val="00BB6A5E"/>
    <w:rsid w:val="00BB7771"/>
    <w:rsid w:val="00BB7DE1"/>
    <w:rsid w:val="00BC10FA"/>
    <w:rsid w:val="00BC1B30"/>
    <w:rsid w:val="00BC1CBF"/>
    <w:rsid w:val="00BC256C"/>
    <w:rsid w:val="00BC2EA8"/>
    <w:rsid w:val="00BC3434"/>
    <w:rsid w:val="00BC381B"/>
    <w:rsid w:val="00BC3E75"/>
    <w:rsid w:val="00BC3FDA"/>
    <w:rsid w:val="00BC6A22"/>
    <w:rsid w:val="00BC6FB8"/>
    <w:rsid w:val="00BC6FE9"/>
    <w:rsid w:val="00BC72D3"/>
    <w:rsid w:val="00BC7575"/>
    <w:rsid w:val="00BC7677"/>
    <w:rsid w:val="00BC77D8"/>
    <w:rsid w:val="00BC7CBB"/>
    <w:rsid w:val="00BD0B4F"/>
    <w:rsid w:val="00BD0ED5"/>
    <w:rsid w:val="00BD2DCA"/>
    <w:rsid w:val="00BD3115"/>
    <w:rsid w:val="00BD37D6"/>
    <w:rsid w:val="00BD4448"/>
    <w:rsid w:val="00BD4774"/>
    <w:rsid w:val="00BD4A15"/>
    <w:rsid w:val="00BD780E"/>
    <w:rsid w:val="00BE0FFD"/>
    <w:rsid w:val="00BE15CE"/>
    <w:rsid w:val="00BE2847"/>
    <w:rsid w:val="00BE2F61"/>
    <w:rsid w:val="00BE42E8"/>
    <w:rsid w:val="00BE4562"/>
    <w:rsid w:val="00BE47A8"/>
    <w:rsid w:val="00BE4E23"/>
    <w:rsid w:val="00BE50FF"/>
    <w:rsid w:val="00BE710F"/>
    <w:rsid w:val="00BE7A2B"/>
    <w:rsid w:val="00BF0C13"/>
    <w:rsid w:val="00BF3037"/>
    <w:rsid w:val="00BF434B"/>
    <w:rsid w:val="00BF45D6"/>
    <w:rsid w:val="00BF54A1"/>
    <w:rsid w:val="00BF55F3"/>
    <w:rsid w:val="00BF5872"/>
    <w:rsid w:val="00BF6B11"/>
    <w:rsid w:val="00BF7993"/>
    <w:rsid w:val="00C0032E"/>
    <w:rsid w:val="00C0050A"/>
    <w:rsid w:val="00C00B31"/>
    <w:rsid w:val="00C0261E"/>
    <w:rsid w:val="00C028B1"/>
    <w:rsid w:val="00C02F33"/>
    <w:rsid w:val="00C04E1F"/>
    <w:rsid w:val="00C04E74"/>
    <w:rsid w:val="00C05517"/>
    <w:rsid w:val="00C068C7"/>
    <w:rsid w:val="00C07DBF"/>
    <w:rsid w:val="00C100A3"/>
    <w:rsid w:val="00C1138B"/>
    <w:rsid w:val="00C124CE"/>
    <w:rsid w:val="00C129C2"/>
    <w:rsid w:val="00C130D9"/>
    <w:rsid w:val="00C15D1A"/>
    <w:rsid w:val="00C168C0"/>
    <w:rsid w:val="00C17220"/>
    <w:rsid w:val="00C17485"/>
    <w:rsid w:val="00C20B84"/>
    <w:rsid w:val="00C22369"/>
    <w:rsid w:val="00C22DEF"/>
    <w:rsid w:val="00C2367F"/>
    <w:rsid w:val="00C238E6"/>
    <w:rsid w:val="00C250AA"/>
    <w:rsid w:val="00C256AD"/>
    <w:rsid w:val="00C27338"/>
    <w:rsid w:val="00C277A9"/>
    <w:rsid w:val="00C300BD"/>
    <w:rsid w:val="00C319E4"/>
    <w:rsid w:val="00C32BA6"/>
    <w:rsid w:val="00C332BC"/>
    <w:rsid w:val="00C34946"/>
    <w:rsid w:val="00C349F3"/>
    <w:rsid w:val="00C34F8E"/>
    <w:rsid w:val="00C35C11"/>
    <w:rsid w:val="00C36D37"/>
    <w:rsid w:val="00C37BED"/>
    <w:rsid w:val="00C418DD"/>
    <w:rsid w:val="00C41F3C"/>
    <w:rsid w:val="00C431CE"/>
    <w:rsid w:val="00C440DB"/>
    <w:rsid w:val="00C445BF"/>
    <w:rsid w:val="00C45902"/>
    <w:rsid w:val="00C50B20"/>
    <w:rsid w:val="00C5191F"/>
    <w:rsid w:val="00C52299"/>
    <w:rsid w:val="00C52B73"/>
    <w:rsid w:val="00C53092"/>
    <w:rsid w:val="00C530AB"/>
    <w:rsid w:val="00C54D2F"/>
    <w:rsid w:val="00C55596"/>
    <w:rsid w:val="00C561B6"/>
    <w:rsid w:val="00C5645D"/>
    <w:rsid w:val="00C56B1E"/>
    <w:rsid w:val="00C56CD2"/>
    <w:rsid w:val="00C57185"/>
    <w:rsid w:val="00C57DBC"/>
    <w:rsid w:val="00C57FB4"/>
    <w:rsid w:val="00C60561"/>
    <w:rsid w:val="00C60B04"/>
    <w:rsid w:val="00C60C85"/>
    <w:rsid w:val="00C61E28"/>
    <w:rsid w:val="00C62585"/>
    <w:rsid w:val="00C62D1A"/>
    <w:rsid w:val="00C63586"/>
    <w:rsid w:val="00C64907"/>
    <w:rsid w:val="00C65B3A"/>
    <w:rsid w:val="00C660E5"/>
    <w:rsid w:val="00C676A2"/>
    <w:rsid w:val="00C67B49"/>
    <w:rsid w:val="00C712D6"/>
    <w:rsid w:val="00C7130A"/>
    <w:rsid w:val="00C71894"/>
    <w:rsid w:val="00C71DB2"/>
    <w:rsid w:val="00C7294D"/>
    <w:rsid w:val="00C732A1"/>
    <w:rsid w:val="00C73BEA"/>
    <w:rsid w:val="00C73CE2"/>
    <w:rsid w:val="00C7579C"/>
    <w:rsid w:val="00C76DC6"/>
    <w:rsid w:val="00C773D2"/>
    <w:rsid w:val="00C80484"/>
    <w:rsid w:val="00C80C25"/>
    <w:rsid w:val="00C8192C"/>
    <w:rsid w:val="00C81D27"/>
    <w:rsid w:val="00C82159"/>
    <w:rsid w:val="00C8282D"/>
    <w:rsid w:val="00C83C9D"/>
    <w:rsid w:val="00C8631A"/>
    <w:rsid w:val="00C86561"/>
    <w:rsid w:val="00C86C50"/>
    <w:rsid w:val="00C87FCD"/>
    <w:rsid w:val="00C92FC9"/>
    <w:rsid w:val="00C94443"/>
    <w:rsid w:val="00C94728"/>
    <w:rsid w:val="00C9582E"/>
    <w:rsid w:val="00C95E10"/>
    <w:rsid w:val="00C962BC"/>
    <w:rsid w:val="00C96478"/>
    <w:rsid w:val="00C967F9"/>
    <w:rsid w:val="00C97AF9"/>
    <w:rsid w:val="00CA0F67"/>
    <w:rsid w:val="00CA1329"/>
    <w:rsid w:val="00CA24C1"/>
    <w:rsid w:val="00CA3027"/>
    <w:rsid w:val="00CA4AF7"/>
    <w:rsid w:val="00CA695B"/>
    <w:rsid w:val="00CB061E"/>
    <w:rsid w:val="00CB1118"/>
    <w:rsid w:val="00CB1A21"/>
    <w:rsid w:val="00CB2545"/>
    <w:rsid w:val="00CB2DF0"/>
    <w:rsid w:val="00CB2E5B"/>
    <w:rsid w:val="00CB42CA"/>
    <w:rsid w:val="00CB6613"/>
    <w:rsid w:val="00CB6894"/>
    <w:rsid w:val="00CB743A"/>
    <w:rsid w:val="00CC04A7"/>
    <w:rsid w:val="00CC35A0"/>
    <w:rsid w:val="00CC4901"/>
    <w:rsid w:val="00CC5D91"/>
    <w:rsid w:val="00CC771A"/>
    <w:rsid w:val="00CD010E"/>
    <w:rsid w:val="00CD10C2"/>
    <w:rsid w:val="00CD1A6B"/>
    <w:rsid w:val="00CD47C0"/>
    <w:rsid w:val="00CD575A"/>
    <w:rsid w:val="00CD68E6"/>
    <w:rsid w:val="00CD7080"/>
    <w:rsid w:val="00CD736F"/>
    <w:rsid w:val="00CD7A7E"/>
    <w:rsid w:val="00CE101B"/>
    <w:rsid w:val="00CE17AD"/>
    <w:rsid w:val="00CE1F4C"/>
    <w:rsid w:val="00CE2776"/>
    <w:rsid w:val="00CE2C3A"/>
    <w:rsid w:val="00CE52BE"/>
    <w:rsid w:val="00CE59F9"/>
    <w:rsid w:val="00CE6C23"/>
    <w:rsid w:val="00CE722C"/>
    <w:rsid w:val="00CE79C2"/>
    <w:rsid w:val="00CE7C73"/>
    <w:rsid w:val="00CF2B7A"/>
    <w:rsid w:val="00CF382C"/>
    <w:rsid w:val="00CF3E44"/>
    <w:rsid w:val="00CF3EC7"/>
    <w:rsid w:val="00CF42EA"/>
    <w:rsid w:val="00CF4377"/>
    <w:rsid w:val="00CF43A9"/>
    <w:rsid w:val="00CF43CF"/>
    <w:rsid w:val="00CF5177"/>
    <w:rsid w:val="00CF59AC"/>
    <w:rsid w:val="00CF5D84"/>
    <w:rsid w:val="00CF79B6"/>
    <w:rsid w:val="00CF7A3A"/>
    <w:rsid w:val="00CF7D09"/>
    <w:rsid w:val="00D00BA3"/>
    <w:rsid w:val="00D03424"/>
    <w:rsid w:val="00D0356C"/>
    <w:rsid w:val="00D03640"/>
    <w:rsid w:val="00D042DF"/>
    <w:rsid w:val="00D04847"/>
    <w:rsid w:val="00D04D86"/>
    <w:rsid w:val="00D0686E"/>
    <w:rsid w:val="00D06F81"/>
    <w:rsid w:val="00D12454"/>
    <w:rsid w:val="00D13005"/>
    <w:rsid w:val="00D13CF9"/>
    <w:rsid w:val="00D14FFB"/>
    <w:rsid w:val="00D16406"/>
    <w:rsid w:val="00D16AD6"/>
    <w:rsid w:val="00D16E48"/>
    <w:rsid w:val="00D17211"/>
    <w:rsid w:val="00D20023"/>
    <w:rsid w:val="00D23057"/>
    <w:rsid w:val="00D25E81"/>
    <w:rsid w:val="00D25EEA"/>
    <w:rsid w:val="00D26B0D"/>
    <w:rsid w:val="00D26E21"/>
    <w:rsid w:val="00D2734C"/>
    <w:rsid w:val="00D309FB"/>
    <w:rsid w:val="00D3217A"/>
    <w:rsid w:val="00D3229A"/>
    <w:rsid w:val="00D32745"/>
    <w:rsid w:val="00D3283A"/>
    <w:rsid w:val="00D3415F"/>
    <w:rsid w:val="00D346A2"/>
    <w:rsid w:val="00D350B6"/>
    <w:rsid w:val="00D35409"/>
    <w:rsid w:val="00D35551"/>
    <w:rsid w:val="00D3561A"/>
    <w:rsid w:val="00D35D4B"/>
    <w:rsid w:val="00D3675B"/>
    <w:rsid w:val="00D40C37"/>
    <w:rsid w:val="00D4129C"/>
    <w:rsid w:val="00D414DE"/>
    <w:rsid w:val="00D41E47"/>
    <w:rsid w:val="00D4369A"/>
    <w:rsid w:val="00D44F27"/>
    <w:rsid w:val="00D45B36"/>
    <w:rsid w:val="00D47BC3"/>
    <w:rsid w:val="00D47BC7"/>
    <w:rsid w:val="00D507E6"/>
    <w:rsid w:val="00D5115B"/>
    <w:rsid w:val="00D5232F"/>
    <w:rsid w:val="00D5294C"/>
    <w:rsid w:val="00D53CA3"/>
    <w:rsid w:val="00D55E82"/>
    <w:rsid w:val="00D573C0"/>
    <w:rsid w:val="00D57778"/>
    <w:rsid w:val="00D61E11"/>
    <w:rsid w:val="00D62238"/>
    <w:rsid w:val="00D622E6"/>
    <w:rsid w:val="00D635C7"/>
    <w:rsid w:val="00D6432D"/>
    <w:rsid w:val="00D64B95"/>
    <w:rsid w:val="00D65225"/>
    <w:rsid w:val="00D65A90"/>
    <w:rsid w:val="00D66F7E"/>
    <w:rsid w:val="00D70410"/>
    <w:rsid w:val="00D709FF"/>
    <w:rsid w:val="00D719F3"/>
    <w:rsid w:val="00D72475"/>
    <w:rsid w:val="00D74C5B"/>
    <w:rsid w:val="00D759FC"/>
    <w:rsid w:val="00D7722F"/>
    <w:rsid w:val="00D80B38"/>
    <w:rsid w:val="00D823E7"/>
    <w:rsid w:val="00D83C88"/>
    <w:rsid w:val="00D84911"/>
    <w:rsid w:val="00D85562"/>
    <w:rsid w:val="00D86454"/>
    <w:rsid w:val="00D86585"/>
    <w:rsid w:val="00D90023"/>
    <w:rsid w:val="00D90C48"/>
    <w:rsid w:val="00D91D0B"/>
    <w:rsid w:val="00D91EFA"/>
    <w:rsid w:val="00D9248B"/>
    <w:rsid w:val="00D9274E"/>
    <w:rsid w:val="00D92F2A"/>
    <w:rsid w:val="00D9317B"/>
    <w:rsid w:val="00D9407E"/>
    <w:rsid w:val="00D941D6"/>
    <w:rsid w:val="00D94FE8"/>
    <w:rsid w:val="00D97801"/>
    <w:rsid w:val="00DA13F4"/>
    <w:rsid w:val="00DA175D"/>
    <w:rsid w:val="00DA3FF7"/>
    <w:rsid w:val="00DA4072"/>
    <w:rsid w:val="00DA46AE"/>
    <w:rsid w:val="00DA47A2"/>
    <w:rsid w:val="00DA6878"/>
    <w:rsid w:val="00DA6DFD"/>
    <w:rsid w:val="00DA71FE"/>
    <w:rsid w:val="00DA72D0"/>
    <w:rsid w:val="00DA7726"/>
    <w:rsid w:val="00DA7F47"/>
    <w:rsid w:val="00DB12ED"/>
    <w:rsid w:val="00DB1916"/>
    <w:rsid w:val="00DB192A"/>
    <w:rsid w:val="00DB2492"/>
    <w:rsid w:val="00DB32CB"/>
    <w:rsid w:val="00DB37E1"/>
    <w:rsid w:val="00DB64A5"/>
    <w:rsid w:val="00DB6A94"/>
    <w:rsid w:val="00DB7801"/>
    <w:rsid w:val="00DC089A"/>
    <w:rsid w:val="00DC1810"/>
    <w:rsid w:val="00DC1F19"/>
    <w:rsid w:val="00DC2482"/>
    <w:rsid w:val="00DC3577"/>
    <w:rsid w:val="00DC36A5"/>
    <w:rsid w:val="00DC5FE7"/>
    <w:rsid w:val="00DC6F14"/>
    <w:rsid w:val="00DC73D5"/>
    <w:rsid w:val="00DC7B69"/>
    <w:rsid w:val="00DD0053"/>
    <w:rsid w:val="00DD039E"/>
    <w:rsid w:val="00DD2D20"/>
    <w:rsid w:val="00DD469B"/>
    <w:rsid w:val="00DD4862"/>
    <w:rsid w:val="00DD5142"/>
    <w:rsid w:val="00DD5162"/>
    <w:rsid w:val="00DD586B"/>
    <w:rsid w:val="00DD5F6F"/>
    <w:rsid w:val="00DD732B"/>
    <w:rsid w:val="00DD74A0"/>
    <w:rsid w:val="00DD7881"/>
    <w:rsid w:val="00DD78D0"/>
    <w:rsid w:val="00DE098B"/>
    <w:rsid w:val="00DE1AEF"/>
    <w:rsid w:val="00DE207B"/>
    <w:rsid w:val="00DE33E6"/>
    <w:rsid w:val="00DE3BB5"/>
    <w:rsid w:val="00DE5762"/>
    <w:rsid w:val="00DE64D2"/>
    <w:rsid w:val="00DE6816"/>
    <w:rsid w:val="00DE6886"/>
    <w:rsid w:val="00DE7984"/>
    <w:rsid w:val="00DF0058"/>
    <w:rsid w:val="00DF0638"/>
    <w:rsid w:val="00DF1D3B"/>
    <w:rsid w:val="00DF216A"/>
    <w:rsid w:val="00DF3068"/>
    <w:rsid w:val="00DF31D7"/>
    <w:rsid w:val="00DF3649"/>
    <w:rsid w:val="00DF3AAB"/>
    <w:rsid w:val="00DF42B8"/>
    <w:rsid w:val="00DF4DE8"/>
    <w:rsid w:val="00E008BB"/>
    <w:rsid w:val="00E01A8C"/>
    <w:rsid w:val="00E02058"/>
    <w:rsid w:val="00E02CAE"/>
    <w:rsid w:val="00E03F1C"/>
    <w:rsid w:val="00E0531C"/>
    <w:rsid w:val="00E055E4"/>
    <w:rsid w:val="00E059E1"/>
    <w:rsid w:val="00E05C18"/>
    <w:rsid w:val="00E0628E"/>
    <w:rsid w:val="00E06ACD"/>
    <w:rsid w:val="00E076CE"/>
    <w:rsid w:val="00E10028"/>
    <w:rsid w:val="00E11155"/>
    <w:rsid w:val="00E1218D"/>
    <w:rsid w:val="00E121B6"/>
    <w:rsid w:val="00E133E6"/>
    <w:rsid w:val="00E14A1D"/>
    <w:rsid w:val="00E14B4A"/>
    <w:rsid w:val="00E14DA0"/>
    <w:rsid w:val="00E1524D"/>
    <w:rsid w:val="00E15B2D"/>
    <w:rsid w:val="00E16089"/>
    <w:rsid w:val="00E221E9"/>
    <w:rsid w:val="00E232E0"/>
    <w:rsid w:val="00E24A51"/>
    <w:rsid w:val="00E25E46"/>
    <w:rsid w:val="00E26759"/>
    <w:rsid w:val="00E26871"/>
    <w:rsid w:val="00E321A6"/>
    <w:rsid w:val="00E34823"/>
    <w:rsid w:val="00E34D15"/>
    <w:rsid w:val="00E35433"/>
    <w:rsid w:val="00E36CCD"/>
    <w:rsid w:val="00E40E6B"/>
    <w:rsid w:val="00E40FEE"/>
    <w:rsid w:val="00E42804"/>
    <w:rsid w:val="00E45D3D"/>
    <w:rsid w:val="00E4619C"/>
    <w:rsid w:val="00E468F8"/>
    <w:rsid w:val="00E50E80"/>
    <w:rsid w:val="00E5151E"/>
    <w:rsid w:val="00E518E8"/>
    <w:rsid w:val="00E53018"/>
    <w:rsid w:val="00E541DD"/>
    <w:rsid w:val="00E558FB"/>
    <w:rsid w:val="00E55A1B"/>
    <w:rsid w:val="00E56F7C"/>
    <w:rsid w:val="00E57000"/>
    <w:rsid w:val="00E5700A"/>
    <w:rsid w:val="00E57570"/>
    <w:rsid w:val="00E577DC"/>
    <w:rsid w:val="00E6277F"/>
    <w:rsid w:val="00E63181"/>
    <w:rsid w:val="00E63641"/>
    <w:rsid w:val="00E64DDD"/>
    <w:rsid w:val="00E66451"/>
    <w:rsid w:val="00E66718"/>
    <w:rsid w:val="00E67245"/>
    <w:rsid w:val="00E6776C"/>
    <w:rsid w:val="00E7160E"/>
    <w:rsid w:val="00E73AC8"/>
    <w:rsid w:val="00E753E6"/>
    <w:rsid w:val="00E754F3"/>
    <w:rsid w:val="00E77792"/>
    <w:rsid w:val="00E80333"/>
    <w:rsid w:val="00E804FA"/>
    <w:rsid w:val="00E805C9"/>
    <w:rsid w:val="00E80693"/>
    <w:rsid w:val="00E80C0C"/>
    <w:rsid w:val="00E81733"/>
    <w:rsid w:val="00E820BC"/>
    <w:rsid w:val="00E83709"/>
    <w:rsid w:val="00E83A0F"/>
    <w:rsid w:val="00E83FA4"/>
    <w:rsid w:val="00E856EC"/>
    <w:rsid w:val="00E901A0"/>
    <w:rsid w:val="00E90D98"/>
    <w:rsid w:val="00E9193F"/>
    <w:rsid w:val="00E91B00"/>
    <w:rsid w:val="00E92A16"/>
    <w:rsid w:val="00E9305E"/>
    <w:rsid w:val="00E94A9E"/>
    <w:rsid w:val="00E95200"/>
    <w:rsid w:val="00E969B3"/>
    <w:rsid w:val="00E96DEC"/>
    <w:rsid w:val="00E96F36"/>
    <w:rsid w:val="00E9730E"/>
    <w:rsid w:val="00E97F18"/>
    <w:rsid w:val="00EA0222"/>
    <w:rsid w:val="00EA1B9A"/>
    <w:rsid w:val="00EA2EB3"/>
    <w:rsid w:val="00EA33C3"/>
    <w:rsid w:val="00EA5341"/>
    <w:rsid w:val="00EA5EA0"/>
    <w:rsid w:val="00EA6A0A"/>
    <w:rsid w:val="00EB0610"/>
    <w:rsid w:val="00EB0C03"/>
    <w:rsid w:val="00EB1163"/>
    <w:rsid w:val="00EB162D"/>
    <w:rsid w:val="00EB2608"/>
    <w:rsid w:val="00EB3490"/>
    <w:rsid w:val="00EB3822"/>
    <w:rsid w:val="00EB3878"/>
    <w:rsid w:val="00EB478C"/>
    <w:rsid w:val="00EB4A3B"/>
    <w:rsid w:val="00EB4C18"/>
    <w:rsid w:val="00EB5978"/>
    <w:rsid w:val="00EB751F"/>
    <w:rsid w:val="00EB7DE3"/>
    <w:rsid w:val="00EC05FB"/>
    <w:rsid w:val="00EC0739"/>
    <w:rsid w:val="00EC198D"/>
    <w:rsid w:val="00EC36BA"/>
    <w:rsid w:val="00EC3786"/>
    <w:rsid w:val="00EC4A0A"/>
    <w:rsid w:val="00EC5432"/>
    <w:rsid w:val="00EC603A"/>
    <w:rsid w:val="00EC6048"/>
    <w:rsid w:val="00EC6D19"/>
    <w:rsid w:val="00EC6F9F"/>
    <w:rsid w:val="00ED0C59"/>
    <w:rsid w:val="00ED1D81"/>
    <w:rsid w:val="00ED326E"/>
    <w:rsid w:val="00ED3289"/>
    <w:rsid w:val="00ED4000"/>
    <w:rsid w:val="00ED4882"/>
    <w:rsid w:val="00ED4955"/>
    <w:rsid w:val="00ED55CE"/>
    <w:rsid w:val="00ED639C"/>
    <w:rsid w:val="00ED69AB"/>
    <w:rsid w:val="00ED72F1"/>
    <w:rsid w:val="00ED73CC"/>
    <w:rsid w:val="00ED7420"/>
    <w:rsid w:val="00ED7887"/>
    <w:rsid w:val="00ED79CE"/>
    <w:rsid w:val="00ED79E6"/>
    <w:rsid w:val="00EE0E4A"/>
    <w:rsid w:val="00EE1583"/>
    <w:rsid w:val="00EE1D3C"/>
    <w:rsid w:val="00EE2218"/>
    <w:rsid w:val="00EE243E"/>
    <w:rsid w:val="00EE3141"/>
    <w:rsid w:val="00EE321B"/>
    <w:rsid w:val="00EE39DE"/>
    <w:rsid w:val="00EE3AB2"/>
    <w:rsid w:val="00EE3D50"/>
    <w:rsid w:val="00EE54D5"/>
    <w:rsid w:val="00EE743E"/>
    <w:rsid w:val="00EE7881"/>
    <w:rsid w:val="00EF0A93"/>
    <w:rsid w:val="00EF1652"/>
    <w:rsid w:val="00EF221D"/>
    <w:rsid w:val="00EF4A04"/>
    <w:rsid w:val="00EF4B06"/>
    <w:rsid w:val="00EF52A9"/>
    <w:rsid w:val="00EF6914"/>
    <w:rsid w:val="00EF6E8C"/>
    <w:rsid w:val="00EF7991"/>
    <w:rsid w:val="00F004A2"/>
    <w:rsid w:val="00F00B54"/>
    <w:rsid w:val="00F016DA"/>
    <w:rsid w:val="00F018D2"/>
    <w:rsid w:val="00F01B1E"/>
    <w:rsid w:val="00F02712"/>
    <w:rsid w:val="00F050D4"/>
    <w:rsid w:val="00F05C9B"/>
    <w:rsid w:val="00F06969"/>
    <w:rsid w:val="00F06A07"/>
    <w:rsid w:val="00F107B4"/>
    <w:rsid w:val="00F10E00"/>
    <w:rsid w:val="00F11852"/>
    <w:rsid w:val="00F11E53"/>
    <w:rsid w:val="00F1293F"/>
    <w:rsid w:val="00F1329C"/>
    <w:rsid w:val="00F13AF6"/>
    <w:rsid w:val="00F14164"/>
    <w:rsid w:val="00F158D0"/>
    <w:rsid w:val="00F15F28"/>
    <w:rsid w:val="00F17458"/>
    <w:rsid w:val="00F222EF"/>
    <w:rsid w:val="00F22B51"/>
    <w:rsid w:val="00F2303B"/>
    <w:rsid w:val="00F23562"/>
    <w:rsid w:val="00F23FE9"/>
    <w:rsid w:val="00F24507"/>
    <w:rsid w:val="00F25BA3"/>
    <w:rsid w:val="00F27867"/>
    <w:rsid w:val="00F27A1B"/>
    <w:rsid w:val="00F30B75"/>
    <w:rsid w:val="00F31A77"/>
    <w:rsid w:val="00F320E6"/>
    <w:rsid w:val="00F32DCF"/>
    <w:rsid w:val="00F33791"/>
    <w:rsid w:val="00F33F07"/>
    <w:rsid w:val="00F341BA"/>
    <w:rsid w:val="00F3465F"/>
    <w:rsid w:val="00F34EEB"/>
    <w:rsid w:val="00F36263"/>
    <w:rsid w:val="00F36553"/>
    <w:rsid w:val="00F37021"/>
    <w:rsid w:val="00F37D88"/>
    <w:rsid w:val="00F37EC9"/>
    <w:rsid w:val="00F37F39"/>
    <w:rsid w:val="00F41A8D"/>
    <w:rsid w:val="00F41BF7"/>
    <w:rsid w:val="00F41C24"/>
    <w:rsid w:val="00F429E0"/>
    <w:rsid w:val="00F43BC4"/>
    <w:rsid w:val="00F43E03"/>
    <w:rsid w:val="00F43F61"/>
    <w:rsid w:val="00F4449D"/>
    <w:rsid w:val="00F45E6D"/>
    <w:rsid w:val="00F46061"/>
    <w:rsid w:val="00F4695D"/>
    <w:rsid w:val="00F4742F"/>
    <w:rsid w:val="00F507A7"/>
    <w:rsid w:val="00F50B87"/>
    <w:rsid w:val="00F51278"/>
    <w:rsid w:val="00F538CC"/>
    <w:rsid w:val="00F554CF"/>
    <w:rsid w:val="00F56B04"/>
    <w:rsid w:val="00F56F09"/>
    <w:rsid w:val="00F60860"/>
    <w:rsid w:val="00F61946"/>
    <w:rsid w:val="00F62BBD"/>
    <w:rsid w:val="00F63A1D"/>
    <w:rsid w:val="00F64707"/>
    <w:rsid w:val="00F647A3"/>
    <w:rsid w:val="00F64CE8"/>
    <w:rsid w:val="00F64F6B"/>
    <w:rsid w:val="00F64F99"/>
    <w:rsid w:val="00F655ED"/>
    <w:rsid w:val="00F658F1"/>
    <w:rsid w:val="00F668D0"/>
    <w:rsid w:val="00F6724B"/>
    <w:rsid w:val="00F67881"/>
    <w:rsid w:val="00F71034"/>
    <w:rsid w:val="00F71079"/>
    <w:rsid w:val="00F72A44"/>
    <w:rsid w:val="00F73763"/>
    <w:rsid w:val="00F73D7B"/>
    <w:rsid w:val="00F76146"/>
    <w:rsid w:val="00F76731"/>
    <w:rsid w:val="00F771D8"/>
    <w:rsid w:val="00F774D3"/>
    <w:rsid w:val="00F77C17"/>
    <w:rsid w:val="00F801D2"/>
    <w:rsid w:val="00F848D9"/>
    <w:rsid w:val="00F84F9E"/>
    <w:rsid w:val="00F871ED"/>
    <w:rsid w:val="00F87511"/>
    <w:rsid w:val="00F87BB4"/>
    <w:rsid w:val="00F9142D"/>
    <w:rsid w:val="00F926FF"/>
    <w:rsid w:val="00F939CC"/>
    <w:rsid w:val="00F9484A"/>
    <w:rsid w:val="00F9530A"/>
    <w:rsid w:val="00F96689"/>
    <w:rsid w:val="00F96BD3"/>
    <w:rsid w:val="00F970C9"/>
    <w:rsid w:val="00FA05C9"/>
    <w:rsid w:val="00FA079B"/>
    <w:rsid w:val="00FA10E7"/>
    <w:rsid w:val="00FA3449"/>
    <w:rsid w:val="00FA40A9"/>
    <w:rsid w:val="00FA43EB"/>
    <w:rsid w:val="00FA4A43"/>
    <w:rsid w:val="00FA4AAB"/>
    <w:rsid w:val="00FA4F36"/>
    <w:rsid w:val="00FA5833"/>
    <w:rsid w:val="00FA5FB9"/>
    <w:rsid w:val="00FA5FC8"/>
    <w:rsid w:val="00FA6A78"/>
    <w:rsid w:val="00FA79E5"/>
    <w:rsid w:val="00FA7F19"/>
    <w:rsid w:val="00FB099D"/>
    <w:rsid w:val="00FB0CDC"/>
    <w:rsid w:val="00FB101C"/>
    <w:rsid w:val="00FB118D"/>
    <w:rsid w:val="00FB14DB"/>
    <w:rsid w:val="00FB1942"/>
    <w:rsid w:val="00FB2BF4"/>
    <w:rsid w:val="00FB4128"/>
    <w:rsid w:val="00FB44D9"/>
    <w:rsid w:val="00FB4B89"/>
    <w:rsid w:val="00FB5401"/>
    <w:rsid w:val="00FB6583"/>
    <w:rsid w:val="00FB726C"/>
    <w:rsid w:val="00FC0B87"/>
    <w:rsid w:val="00FC18DF"/>
    <w:rsid w:val="00FC1B6D"/>
    <w:rsid w:val="00FC3C9E"/>
    <w:rsid w:val="00FC5163"/>
    <w:rsid w:val="00FC56B0"/>
    <w:rsid w:val="00FC5EAC"/>
    <w:rsid w:val="00FC5EAE"/>
    <w:rsid w:val="00FC6579"/>
    <w:rsid w:val="00FC6797"/>
    <w:rsid w:val="00FC7077"/>
    <w:rsid w:val="00FC70A7"/>
    <w:rsid w:val="00FC728C"/>
    <w:rsid w:val="00FD0555"/>
    <w:rsid w:val="00FD16BB"/>
    <w:rsid w:val="00FD1D41"/>
    <w:rsid w:val="00FD294D"/>
    <w:rsid w:val="00FD4AC4"/>
    <w:rsid w:val="00FD4F0B"/>
    <w:rsid w:val="00FD5A1C"/>
    <w:rsid w:val="00FD7DDD"/>
    <w:rsid w:val="00FD7E2F"/>
    <w:rsid w:val="00FE13CF"/>
    <w:rsid w:val="00FE1507"/>
    <w:rsid w:val="00FE2019"/>
    <w:rsid w:val="00FE227B"/>
    <w:rsid w:val="00FE3FB7"/>
    <w:rsid w:val="00FE407B"/>
    <w:rsid w:val="00FE44CB"/>
    <w:rsid w:val="00FE4705"/>
    <w:rsid w:val="00FE5574"/>
    <w:rsid w:val="00FE5CA2"/>
    <w:rsid w:val="00FE790B"/>
    <w:rsid w:val="00FE79C3"/>
    <w:rsid w:val="00FF05EC"/>
    <w:rsid w:val="00FF1D22"/>
    <w:rsid w:val="00FF263D"/>
    <w:rsid w:val="00FF2A20"/>
    <w:rsid w:val="00FF3C5E"/>
    <w:rsid w:val="00FF5A6D"/>
    <w:rsid w:val="00FF6E9A"/>
    <w:rsid w:val="00FF6FFB"/>
    <w:rsid w:val="00FF73ED"/>
    <w:rsid w:val="00FF7569"/>
    <w:rsid w:val="00FF75E9"/>
    <w:rsid w:val="00FF7769"/>
    <w:rsid w:val="012EC69D"/>
    <w:rsid w:val="01758D5C"/>
    <w:rsid w:val="025F8806"/>
    <w:rsid w:val="02B75E52"/>
    <w:rsid w:val="035612E5"/>
    <w:rsid w:val="035A5B1E"/>
    <w:rsid w:val="0398CFAE"/>
    <w:rsid w:val="03CC1D61"/>
    <w:rsid w:val="040D0520"/>
    <w:rsid w:val="047B89C2"/>
    <w:rsid w:val="04D98E7F"/>
    <w:rsid w:val="05062A21"/>
    <w:rsid w:val="054D5E51"/>
    <w:rsid w:val="06E6330B"/>
    <w:rsid w:val="07B1F3DE"/>
    <w:rsid w:val="08036F71"/>
    <w:rsid w:val="080D32EC"/>
    <w:rsid w:val="085C0B41"/>
    <w:rsid w:val="08D68BE5"/>
    <w:rsid w:val="091AA7F1"/>
    <w:rsid w:val="0995621F"/>
    <w:rsid w:val="09BA26B0"/>
    <w:rsid w:val="09E3A7C9"/>
    <w:rsid w:val="09E4DAB2"/>
    <w:rsid w:val="0A027F67"/>
    <w:rsid w:val="0A8AAD19"/>
    <w:rsid w:val="0BB95E21"/>
    <w:rsid w:val="0C4B53CA"/>
    <w:rsid w:val="0C8AE8BB"/>
    <w:rsid w:val="0CC10CB3"/>
    <w:rsid w:val="0D7743B2"/>
    <w:rsid w:val="0D93A754"/>
    <w:rsid w:val="0E6B0CBE"/>
    <w:rsid w:val="0E9C0E33"/>
    <w:rsid w:val="0EB30E63"/>
    <w:rsid w:val="10845828"/>
    <w:rsid w:val="10EB5D91"/>
    <w:rsid w:val="110592B7"/>
    <w:rsid w:val="12DE0FAB"/>
    <w:rsid w:val="13350774"/>
    <w:rsid w:val="13954817"/>
    <w:rsid w:val="13EA515A"/>
    <w:rsid w:val="14164303"/>
    <w:rsid w:val="14C40487"/>
    <w:rsid w:val="1607EC3C"/>
    <w:rsid w:val="16465010"/>
    <w:rsid w:val="167EBE1B"/>
    <w:rsid w:val="16FBDA06"/>
    <w:rsid w:val="178CC48D"/>
    <w:rsid w:val="179E73CD"/>
    <w:rsid w:val="17BFF85E"/>
    <w:rsid w:val="183132AF"/>
    <w:rsid w:val="18B00CED"/>
    <w:rsid w:val="18CF1912"/>
    <w:rsid w:val="18F3B769"/>
    <w:rsid w:val="19053659"/>
    <w:rsid w:val="194E7618"/>
    <w:rsid w:val="196F5B6B"/>
    <w:rsid w:val="19A2780B"/>
    <w:rsid w:val="1A382D0F"/>
    <w:rsid w:val="1A39887E"/>
    <w:rsid w:val="1A69F7BC"/>
    <w:rsid w:val="1A8D0B19"/>
    <w:rsid w:val="1A9B1165"/>
    <w:rsid w:val="1ADF09E9"/>
    <w:rsid w:val="1AE49CBC"/>
    <w:rsid w:val="1AF0F697"/>
    <w:rsid w:val="1C2672EE"/>
    <w:rsid w:val="1C66AC05"/>
    <w:rsid w:val="1C823611"/>
    <w:rsid w:val="1C849DE4"/>
    <w:rsid w:val="1CA0FB50"/>
    <w:rsid w:val="1D1F6ABD"/>
    <w:rsid w:val="1ED0AB07"/>
    <w:rsid w:val="1F54C008"/>
    <w:rsid w:val="200C330F"/>
    <w:rsid w:val="2117DEA0"/>
    <w:rsid w:val="21793E98"/>
    <w:rsid w:val="21D32598"/>
    <w:rsid w:val="230A940C"/>
    <w:rsid w:val="23D25433"/>
    <w:rsid w:val="23E1AEA7"/>
    <w:rsid w:val="24341727"/>
    <w:rsid w:val="2440B98F"/>
    <w:rsid w:val="2448EA22"/>
    <w:rsid w:val="25F8E881"/>
    <w:rsid w:val="271686A7"/>
    <w:rsid w:val="27DB5E8B"/>
    <w:rsid w:val="283C25E2"/>
    <w:rsid w:val="2958E6ED"/>
    <w:rsid w:val="2964BA10"/>
    <w:rsid w:val="2A19CCD4"/>
    <w:rsid w:val="2A3843DD"/>
    <w:rsid w:val="2C345551"/>
    <w:rsid w:val="2C3D1607"/>
    <w:rsid w:val="2C79671B"/>
    <w:rsid w:val="2D303764"/>
    <w:rsid w:val="2DBAFB87"/>
    <w:rsid w:val="2E031D8D"/>
    <w:rsid w:val="2E33C87A"/>
    <w:rsid w:val="2E8D06F8"/>
    <w:rsid w:val="2EF579F8"/>
    <w:rsid w:val="3044413B"/>
    <w:rsid w:val="308866CE"/>
    <w:rsid w:val="30A7A2A7"/>
    <w:rsid w:val="30AC1817"/>
    <w:rsid w:val="30AE4DBF"/>
    <w:rsid w:val="30C3A302"/>
    <w:rsid w:val="310F5243"/>
    <w:rsid w:val="316121E7"/>
    <w:rsid w:val="317EB949"/>
    <w:rsid w:val="31833E8F"/>
    <w:rsid w:val="31F04B0F"/>
    <w:rsid w:val="3247F623"/>
    <w:rsid w:val="34279BC2"/>
    <w:rsid w:val="347694E1"/>
    <w:rsid w:val="3507E1C4"/>
    <w:rsid w:val="350D1B40"/>
    <w:rsid w:val="3541BC2A"/>
    <w:rsid w:val="3546312C"/>
    <w:rsid w:val="3548B2A4"/>
    <w:rsid w:val="354AB07A"/>
    <w:rsid w:val="3552DDE6"/>
    <w:rsid w:val="35892EE1"/>
    <w:rsid w:val="35AC0172"/>
    <w:rsid w:val="365F714A"/>
    <w:rsid w:val="36962F9E"/>
    <w:rsid w:val="3788CE5F"/>
    <w:rsid w:val="38032B50"/>
    <w:rsid w:val="38310CC6"/>
    <w:rsid w:val="3845BE53"/>
    <w:rsid w:val="38630A3B"/>
    <w:rsid w:val="38832066"/>
    <w:rsid w:val="38DE8B6D"/>
    <w:rsid w:val="393457B9"/>
    <w:rsid w:val="39535042"/>
    <w:rsid w:val="39732D6D"/>
    <w:rsid w:val="39CF7B51"/>
    <w:rsid w:val="3AFDB432"/>
    <w:rsid w:val="3BC6F43B"/>
    <w:rsid w:val="3BDD4BAD"/>
    <w:rsid w:val="3C0C1499"/>
    <w:rsid w:val="3CC4285F"/>
    <w:rsid w:val="3CDAC6CE"/>
    <w:rsid w:val="3D12D47A"/>
    <w:rsid w:val="3D49E98B"/>
    <w:rsid w:val="3D8618AB"/>
    <w:rsid w:val="3E1B062F"/>
    <w:rsid w:val="3E5996CD"/>
    <w:rsid w:val="3E862439"/>
    <w:rsid w:val="3ED34AE5"/>
    <w:rsid w:val="3F568DF1"/>
    <w:rsid w:val="3F5C218A"/>
    <w:rsid w:val="3FAE51D8"/>
    <w:rsid w:val="3FDB7144"/>
    <w:rsid w:val="4071B172"/>
    <w:rsid w:val="4126578E"/>
    <w:rsid w:val="41AC7780"/>
    <w:rsid w:val="41B08A1C"/>
    <w:rsid w:val="42E5895E"/>
    <w:rsid w:val="42F09D8D"/>
    <w:rsid w:val="430D9C79"/>
    <w:rsid w:val="431EBE9C"/>
    <w:rsid w:val="438DB6A0"/>
    <w:rsid w:val="43D00ABE"/>
    <w:rsid w:val="442A2AE8"/>
    <w:rsid w:val="44974188"/>
    <w:rsid w:val="45A09242"/>
    <w:rsid w:val="468683B5"/>
    <w:rsid w:val="47407BE2"/>
    <w:rsid w:val="47CD3FAC"/>
    <w:rsid w:val="481FC4D5"/>
    <w:rsid w:val="496D76AC"/>
    <w:rsid w:val="49E0EC5B"/>
    <w:rsid w:val="4A366EB9"/>
    <w:rsid w:val="4ADADD28"/>
    <w:rsid w:val="4B375B25"/>
    <w:rsid w:val="4B5DDFF8"/>
    <w:rsid w:val="4B6F44EC"/>
    <w:rsid w:val="4BBC13E8"/>
    <w:rsid w:val="4BD33121"/>
    <w:rsid w:val="4BEE8752"/>
    <w:rsid w:val="4BF64A68"/>
    <w:rsid w:val="4D527284"/>
    <w:rsid w:val="4DE84A6D"/>
    <w:rsid w:val="4E89F009"/>
    <w:rsid w:val="4F03263F"/>
    <w:rsid w:val="4F08BBE7"/>
    <w:rsid w:val="4FB77E70"/>
    <w:rsid w:val="50B80847"/>
    <w:rsid w:val="511CB9C6"/>
    <w:rsid w:val="51C40AD7"/>
    <w:rsid w:val="51DA0EF3"/>
    <w:rsid w:val="51ECAAD5"/>
    <w:rsid w:val="523D5A86"/>
    <w:rsid w:val="52848626"/>
    <w:rsid w:val="52FABA05"/>
    <w:rsid w:val="53270C94"/>
    <w:rsid w:val="53395EAC"/>
    <w:rsid w:val="53AED54F"/>
    <w:rsid w:val="53E2527D"/>
    <w:rsid w:val="5486597D"/>
    <w:rsid w:val="549E9FC4"/>
    <w:rsid w:val="54A5460B"/>
    <w:rsid w:val="54E4B2DE"/>
    <w:rsid w:val="550F39F7"/>
    <w:rsid w:val="55181B59"/>
    <w:rsid w:val="55598D52"/>
    <w:rsid w:val="565E3D77"/>
    <w:rsid w:val="5696A627"/>
    <w:rsid w:val="575BBF69"/>
    <w:rsid w:val="57F8F423"/>
    <w:rsid w:val="585BEF02"/>
    <w:rsid w:val="596A57A0"/>
    <w:rsid w:val="5987A042"/>
    <w:rsid w:val="5A0C6278"/>
    <w:rsid w:val="5A49F46C"/>
    <w:rsid w:val="5ADDBA23"/>
    <w:rsid w:val="5AE914B0"/>
    <w:rsid w:val="5B2C3BFB"/>
    <w:rsid w:val="5B88F428"/>
    <w:rsid w:val="5C18766E"/>
    <w:rsid w:val="5CFF83C9"/>
    <w:rsid w:val="5E35F983"/>
    <w:rsid w:val="5EF21F4C"/>
    <w:rsid w:val="5F131D39"/>
    <w:rsid w:val="5F3A1C00"/>
    <w:rsid w:val="60261539"/>
    <w:rsid w:val="61341A23"/>
    <w:rsid w:val="6191A9B5"/>
    <w:rsid w:val="61FDE279"/>
    <w:rsid w:val="620DBD2F"/>
    <w:rsid w:val="629F628F"/>
    <w:rsid w:val="630C1B7E"/>
    <w:rsid w:val="631A7CF8"/>
    <w:rsid w:val="6339D1F6"/>
    <w:rsid w:val="6362BE6A"/>
    <w:rsid w:val="6418A209"/>
    <w:rsid w:val="643D7577"/>
    <w:rsid w:val="64CF28D0"/>
    <w:rsid w:val="64F9AE61"/>
    <w:rsid w:val="6575560A"/>
    <w:rsid w:val="65DBC9E1"/>
    <w:rsid w:val="65DFD91A"/>
    <w:rsid w:val="671E4945"/>
    <w:rsid w:val="67D2FE9F"/>
    <w:rsid w:val="689E1607"/>
    <w:rsid w:val="68CB1AAE"/>
    <w:rsid w:val="68EDD57C"/>
    <w:rsid w:val="69F9BCE2"/>
    <w:rsid w:val="6A1366CA"/>
    <w:rsid w:val="6A36C60E"/>
    <w:rsid w:val="6B70B20F"/>
    <w:rsid w:val="6BC3F7FD"/>
    <w:rsid w:val="6CE4E484"/>
    <w:rsid w:val="6D9CDA2D"/>
    <w:rsid w:val="6DB54E08"/>
    <w:rsid w:val="6DC8F088"/>
    <w:rsid w:val="6E1016AF"/>
    <w:rsid w:val="6E92A9B4"/>
    <w:rsid w:val="6EA70667"/>
    <w:rsid w:val="702FB84D"/>
    <w:rsid w:val="70392C7F"/>
    <w:rsid w:val="70AE81AA"/>
    <w:rsid w:val="70F461A8"/>
    <w:rsid w:val="7139CBDE"/>
    <w:rsid w:val="71F78044"/>
    <w:rsid w:val="728B0706"/>
    <w:rsid w:val="729C151F"/>
    <w:rsid w:val="73C83C83"/>
    <w:rsid w:val="73CF23D8"/>
    <w:rsid w:val="74B0E169"/>
    <w:rsid w:val="74E022A9"/>
    <w:rsid w:val="74E6E484"/>
    <w:rsid w:val="7599DC65"/>
    <w:rsid w:val="769C7F63"/>
    <w:rsid w:val="7765D0B3"/>
    <w:rsid w:val="777B3EC9"/>
    <w:rsid w:val="77B7ECA6"/>
    <w:rsid w:val="77DC3FAF"/>
    <w:rsid w:val="7849A068"/>
    <w:rsid w:val="784FD800"/>
    <w:rsid w:val="7857F5D4"/>
    <w:rsid w:val="796948AD"/>
    <w:rsid w:val="7A12E004"/>
    <w:rsid w:val="7A711294"/>
    <w:rsid w:val="7B25D47F"/>
    <w:rsid w:val="7B57EB80"/>
    <w:rsid w:val="7B926BA7"/>
    <w:rsid w:val="7BA416C9"/>
    <w:rsid w:val="7BA46E23"/>
    <w:rsid w:val="7BA6DB29"/>
    <w:rsid w:val="7BC03F63"/>
    <w:rsid w:val="7D001D78"/>
    <w:rsid w:val="7DC7FEB7"/>
    <w:rsid w:val="7E72C8B2"/>
    <w:rsid w:val="7F28D365"/>
    <w:rsid w:val="7F3BC7FC"/>
    <w:rsid w:val="7F3D518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5F34A"/>
  <w15:chartTrackingRefBased/>
  <w15:docId w15:val="{E84AEEC0-A6CB-48EF-B64C-C0B1B0B7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40D7"/>
    <w:pPr>
      <w:spacing w:before="60" w:after="120"/>
      <w:ind w:left="851"/>
      <w:jc w:val="both"/>
    </w:pPr>
    <w:rPr>
      <w:rFonts w:ascii="Arial" w:hAnsi="Arial"/>
      <w:lang w:val="nl-NL" w:eastAsia="nl-NL"/>
    </w:rPr>
  </w:style>
  <w:style w:type="paragraph" w:styleId="Kop1">
    <w:name w:val="heading 1"/>
    <w:basedOn w:val="Standaard"/>
    <w:next w:val="Standaard"/>
    <w:link w:val="Kop1Char"/>
    <w:uiPriority w:val="1"/>
    <w:qFormat/>
    <w:rsid w:val="00780792"/>
    <w:pPr>
      <w:keepNext/>
      <w:pageBreakBefore/>
      <w:shd w:val="clear" w:color="auto" w:fill="FFFFFF"/>
      <w:spacing w:before="360" w:after="240"/>
      <w:ind w:left="0" w:right="-1"/>
      <w:outlineLvl w:val="0"/>
    </w:pPr>
    <w:rPr>
      <w:b/>
      <w:caps/>
      <w:sz w:val="34"/>
      <w:szCs w:val="34"/>
    </w:rPr>
  </w:style>
  <w:style w:type="paragraph" w:styleId="Kop2">
    <w:name w:val="heading 2"/>
    <w:aliases w:val="hoofdstukA"/>
    <w:basedOn w:val="Standaard"/>
    <w:next w:val="Standaard"/>
    <w:link w:val="Kop2Char"/>
    <w:autoRedefine/>
    <w:uiPriority w:val="1"/>
    <w:qFormat/>
    <w:rsid w:val="00B44CF7"/>
    <w:pPr>
      <w:keepNext/>
      <w:spacing w:before="480" w:after="180"/>
      <w:ind w:left="0"/>
      <w:jc w:val="left"/>
      <w:outlineLvl w:val="1"/>
    </w:pPr>
    <w:rPr>
      <w:b/>
      <w:caps/>
      <w:sz w:val="16"/>
      <w:szCs w:val="16"/>
    </w:rPr>
  </w:style>
  <w:style w:type="paragraph" w:styleId="Kop3">
    <w:name w:val="heading 3"/>
    <w:basedOn w:val="Standaard"/>
    <w:next w:val="Standaard"/>
    <w:link w:val="Kop3Char"/>
    <w:uiPriority w:val="9"/>
    <w:qFormat/>
    <w:rsid w:val="00780792"/>
    <w:pPr>
      <w:keepNext/>
      <w:spacing w:before="480" w:after="0"/>
      <w:ind w:left="0"/>
      <w:outlineLvl w:val="2"/>
    </w:pPr>
    <w:rPr>
      <w:smallCaps/>
    </w:rPr>
  </w:style>
  <w:style w:type="paragraph" w:styleId="Kop4">
    <w:name w:val="heading 4"/>
    <w:basedOn w:val="Standaard"/>
    <w:next w:val="Standaard"/>
    <w:link w:val="Kop4Char"/>
    <w:qFormat/>
    <w:rsid w:val="003A11FB"/>
    <w:pPr>
      <w:keepNext/>
      <w:shd w:val="pct10" w:color="auto" w:fill="auto"/>
      <w:spacing w:before="360" w:after="60"/>
      <w:ind w:left="0"/>
      <w:outlineLvl w:val="3"/>
    </w:pPr>
    <w:rPr>
      <w:b/>
      <w:sz w:val="24"/>
    </w:rPr>
  </w:style>
  <w:style w:type="paragraph" w:styleId="Kop5">
    <w:name w:val="heading 5"/>
    <w:basedOn w:val="Standaard"/>
    <w:next w:val="Standaard"/>
    <w:link w:val="Kop5Char"/>
    <w:qFormat/>
    <w:rsid w:val="00780792"/>
    <w:pPr>
      <w:spacing w:before="240" w:after="0"/>
      <w:ind w:left="0"/>
      <w:outlineLvl w:val="4"/>
    </w:pPr>
    <w:rPr>
      <w:b/>
    </w:rPr>
  </w:style>
  <w:style w:type="paragraph" w:styleId="Kop6">
    <w:name w:val="heading 6"/>
    <w:basedOn w:val="Standaard"/>
    <w:next w:val="Standaard"/>
    <w:link w:val="Kop6Char"/>
    <w:qFormat/>
    <w:rsid w:val="003A11FB"/>
    <w:pPr>
      <w:spacing w:before="120" w:after="0"/>
      <w:ind w:left="0"/>
      <w:outlineLvl w:val="5"/>
    </w:pPr>
    <w:rPr>
      <w:b/>
      <w:i/>
    </w:rPr>
  </w:style>
  <w:style w:type="paragraph" w:styleId="Kop7">
    <w:name w:val="heading 7"/>
    <w:basedOn w:val="Standaard"/>
    <w:next w:val="Standaard"/>
    <w:link w:val="Kop7Char"/>
    <w:qFormat/>
    <w:rsid w:val="003A11FB"/>
    <w:pPr>
      <w:tabs>
        <w:tab w:val="num" w:pos="1296"/>
      </w:tabs>
      <w:spacing w:before="240" w:after="60"/>
      <w:ind w:left="1296" w:hanging="288"/>
      <w:outlineLvl w:val="6"/>
    </w:pPr>
    <w:rPr>
      <w:sz w:val="24"/>
      <w:szCs w:val="24"/>
    </w:rPr>
  </w:style>
  <w:style w:type="paragraph" w:styleId="Kop8">
    <w:name w:val="heading 8"/>
    <w:basedOn w:val="Standaard"/>
    <w:next w:val="Standaard"/>
    <w:link w:val="Kop8Char"/>
    <w:qFormat/>
    <w:rsid w:val="003A11FB"/>
    <w:pPr>
      <w:tabs>
        <w:tab w:val="num" w:pos="1440"/>
      </w:tabs>
      <w:spacing w:before="240" w:after="60"/>
      <w:ind w:left="1440" w:hanging="432"/>
      <w:outlineLvl w:val="7"/>
    </w:pPr>
    <w:rPr>
      <w:i/>
      <w:iCs/>
      <w:sz w:val="24"/>
      <w:szCs w:val="24"/>
    </w:rPr>
  </w:style>
  <w:style w:type="paragraph" w:styleId="Kop9">
    <w:name w:val="heading 9"/>
    <w:basedOn w:val="Standaard"/>
    <w:next w:val="Standaard"/>
    <w:link w:val="Kop9Char"/>
    <w:qFormat/>
    <w:rsid w:val="003A11FB"/>
    <w:pPr>
      <w:tabs>
        <w:tab w:val="num" w:pos="1584"/>
      </w:tabs>
      <w:spacing w:before="240" w:after="60"/>
      <w:ind w:left="1584" w:hanging="144"/>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3A11FB"/>
    <w:pPr>
      <w:tabs>
        <w:tab w:val="center" w:pos="4536"/>
        <w:tab w:val="right" w:pos="9072"/>
      </w:tabs>
      <w:spacing w:before="100" w:after="0"/>
      <w:ind w:left="0"/>
    </w:pPr>
    <w:rPr>
      <w:sz w:val="24"/>
    </w:rPr>
  </w:style>
  <w:style w:type="character" w:styleId="Voetnootmarkering">
    <w:name w:val="footnote reference"/>
    <w:uiPriority w:val="99"/>
    <w:rsid w:val="003A11FB"/>
    <w:rPr>
      <w:vertAlign w:val="superscript"/>
    </w:rPr>
  </w:style>
  <w:style w:type="paragraph" w:styleId="Voettekst">
    <w:name w:val="footer"/>
    <w:basedOn w:val="Standaard"/>
    <w:link w:val="VoettekstChar"/>
    <w:uiPriority w:val="99"/>
    <w:rsid w:val="003A11FB"/>
    <w:pPr>
      <w:tabs>
        <w:tab w:val="center" w:pos="4819"/>
        <w:tab w:val="right" w:pos="9071"/>
      </w:tabs>
      <w:spacing w:before="100" w:after="0"/>
      <w:ind w:left="0"/>
    </w:pPr>
    <w:rPr>
      <w:sz w:val="24"/>
    </w:rPr>
  </w:style>
  <w:style w:type="character" w:styleId="Paginanummer">
    <w:name w:val="page number"/>
    <w:basedOn w:val="Standaardalinea-lettertype"/>
    <w:rsid w:val="003A11FB"/>
  </w:style>
  <w:style w:type="paragraph" w:styleId="Voetnoottekst">
    <w:name w:val="footnote text"/>
    <w:basedOn w:val="Standaard"/>
    <w:link w:val="VoetnoottekstChar"/>
    <w:uiPriority w:val="99"/>
    <w:rsid w:val="003A11FB"/>
    <w:pPr>
      <w:ind w:left="0"/>
    </w:pPr>
  </w:style>
  <w:style w:type="paragraph" w:styleId="Titel">
    <w:name w:val="Title"/>
    <w:basedOn w:val="Deel"/>
    <w:next w:val="Hoofdstuk"/>
    <w:link w:val="TitelChar"/>
    <w:uiPriority w:val="1"/>
    <w:qFormat/>
    <w:rsid w:val="003A11FB"/>
    <w:pPr>
      <w:pBdr>
        <w:top w:val="single" w:sz="24" w:space="1" w:color="auto"/>
        <w:left w:val="none" w:sz="0" w:space="0" w:color="auto"/>
        <w:bottom w:val="single" w:sz="24" w:space="1" w:color="auto"/>
        <w:right w:val="none" w:sz="0" w:space="0" w:color="auto"/>
      </w:pBdr>
      <w:shd w:val="clear" w:color="auto" w:fill="auto"/>
      <w:spacing w:before="240" w:after="60"/>
    </w:pPr>
    <w:rPr>
      <w:color w:val="auto"/>
      <w:kern w:val="28"/>
      <w:sz w:val="32"/>
    </w:rPr>
  </w:style>
  <w:style w:type="paragraph" w:customStyle="1" w:styleId="Deel">
    <w:name w:val="Deel"/>
    <w:basedOn w:val="Standaard"/>
    <w:next w:val="Titel"/>
    <w:semiHidden/>
    <w:rsid w:val="003A11FB"/>
    <w:pPr>
      <w:pBdr>
        <w:top w:val="double" w:sz="12" w:space="1" w:color="auto" w:shadow="1"/>
        <w:left w:val="double" w:sz="12" w:space="1" w:color="auto" w:shadow="1"/>
        <w:bottom w:val="double" w:sz="12" w:space="1" w:color="auto" w:shadow="1"/>
        <w:right w:val="double" w:sz="12" w:space="1" w:color="auto" w:shadow="1"/>
      </w:pBdr>
      <w:shd w:val="diagCross" w:color="auto" w:fill="auto"/>
      <w:spacing w:before="120" w:after="360"/>
      <w:ind w:left="0"/>
      <w:jc w:val="center"/>
    </w:pPr>
    <w:rPr>
      <w:b/>
      <w:color w:val="FFFFFF"/>
      <w:sz w:val="36"/>
    </w:rPr>
  </w:style>
  <w:style w:type="paragraph" w:customStyle="1" w:styleId="Hoofdstuk">
    <w:name w:val="Hoofdstuk"/>
    <w:basedOn w:val="Kop1"/>
    <w:next w:val="Afdeling"/>
    <w:rsid w:val="003A11FB"/>
    <w:pPr>
      <w:outlineLvl w:val="9"/>
    </w:pPr>
  </w:style>
  <w:style w:type="paragraph" w:customStyle="1" w:styleId="Afdeling">
    <w:name w:val="Afdeling"/>
    <w:basedOn w:val="Hoofdstuk"/>
    <w:next w:val="Artikel"/>
    <w:rsid w:val="003A11FB"/>
    <w:pPr>
      <w:spacing w:after="180"/>
      <w:jc w:val="left"/>
    </w:pPr>
    <w:rPr>
      <w:sz w:val="24"/>
    </w:rPr>
  </w:style>
  <w:style w:type="paragraph" w:customStyle="1" w:styleId="Artikel">
    <w:name w:val="Artikel"/>
    <w:basedOn w:val="Kop3"/>
    <w:next w:val="Standaard"/>
    <w:rsid w:val="003A11FB"/>
    <w:pPr>
      <w:outlineLvl w:val="9"/>
    </w:pPr>
  </w:style>
  <w:style w:type="paragraph" w:styleId="Inhopg1">
    <w:name w:val="toc 1"/>
    <w:basedOn w:val="Standaard"/>
    <w:next w:val="Standaard"/>
    <w:autoRedefine/>
    <w:uiPriority w:val="39"/>
    <w:qFormat/>
    <w:rsid w:val="00CF3E44"/>
    <w:pPr>
      <w:tabs>
        <w:tab w:val="right" w:leader="dot" w:pos="9017"/>
      </w:tabs>
      <w:spacing w:before="180"/>
      <w:ind w:left="0"/>
      <w:jc w:val="left"/>
    </w:pPr>
    <w:rPr>
      <w:b/>
      <w:bCs/>
      <w:caps/>
      <w:noProof/>
      <w:sz w:val="22"/>
      <w:szCs w:val="22"/>
    </w:rPr>
  </w:style>
  <w:style w:type="paragraph" w:styleId="Inhopg2">
    <w:name w:val="toc 2"/>
    <w:basedOn w:val="Standaard"/>
    <w:next w:val="Standaard"/>
    <w:autoRedefine/>
    <w:uiPriority w:val="39"/>
    <w:qFormat/>
    <w:rsid w:val="00123AF5"/>
    <w:pPr>
      <w:tabs>
        <w:tab w:val="right" w:leader="dot" w:pos="9017"/>
      </w:tabs>
      <w:spacing w:before="80" w:after="60"/>
      <w:ind w:left="198"/>
    </w:pPr>
    <w:rPr>
      <w:smallCaps/>
      <w:noProof/>
      <w:sz w:val="22"/>
      <w:szCs w:val="22"/>
    </w:rPr>
  </w:style>
  <w:style w:type="paragraph" w:styleId="Inhopg3">
    <w:name w:val="toc 3"/>
    <w:basedOn w:val="Standaard"/>
    <w:next w:val="Standaard"/>
    <w:autoRedefine/>
    <w:uiPriority w:val="39"/>
    <w:rsid w:val="00123AF5"/>
    <w:pPr>
      <w:tabs>
        <w:tab w:val="right" w:leader="dot" w:pos="9017"/>
      </w:tabs>
      <w:spacing w:before="40" w:after="60"/>
      <w:ind w:left="403"/>
    </w:pPr>
    <w:rPr>
      <w:i/>
      <w:noProof/>
    </w:rPr>
  </w:style>
  <w:style w:type="paragraph" w:styleId="Inhopg4">
    <w:name w:val="toc 4"/>
    <w:basedOn w:val="Standaard"/>
    <w:next w:val="Standaard"/>
    <w:autoRedefine/>
    <w:uiPriority w:val="39"/>
    <w:rsid w:val="003A11FB"/>
    <w:pPr>
      <w:tabs>
        <w:tab w:val="right" w:leader="dot" w:pos="9017"/>
      </w:tabs>
      <w:spacing w:before="0" w:after="0" w:line="300" w:lineRule="exact"/>
      <w:ind w:left="601"/>
    </w:pPr>
    <w:rPr>
      <w:noProof/>
    </w:rPr>
  </w:style>
  <w:style w:type="paragraph" w:styleId="Inhopg5">
    <w:name w:val="toc 5"/>
    <w:basedOn w:val="Standaard"/>
    <w:next w:val="Standaard"/>
    <w:autoRedefine/>
    <w:uiPriority w:val="39"/>
    <w:rsid w:val="003A11FB"/>
    <w:pPr>
      <w:spacing w:before="0" w:after="0"/>
      <w:ind w:left="800"/>
    </w:pPr>
    <w:rPr>
      <w:sz w:val="18"/>
    </w:rPr>
  </w:style>
  <w:style w:type="paragraph" w:styleId="Inhopg6">
    <w:name w:val="toc 6"/>
    <w:basedOn w:val="Standaard"/>
    <w:next w:val="Standaard"/>
    <w:autoRedefine/>
    <w:uiPriority w:val="39"/>
    <w:rsid w:val="003A11FB"/>
    <w:pPr>
      <w:spacing w:before="0" w:after="0"/>
      <w:ind w:left="1000"/>
    </w:pPr>
    <w:rPr>
      <w:sz w:val="18"/>
    </w:rPr>
  </w:style>
  <w:style w:type="paragraph" w:styleId="Inhopg7">
    <w:name w:val="toc 7"/>
    <w:basedOn w:val="Standaard"/>
    <w:next w:val="Standaard"/>
    <w:autoRedefine/>
    <w:uiPriority w:val="39"/>
    <w:rsid w:val="003A11FB"/>
    <w:pPr>
      <w:spacing w:before="0" w:after="0"/>
      <w:ind w:left="1200"/>
    </w:pPr>
    <w:rPr>
      <w:sz w:val="18"/>
    </w:rPr>
  </w:style>
  <w:style w:type="paragraph" w:styleId="Inhopg8">
    <w:name w:val="toc 8"/>
    <w:basedOn w:val="Standaard"/>
    <w:next w:val="Standaard"/>
    <w:autoRedefine/>
    <w:uiPriority w:val="39"/>
    <w:rsid w:val="003A11FB"/>
    <w:pPr>
      <w:spacing w:before="0" w:after="0"/>
      <w:ind w:left="1400"/>
    </w:pPr>
    <w:rPr>
      <w:sz w:val="18"/>
    </w:rPr>
  </w:style>
  <w:style w:type="paragraph" w:styleId="Inhopg9">
    <w:name w:val="toc 9"/>
    <w:basedOn w:val="Standaard"/>
    <w:next w:val="Standaard"/>
    <w:autoRedefine/>
    <w:uiPriority w:val="39"/>
    <w:rsid w:val="003A11FB"/>
    <w:pPr>
      <w:spacing w:before="0" w:after="0"/>
      <w:ind w:left="1600"/>
    </w:pPr>
    <w:rPr>
      <w:sz w:val="18"/>
    </w:rPr>
  </w:style>
  <w:style w:type="paragraph" w:styleId="Bijschrift">
    <w:name w:val="caption"/>
    <w:basedOn w:val="Standaard"/>
    <w:next w:val="Standaard"/>
    <w:qFormat/>
    <w:rsid w:val="003A11FB"/>
    <w:pPr>
      <w:spacing w:before="120"/>
      <w:jc w:val="center"/>
    </w:pPr>
    <w:rPr>
      <w:b/>
    </w:rPr>
  </w:style>
  <w:style w:type="paragraph" w:customStyle="1" w:styleId="Bijlage">
    <w:name w:val="Bijlage"/>
    <w:basedOn w:val="Kop1"/>
    <w:rsid w:val="003A11FB"/>
    <w:pPr>
      <w:outlineLvl w:val="9"/>
    </w:pPr>
  </w:style>
  <w:style w:type="paragraph" w:customStyle="1" w:styleId="Opmaakprofiel1">
    <w:name w:val="Opmaakprofiel1"/>
    <w:basedOn w:val="Kop3"/>
    <w:semiHidden/>
    <w:rsid w:val="003A11FB"/>
    <w:pPr>
      <w:outlineLvl w:val="9"/>
    </w:pPr>
  </w:style>
  <w:style w:type="paragraph" w:customStyle="1" w:styleId="Opmaakprofiel2">
    <w:name w:val="Opmaakprofiel2"/>
    <w:basedOn w:val="Standaard"/>
    <w:semiHidden/>
    <w:rsid w:val="003A11FB"/>
    <w:pPr>
      <w:spacing w:after="60" w:line="360" w:lineRule="auto"/>
    </w:pPr>
    <w:rPr>
      <w:b/>
      <w:i/>
    </w:rPr>
  </w:style>
  <w:style w:type="paragraph" w:customStyle="1" w:styleId="Opmaakprofiel3">
    <w:name w:val="Opmaakprofiel3"/>
    <w:basedOn w:val="Standaard"/>
    <w:semiHidden/>
    <w:rsid w:val="003A11FB"/>
    <w:pPr>
      <w:spacing w:after="60"/>
    </w:pPr>
    <w:rPr>
      <w:b/>
    </w:rPr>
  </w:style>
  <w:style w:type="paragraph" w:styleId="Lijst2">
    <w:name w:val="List 2"/>
    <w:basedOn w:val="Standaard"/>
    <w:rsid w:val="003A11FB"/>
    <w:pPr>
      <w:ind w:left="568" w:hanging="284"/>
    </w:pPr>
  </w:style>
  <w:style w:type="paragraph" w:customStyle="1" w:styleId="Opmaakprofiel4">
    <w:name w:val="Opmaakprofiel4"/>
    <w:basedOn w:val="Opmaakprofiel3"/>
    <w:next w:val="Standaard"/>
    <w:semiHidden/>
    <w:rsid w:val="003A11FB"/>
    <w:pPr>
      <w:keepNext/>
      <w:spacing w:before="80" w:after="80"/>
    </w:pPr>
    <w:rPr>
      <w:sz w:val="22"/>
    </w:rPr>
  </w:style>
  <w:style w:type="paragraph" w:styleId="Lijst3">
    <w:name w:val="List 3"/>
    <w:basedOn w:val="Standaard"/>
    <w:rsid w:val="003A11FB"/>
    <w:pPr>
      <w:ind w:left="849" w:hanging="283"/>
    </w:pPr>
  </w:style>
  <w:style w:type="paragraph" w:styleId="Lijst4">
    <w:name w:val="List 4"/>
    <w:basedOn w:val="Standaard"/>
    <w:rsid w:val="003A11FB"/>
    <w:pPr>
      <w:ind w:left="1571" w:hanging="720"/>
    </w:pPr>
  </w:style>
  <w:style w:type="paragraph" w:styleId="Lijst5">
    <w:name w:val="List 5"/>
    <w:basedOn w:val="Standaard"/>
    <w:rsid w:val="003A11FB"/>
    <w:pPr>
      <w:ind w:left="1415" w:hanging="283"/>
    </w:pPr>
  </w:style>
  <w:style w:type="paragraph" w:styleId="Lijstopsomteken2">
    <w:name w:val="List Bullet 2"/>
    <w:basedOn w:val="Standaard"/>
    <w:autoRedefine/>
    <w:rsid w:val="003A11FB"/>
    <w:pPr>
      <w:numPr>
        <w:numId w:val="1"/>
      </w:numPr>
      <w:spacing w:after="60"/>
    </w:pPr>
  </w:style>
  <w:style w:type="paragraph" w:styleId="Lijstopsomteken3">
    <w:name w:val="List Bullet 3"/>
    <w:basedOn w:val="Standaard"/>
    <w:autoRedefine/>
    <w:rsid w:val="003A11FB"/>
    <w:pPr>
      <w:ind w:left="849" w:hanging="283"/>
    </w:pPr>
  </w:style>
  <w:style w:type="paragraph" w:styleId="Lijstvoortzetting2">
    <w:name w:val="List Continue 2"/>
    <w:basedOn w:val="Standaard"/>
    <w:rsid w:val="003A11FB"/>
    <w:pPr>
      <w:ind w:left="567"/>
    </w:pPr>
  </w:style>
  <w:style w:type="paragraph" w:styleId="Lijstvoortzetting4">
    <w:name w:val="List Continue 4"/>
    <w:basedOn w:val="Standaard"/>
    <w:rsid w:val="003A11FB"/>
    <w:pPr>
      <w:ind w:left="1132"/>
    </w:pPr>
  </w:style>
  <w:style w:type="paragraph" w:styleId="Plattetekst">
    <w:name w:val="Body Text"/>
    <w:basedOn w:val="Standaard"/>
    <w:link w:val="PlattetekstChar"/>
    <w:uiPriority w:val="1"/>
    <w:qFormat/>
    <w:rsid w:val="003A11FB"/>
    <w:pPr>
      <w:ind w:left="0"/>
    </w:pPr>
  </w:style>
  <w:style w:type="paragraph" w:styleId="Plattetekstinspringen">
    <w:name w:val="Body Text Indent"/>
    <w:aliases w:val="Platte tekst inspringen Char"/>
    <w:basedOn w:val="Standaard"/>
    <w:rsid w:val="003A11FB"/>
    <w:pPr>
      <w:spacing w:before="120" w:after="0"/>
      <w:ind w:left="284"/>
    </w:pPr>
  </w:style>
  <w:style w:type="paragraph" w:styleId="Plattetekst3">
    <w:name w:val="Body Text 3"/>
    <w:basedOn w:val="Plattetekstinspringen"/>
    <w:link w:val="Plattetekst3Char"/>
    <w:rsid w:val="003A11FB"/>
  </w:style>
  <w:style w:type="paragraph" w:customStyle="1" w:styleId="Paginas">
    <w:name w:val="Pagina's"/>
    <w:basedOn w:val="Plattetekst"/>
    <w:semiHidden/>
    <w:rsid w:val="003A11FB"/>
    <w:pPr>
      <w:spacing w:before="0" w:after="0"/>
    </w:pPr>
    <w:rPr>
      <w:b/>
    </w:rPr>
  </w:style>
  <w:style w:type="paragraph" w:styleId="Plattetekstinspringen3">
    <w:name w:val="Body Text Indent 3"/>
    <w:basedOn w:val="Standaard"/>
    <w:link w:val="Plattetekstinspringen3Char"/>
    <w:rsid w:val="003A11FB"/>
    <w:pPr>
      <w:spacing w:before="0" w:line="360" w:lineRule="auto"/>
      <w:ind w:left="426"/>
    </w:pPr>
    <w:rPr>
      <w:i/>
      <w:sz w:val="22"/>
    </w:rPr>
  </w:style>
  <w:style w:type="paragraph" w:styleId="Plattetekstinspringen2">
    <w:name w:val="Body Text Indent 2"/>
    <w:basedOn w:val="Standaard"/>
    <w:link w:val="Plattetekstinspringen2Char"/>
    <w:rsid w:val="003A11FB"/>
    <w:pPr>
      <w:ind w:left="426"/>
    </w:pPr>
  </w:style>
  <w:style w:type="paragraph" w:customStyle="1" w:styleId="inhoud">
    <w:name w:val="inhoud"/>
    <w:basedOn w:val="Kop1"/>
    <w:semiHidden/>
    <w:rsid w:val="003A11FB"/>
  </w:style>
  <w:style w:type="paragraph" w:customStyle="1" w:styleId="titel0">
    <w:name w:val="titel"/>
    <w:basedOn w:val="Kop2"/>
    <w:rsid w:val="003A11FB"/>
    <w:rPr>
      <w:sz w:val="72"/>
    </w:rPr>
  </w:style>
  <w:style w:type="paragraph" w:customStyle="1" w:styleId="titel2">
    <w:name w:val="titel2"/>
    <w:basedOn w:val="Kop2"/>
    <w:rsid w:val="003A11FB"/>
    <w:pPr>
      <w:shd w:val="pct5" w:color="auto" w:fill="auto"/>
    </w:pPr>
    <w:rPr>
      <w:sz w:val="48"/>
    </w:rPr>
  </w:style>
  <w:style w:type="paragraph" w:customStyle="1" w:styleId="inleiding">
    <w:name w:val="inleiding"/>
    <w:basedOn w:val="Kop3"/>
    <w:semiHidden/>
    <w:rsid w:val="003A11FB"/>
    <w:pPr>
      <w:pageBreakBefore/>
    </w:pPr>
  </w:style>
  <w:style w:type="character" w:customStyle="1" w:styleId="Berichtkoplabel">
    <w:name w:val="Berichtkoplabel"/>
    <w:rsid w:val="003A11FB"/>
    <w:rPr>
      <w:rFonts w:ascii="Arial" w:hAnsi="Arial"/>
      <w:b/>
      <w:caps/>
      <w:sz w:val="18"/>
    </w:rPr>
  </w:style>
  <w:style w:type="character" w:styleId="Hyperlink">
    <w:name w:val="Hyperlink"/>
    <w:uiPriority w:val="99"/>
    <w:rsid w:val="003A11FB"/>
    <w:rPr>
      <w:color w:val="0000FF"/>
      <w:u w:val="single"/>
    </w:rPr>
  </w:style>
  <w:style w:type="paragraph" w:customStyle="1" w:styleId="Plattetekst21">
    <w:name w:val="Platte tekst 21"/>
    <w:basedOn w:val="Standaard"/>
    <w:rsid w:val="003A11FB"/>
    <w:pPr>
      <w:ind w:left="284"/>
    </w:pPr>
  </w:style>
  <w:style w:type="character" w:customStyle="1" w:styleId="CharChar3">
    <w:name w:val="Char Char3"/>
    <w:semiHidden/>
    <w:rsid w:val="003A11FB"/>
    <w:rPr>
      <w:b/>
      <w:lang w:val="nl-NL" w:eastAsia="nl-NL" w:bidi="ar-SA"/>
    </w:rPr>
  </w:style>
  <w:style w:type="character" w:customStyle="1" w:styleId="CharChar">
    <w:name w:val="Char Char"/>
    <w:semiHidden/>
    <w:rsid w:val="003A11FB"/>
    <w:rPr>
      <w:lang w:val="nl-NL" w:eastAsia="nl-NL" w:bidi="ar-SA"/>
    </w:rPr>
  </w:style>
  <w:style w:type="character" w:customStyle="1" w:styleId="CharChar2">
    <w:name w:val="Char Char2"/>
    <w:semiHidden/>
    <w:rsid w:val="003A11FB"/>
    <w:rPr>
      <w:b/>
      <w:i/>
      <w:lang w:val="nl-NL" w:eastAsia="nl-NL" w:bidi="ar-SA"/>
    </w:rPr>
  </w:style>
  <w:style w:type="character" w:customStyle="1" w:styleId="CharChar1">
    <w:name w:val="Char Char1"/>
    <w:semiHidden/>
    <w:rsid w:val="003A11FB"/>
    <w:rPr>
      <w:lang w:val="nl-NL" w:eastAsia="nl-NL" w:bidi="ar-SA"/>
    </w:rPr>
  </w:style>
  <w:style w:type="character" w:customStyle="1" w:styleId="CharChar4">
    <w:name w:val="Char Char4"/>
    <w:semiHidden/>
    <w:rsid w:val="003A11FB"/>
    <w:rPr>
      <w:b/>
      <w:sz w:val="24"/>
      <w:lang w:val="nl-NL" w:eastAsia="nl-NL" w:bidi="ar-SA"/>
    </w:rPr>
  </w:style>
  <w:style w:type="paragraph" w:customStyle="1" w:styleId="Tahomatekst">
    <w:name w:val="Tahoma tekst"/>
    <w:basedOn w:val="Standaard"/>
    <w:semiHidden/>
    <w:rsid w:val="003A11FB"/>
    <w:pPr>
      <w:autoSpaceDE w:val="0"/>
      <w:autoSpaceDN w:val="0"/>
      <w:spacing w:before="0" w:after="0"/>
      <w:ind w:left="0"/>
    </w:pPr>
    <w:rPr>
      <w:rFonts w:ascii="Tahoma" w:hAnsi="Tahoma" w:cs="Tahoma"/>
      <w:noProof/>
      <w:lang w:val="en-US"/>
    </w:rPr>
  </w:style>
  <w:style w:type="paragraph" w:styleId="Plattetekst2">
    <w:name w:val="Body Text 2"/>
    <w:basedOn w:val="Standaard"/>
    <w:link w:val="Plattetekst2Char"/>
    <w:rsid w:val="003A11FB"/>
    <w:pPr>
      <w:spacing w:line="480" w:lineRule="auto"/>
    </w:pPr>
  </w:style>
  <w:style w:type="character" w:customStyle="1" w:styleId="PlattetekstinspringenCharCharChar">
    <w:name w:val="Platte tekst inspringen Char Char Char"/>
    <w:semiHidden/>
    <w:rsid w:val="003A11FB"/>
    <w:rPr>
      <w:lang w:val="nl-NL" w:eastAsia="nl-NL" w:bidi="ar-SA"/>
    </w:rPr>
  </w:style>
  <w:style w:type="paragraph" w:customStyle="1" w:styleId="StandaardUitvullen">
    <w:name w:val="Standaard + Uitvullen"/>
    <w:basedOn w:val="Standaard"/>
    <w:link w:val="StandaardUitvullenChar1"/>
    <w:rsid w:val="003A11FB"/>
  </w:style>
  <w:style w:type="character" w:customStyle="1" w:styleId="StandaardUitvullenChar1">
    <w:name w:val="Standaard + Uitvullen Char1"/>
    <w:link w:val="StandaardUitvullen"/>
    <w:rsid w:val="003A11FB"/>
    <w:rPr>
      <w:lang w:val="nl-NL" w:eastAsia="nl-NL" w:bidi="ar-SA"/>
    </w:rPr>
  </w:style>
  <w:style w:type="character" w:customStyle="1" w:styleId="StandaardUitvullenChar">
    <w:name w:val="Standaard + Uitvullen Char"/>
    <w:rsid w:val="003A11FB"/>
    <w:rPr>
      <w:lang w:val="nl-NL" w:eastAsia="nl-NL" w:bidi="ar-SA"/>
    </w:rPr>
  </w:style>
  <w:style w:type="paragraph" w:customStyle="1" w:styleId="OpmaakprofielKop3RegelafstandAnderhalf">
    <w:name w:val="Opmaakprofiel Kop 3 + Regelafstand:  Anderhalf"/>
    <w:basedOn w:val="Kop3"/>
    <w:autoRedefine/>
    <w:semiHidden/>
    <w:rsid w:val="003A11FB"/>
    <w:pPr>
      <w:tabs>
        <w:tab w:val="left" w:pos="2160"/>
      </w:tabs>
      <w:spacing w:before="0" w:after="120" w:line="360" w:lineRule="auto"/>
      <w:jc w:val="left"/>
      <w:outlineLvl w:val="9"/>
    </w:pPr>
    <w:rPr>
      <w:rFonts w:cs="Arial"/>
      <w:b/>
      <w:iCs/>
      <w:smallCaps w:val="0"/>
      <w:sz w:val="22"/>
      <w:szCs w:val="22"/>
      <w:lang w:val="nl-BE" w:eastAsia="en-US"/>
    </w:rPr>
  </w:style>
  <w:style w:type="paragraph" w:styleId="Bloktekst">
    <w:name w:val="Block Text"/>
    <w:basedOn w:val="Standaard"/>
    <w:rsid w:val="003A11FB"/>
    <w:pPr>
      <w:tabs>
        <w:tab w:val="left" w:pos="288"/>
        <w:tab w:val="left" w:pos="432"/>
        <w:tab w:val="left" w:pos="5616"/>
        <w:tab w:val="left" w:pos="10656"/>
      </w:tabs>
      <w:spacing w:after="60"/>
      <w:ind w:right="-58"/>
    </w:pPr>
    <w:rPr>
      <w:b/>
    </w:rPr>
  </w:style>
  <w:style w:type="character" w:styleId="Zwaar">
    <w:name w:val="Strong"/>
    <w:uiPriority w:val="22"/>
    <w:qFormat/>
    <w:rsid w:val="003A11FB"/>
    <w:rPr>
      <w:b/>
    </w:rPr>
  </w:style>
  <w:style w:type="paragraph" w:customStyle="1" w:styleId="Normaal">
    <w:name w:val="Normaal"/>
    <w:semiHidden/>
    <w:rsid w:val="003A11FB"/>
    <w:pPr>
      <w:widowControl w:val="0"/>
      <w:spacing w:before="100" w:after="100"/>
    </w:pPr>
    <w:rPr>
      <w:snapToGrid w:val="0"/>
      <w:sz w:val="24"/>
      <w:lang w:val="nl-NL" w:eastAsia="nl-NL"/>
    </w:rPr>
  </w:style>
  <w:style w:type="paragraph" w:customStyle="1" w:styleId="TITEL1">
    <w:name w:val="TITEL"/>
    <w:basedOn w:val="Standaard"/>
    <w:next w:val="Standaard"/>
    <w:rsid w:val="003A11FB"/>
    <w:pPr>
      <w:pBdr>
        <w:top w:val="single" w:sz="24" w:space="1" w:color="auto"/>
        <w:bottom w:val="double" w:sz="12" w:space="1" w:color="auto"/>
      </w:pBdr>
      <w:shd w:val="clear" w:color="auto" w:fill="CCCCCC"/>
      <w:spacing w:before="0" w:after="480"/>
      <w:ind w:left="0"/>
      <w:jc w:val="center"/>
    </w:pPr>
    <w:rPr>
      <w:rFonts w:ascii="Broadway" w:hAnsi="Broadway"/>
      <w:spacing w:val="60"/>
      <w:sz w:val="36"/>
      <w:szCs w:val="36"/>
      <w:lang w:val="en-US"/>
    </w:rPr>
  </w:style>
  <w:style w:type="paragraph" w:customStyle="1" w:styleId="PRIJS">
    <w:name w:val="PRIJS"/>
    <w:basedOn w:val="Standaard"/>
    <w:semiHidden/>
    <w:rsid w:val="003A11FB"/>
    <w:pPr>
      <w:tabs>
        <w:tab w:val="left" w:pos="1701"/>
        <w:tab w:val="right" w:leader="dot" w:pos="6804"/>
      </w:tabs>
      <w:spacing w:before="0" w:after="0"/>
      <w:ind w:left="0"/>
    </w:pPr>
    <w:rPr>
      <w:sz w:val="24"/>
    </w:rPr>
  </w:style>
  <w:style w:type="paragraph" w:customStyle="1" w:styleId="OPM">
    <w:name w:val="OPM"/>
    <w:basedOn w:val="Standaard"/>
    <w:next w:val="Standaard"/>
    <w:semiHidden/>
    <w:rsid w:val="003A11FB"/>
    <w:pPr>
      <w:keepLines/>
      <w:numPr>
        <w:numId w:val="14"/>
      </w:numPr>
      <w:spacing w:before="0" w:after="0"/>
    </w:pPr>
    <w:rPr>
      <w:i/>
      <w:sz w:val="22"/>
      <w:szCs w:val="22"/>
    </w:rPr>
  </w:style>
  <w:style w:type="paragraph" w:customStyle="1" w:styleId="BEL">
    <w:name w:val="BEL"/>
    <w:basedOn w:val="Standaard"/>
    <w:next w:val="Standaard"/>
    <w:rsid w:val="003A11FB"/>
    <w:pPr>
      <w:numPr>
        <w:numId w:val="13"/>
      </w:numPr>
      <w:spacing w:before="360" w:after="360"/>
    </w:pPr>
    <w:rPr>
      <w:b/>
      <w:sz w:val="28"/>
      <w:szCs w:val="28"/>
    </w:rPr>
  </w:style>
  <w:style w:type="character" w:customStyle="1" w:styleId="EFFECT">
    <w:name w:val="EFFECT"/>
    <w:semiHidden/>
    <w:rsid w:val="003A11FB"/>
    <w:rPr>
      <w:color w:val="0000FF"/>
      <w:u w:val="double"/>
      <w:lang w:val="nl-NL"/>
    </w:rPr>
  </w:style>
  <w:style w:type="paragraph" w:customStyle="1" w:styleId="VGL">
    <w:name w:val="VGL"/>
    <w:basedOn w:val="Standaard"/>
    <w:semiHidden/>
    <w:rsid w:val="003A11FB"/>
    <w:pPr>
      <w:tabs>
        <w:tab w:val="left" w:pos="567"/>
        <w:tab w:val="center" w:pos="3402"/>
        <w:tab w:val="left" w:pos="6237"/>
      </w:tabs>
      <w:spacing w:before="0" w:after="0"/>
      <w:ind w:left="0"/>
    </w:pPr>
  </w:style>
  <w:style w:type="paragraph" w:customStyle="1" w:styleId="OVERZICHT">
    <w:name w:val="OVERZICHT"/>
    <w:basedOn w:val="Standaard"/>
    <w:next w:val="VGL"/>
    <w:semiHidden/>
    <w:rsid w:val="003A11FB"/>
    <w:pPr>
      <w:numPr>
        <w:numId w:val="15"/>
      </w:numPr>
      <w:spacing w:before="360"/>
    </w:pPr>
    <w:rPr>
      <w:i/>
      <w:sz w:val="28"/>
      <w:szCs w:val="24"/>
    </w:rPr>
  </w:style>
  <w:style w:type="paragraph" w:customStyle="1" w:styleId="BESLUIT">
    <w:name w:val="BESLUIT"/>
    <w:basedOn w:val="Standaard"/>
    <w:rsid w:val="003A11FB"/>
    <w:pPr>
      <w:numPr>
        <w:numId w:val="16"/>
      </w:numPr>
      <w:spacing w:before="480" w:after="0"/>
    </w:pPr>
    <w:rPr>
      <w:b/>
      <w:sz w:val="24"/>
      <w:szCs w:val="24"/>
    </w:rPr>
  </w:style>
  <w:style w:type="character" w:styleId="GevolgdeHyperlink">
    <w:name w:val="FollowedHyperlink"/>
    <w:rsid w:val="003A11FB"/>
    <w:rPr>
      <w:color w:val="FF0000"/>
      <w:u w:val="single"/>
    </w:rPr>
  </w:style>
  <w:style w:type="paragraph" w:customStyle="1" w:styleId="Kop10">
    <w:name w:val="Kop_1"/>
    <w:basedOn w:val="Kop1"/>
    <w:autoRedefine/>
    <w:rsid w:val="003A11FB"/>
    <w:pPr>
      <w:pageBreakBefore w:val="0"/>
      <w:shd w:val="clear" w:color="auto" w:fill="auto"/>
      <w:spacing w:before="0" w:after="120" w:line="360" w:lineRule="auto"/>
      <w:ind w:right="0"/>
      <w:jc w:val="left"/>
      <w:outlineLvl w:val="9"/>
    </w:pPr>
    <w:rPr>
      <w:bCs/>
      <w:caps w:val="0"/>
      <w:sz w:val="32"/>
      <w:szCs w:val="32"/>
      <w:lang w:val="nl-BE" w:eastAsia="en-US"/>
    </w:rPr>
  </w:style>
  <w:style w:type="paragraph" w:customStyle="1" w:styleId="OpmaakprofielKop2Arial14ptNietVetLinks0cmEersteregel">
    <w:name w:val="Opmaakprofiel Kop 2 + Arial 14 pt Niet Vet Links:  0 cm Eerste regel:  ..."/>
    <w:basedOn w:val="Kop2"/>
    <w:autoRedefine/>
    <w:semiHidden/>
    <w:rsid w:val="003A11FB"/>
    <w:pPr>
      <w:spacing w:before="0" w:after="0"/>
    </w:pPr>
    <w:rPr>
      <w:b w:val="0"/>
      <w:caps w:val="0"/>
      <w:sz w:val="28"/>
      <w:lang w:val="nl-BE" w:eastAsia="en-US"/>
    </w:rPr>
  </w:style>
  <w:style w:type="paragraph" w:customStyle="1" w:styleId="BodyText5Numbered">
    <w:name w:val="Body Text 5 Numbered"/>
    <w:basedOn w:val="Standaard"/>
    <w:semiHidden/>
    <w:rsid w:val="003A11FB"/>
    <w:pPr>
      <w:numPr>
        <w:numId w:val="17"/>
      </w:numPr>
      <w:tabs>
        <w:tab w:val="clear" w:pos="737"/>
        <w:tab w:val="num" w:pos="360"/>
      </w:tabs>
      <w:spacing w:before="0" w:after="260" w:line="300" w:lineRule="atLeast"/>
      <w:ind w:left="0" w:firstLine="0"/>
    </w:pPr>
    <w:rPr>
      <w:sz w:val="22"/>
      <w:szCs w:val="22"/>
      <w:lang w:val="nl-BE" w:eastAsia="en-US"/>
    </w:rPr>
  </w:style>
  <w:style w:type="paragraph" w:customStyle="1" w:styleId="BodyText21">
    <w:name w:val="Body Text 21"/>
    <w:basedOn w:val="Standaard"/>
    <w:semiHidden/>
    <w:rsid w:val="003A11FB"/>
    <w:pPr>
      <w:spacing w:before="0" w:after="0"/>
      <w:ind w:left="0"/>
    </w:pPr>
    <w:rPr>
      <w:sz w:val="24"/>
    </w:rPr>
  </w:style>
  <w:style w:type="paragraph" w:customStyle="1" w:styleId="Memo">
    <w:name w:val="Memo"/>
    <w:basedOn w:val="Standaard"/>
    <w:semiHidden/>
    <w:rsid w:val="003A11FB"/>
    <w:pPr>
      <w:widowControl w:val="0"/>
      <w:spacing w:before="0" w:after="0"/>
      <w:ind w:left="0"/>
    </w:pPr>
    <w:rPr>
      <w:sz w:val="32"/>
      <w:szCs w:val="22"/>
      <w:lang w:val="en-GB" w:eastAsia="en-US"/>
    </w:rPr>
  </w:style>
  <w:style w:type="character" w:customStyle="1" w:styleId="Kop1Char0">
    <w:name w:val="Kop_1 Char"/>
    <w:semiHidden/>
    <w:rsid w:val="003A11FB"/>
    <w:rPr>
      <w:rFonts w:ascii="Arial" w:hAnsi="Arial"/>
      <w:b/>
      <w:bCs/>
      <w:sz w:val="32"/>
      <w:szCs w:val="32"/>
      <w:lang w:val="nl-BE" w:eastAsia="en-US" w:bidi="ar-SA"/>
    </w:rPr>
  </w:style>
  <w:style w:type="character" w:customStyle="1" w:styleId="BodyText2Char">
    <w:name w:val="Body Text 2 Char"/>
    <w:rsid w:val="003A11FB"/>
    <w:rPr>
      <w:noProof w:val="0"/>
      <w:sz w:val="24"/>
      <w:lang w:val="nl-NL" w:eastAsia="nl-NL" w:bidi="ar-SA"/>
    </w:rPr>
  </w:style>
  <w:style w:type="paragraph" w:customStyle="1" w:styleId="H4">
    <w:name w:val="H4"/>
    <w:basedOn w:val="Normaal"/>
    <w:next w:val="Normaal"/>
    <w:semiHidden/>
    <w:rsid w:val="003A11FB"/>
    <w:pPr>
      <w:keepNext/>
      <w:outlineLvl w:val="4"/>
    </w:pPr>
    <w:rPr>
      <w:b/>
    </w:rPr>
  </w:style>
  <w:style w:type="paragraph" w:customStyle="1" w:styleId="MapTitleContinued">
    <w:name w:val="Map Title. Continued"/>
    <w:basedOn w:val="Standaard"/>
    <w:next w:val="Standaard"/>
    <w:semiHidden/>
    <w:rsid w:val="00DE7984"/>
    <w:pPr>
      <w:keepNext/>
      <w:overflowPunct w:val="0"/>
      <w:autoSpaceDE w:val="0"/>
      <w:autoSpaceDN w:val="0"/>
      <w:adjustRightInd w:val="0"/>
      <w:spacing w:after="240"/>
      <w:ind w:left="-1701"/>
    </w:pPr>
    <w:rPr>
      <w:rFonts w:ascii="Helvetica" w:hAnsi="Helvetica"/>
      <w:b/>
      <w:sz w:val="32"/>
    </w:rPr>
  </w:style>
  <w:style w:type="paragraph" w:customStyle="1" w:styleId="Bloktekst1">
    <w:name w:val="Bloktekst1"/>
    <w:basedOn w:val="Standaard"/>
    <w:rsid w:val="00DE7984"/>
    <w:pPr>
      <w:overflowPunct w:val="0"/>
      <w:autoSpaceDE w:val="0"/>
      <w:autoSpaceDN w:val="0"/>
      <w:adjustRightInd w:val="0"/>
      <w:spacing w:after="60"/>
      <w:ind w:left="0"/>
    </w:pPr>
    <w:rPr>
      <w:sz w:val="22"/>
    </w:rPr>
  </w:style>
  <w:style w:type="paragraph" w:styleId="Ballontekst">
    <w:name w:val="Balloon Text"/>
    <w:basedOn w:val="Standaard"/>
    <w:link w:val="BallontekstChar"/>
    <w:uiPriority w:val="99"/>
    <w:semiHidden/>
    <w:rsid w:val="000D5CBD"/>
    <w:rPr>
      <w:rFonts w:ascii="Tahoma" w:hAnsi="Tahoma" w:cs="Tahoma"/>
      <w:sz w:val="16"/>
      <w:szCs w:val="16"/>
    </w:rPr>
  </w:style>
  <w:style w:type="table" w:styleId="Tabelraster">
    <w:name w:val="Table Grid"/>
    <w:basedOn w:val="Standaardtabel"/>
    <w:uiPriority w:val="39"/>
    <w:rsid w:val="001C1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eling0">
    <w:name w:val="afdeling"/>
    <w:basedOn w:val="Kop3"/>
    <w:semiHidden/>
    <w:rsid w:val="00780792"/>
    <w:pPr>
      <w:jc w:val="left"/>
    </w:pPr>
  </w:style>
  <w:style w:type="paragraph" w:customStyle="1" w:styleId="OpmaakprofielUitvullen">
    <w:name w:val="Opmaakprofiel Uitvullen"/>
    <w:basedOn w:val="Standaard"/>
    <w:semiHidden/>
    <w:rsid w:val="00780792"/>
  </w:style>
  <w:style w:type="paragraph" w:customStyle="1" w:styleId="OpmaakprofielKop1Links">
    <w:name w:val="Opmaakprofiel Kop 1 + Links"/>
    <w:basedOn w:val="Kop1"/>
    <w:semiHidden/>
    <w:rsid w:val="00780792"/>
    <w:pPr>
      <w:jc w:val="left"/>
    </w:pPr>
    <w:rPr>
      <w:bCs/>
      <w:szCs w:val="20"/>
    </w:rPr>
  </w:style>
  <w:style w:type="paragraph" w:customStyle="1" w:styleId="Hoofdstukarial">
    <w:name w:val="Hoofdstukarial"/>
    <w:basedOn w:val="Kop2"/>
    <w:rsid w:val="0025191B"/>
  </w:style>
  <w:style w:type="character" w:customStyle="1" w:styleId="Kop5Char">
    <w:name w:val="Kop 5 Char"/>
    <w:link w:val="Kop5"/>
    <w:rsid w:val="000A3F24"/>
    <w:rPr>
      <w:rFonts w:ascii="Arial" w:hAnsi="Arial"/>
      <w:b/>
      <w:lang w:val="nl-NL" w:eastAsia="nl-NL" w:bidi="ar-SA"/>
    </w:rPr>
  </w:style>
  <w:style w:type="paragraph" w:styleId="Documentstructuur">
    <w:name w:val="Document Map"/>
    <w:basedOn w:val="Standaard"/>
    <w:link w:val="DocumentstructuurChar"/>
    <w:semiHidden/>
    <w:rsid w:val="008A02F2"/>
    <w:pPr>
      <w:shd w:val="clear" w:color="auto" w:fill="000080"/>
    </w:pPr>
    <w:rPr>
      <w:rFonts w:ascii="Tahoma" w:hAnsi="Tahoma" w:cs="Tahoma"/>
    </w:rPr>
  </w:style>
  <w:style w:type="character" w:customStyle="1" w:styleId="Kop1Char">
    <w:name w:val="Kop 1 Char"/>
    <w:link w:val="Kop1"/>
    <w:uiPriority w:val="1"/>
    <w:rsid w:val="00A86975"/>
    <w:rPr>
      <w:rFonts w:ascii="Arial" w:hAnsi="Arial"/>
      <w:b/>
      <w:caps/>
      <w:sz w:val="34"/>
      <w:szCs w:val="34"/>
      <w:lang w:val="nl-NL" w:eastAsia="nl-NL" w:bidi="ar-SA"/>
    </w:rPr>
  </w:style>
  <w:style w:type="paragraph" w:customStyle="1" w:styleId="1-Standjust">
    <w:name w:val="1 - Stand just"/>
    <w:rsid w:val="00A86975"/>
    <w:pPr>
      <w:jc w:val="both"/>
    </w:pPr>
    <w:rPr>
      <w:rFonts w:ascii="Arial" w:hAnsi="Arial"/>
      <w:color w:val="000000"/>
      <w:lang w:val="fr-FR" w:eastAsia="fr-FR"/>
    </w:rPr>
  </w:style>
  <w:style w:type="paragraph" w:customStyle="1" w:styleId="6-1erRET6AV">
    <w:name w:val="6 - 1er RET 6 AV"/>
    <w:basedOn w:val="1-Standjust"/>
    <w:rsid w:val="00A86975"/>
    <w:pPr>
      <w:spacing w:before="120"/>
      <w:ind w:left="340" w:hanging="340"/>
    </w:pPr>
  </w:style>
  <w:style w:type="paragraph" w:styleId="Lijstalinea">
    <w:name w:val="List Paragraph"/>
    <w:basedOn w:val="Standaard"/>
    <w:uiPriority w:val="34"/>
    <w:qFormat/>
    <w:rsid w:val="00D7722F"/>
    <w:pPr>
      <w:ind w:left="720"/>
      <w:contextualSpacing/>
    </w:pPr>
  </w:style>
  <w:style w:type="table" w:customStyle="1" w:styleId="Tabelraster1">
    <w:name w:val="Tabelraster1"/>
    <w:basedOn w:val="Standaardtabel"/>
    <w:next w:val="Tabelraster"/>
    <w:uiPriority w:val="59"/>
    <w:rsid w:val="000825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884E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link w:val="Voetnoottekst"/>
    <w:uiPriority w:val="99"/>
    <w:rsid w:val="007405B4"/>
    <w:rPr>
      <w:rFonts w:ascii="Arial" w:hAnsi="Arial"/>
      <w:lang w:val="nl-NL" w:eastAsia="nl-NL"/>
    </w:rPr>
  </w:style>
  <w:style w:type="character" w:customStyle="1" w:styleId="Plattetekst2Char">
    <w:name w:val="Platte tekst 2 Char"/>
    <w:link w:val="Plattetekst2"/>
    <w:rsid w:val="006E7043"/>
    <w:rPr>
      <w:rFonts w:ascii="Arial" w:hAnsi="Arial"/>
      <w:lang w:val="nl-NL" w:eastAsia="nl-NL"/>
    </w:rPr>
  </w:style>
  <w:style w:type="character" w:customStyle="1" w:styleId="Kop6Char">
    <w:name w:val="Kop 6 Char"/>
    <w:link w:val="Kop6"/>
    <w:rsid w:val="00156D6A"/>
    <w:rPr>
      <w:rFonts w:ascii="Arial" w:hAnsi="Arial"/>
      <w:b/>
      <w:i/>
      <w:lang w:val="nl-NL" w:eastAsia="nl-NL"/>
    </w:rPr>
  </w:style>
  <w:style w:type="paragraph" w:customStyle="1" w:styleId="Default">
    <w:name w:val="Default"/>
    <w:rsid w:val="007C0240"/>
    <w:pPr>
      <w:autoSpaceDE w:val="0"/>
      <w:autoSpaceDN w:val="0"/>
      <w:adjustRightInd w:val="0"/>
    </w:pPr>
    <w:rPr>
      <w:rFonts w:ascii="Bookman Old Style" w:hAnsi="Bookman Old Style" w:cs="Bookman Old Style"/>
      <w:color w:val="000000"/>
      <w:sz w:val="24"/>
      <w:szCs w:val="24"/>
    </w:rPr>
  </w:style>
  <w:style w:type="character" w:styleId="Nadruk">
    <w:name w:val="Emphasis"/>
    <w:uiPriority w:val="20"/>
    <w:qFormat/>
    <w:rsid w:val="009A1552"/>
    <w:rPr>
      <w:i/>
      <w:iCs/>
    </w:rPr>
  </w:style>
  <w:style w:type="character" w:customStyle="1" w:styleId="Kop3Char">
    <w:name w:val="Kop 3 Char"/>
    <w:link w:val="Kop3"/>
    <w:uiPriority w:val="9"/>
    <w:rsid w:val="00AA08B3"/>
    <w:rPr>
      <w:rFonts w:ascii="Arial" w:hAnsi="Arial"/>
      <w:smallCaps/>
      <w:lang w:val="nl-NL" w:eastAsia="nl-NL"/>
    </w:rPr>
  </w:style>
  <w:style w:type="paragraph" w:customStyle="1" w:styleId="Plattetekst210">
    <w:name w:val="Platte tekst 210"/>
    <w:basedOn w:val="Standaard"/>
    <w:rsid w:val="00F34EEB"/>
    <w:pPr>
      <w:ind w:left="284"/>
    </w:pPr>
    <w:rPr>
      <w:rFonts w:ascii="Times New Roman" w:hAnsi="Times New Roman"/>
    </w:rPr>
  </w:style>
  <w:style w:type="character" w:styleId="Vermelding">
    <w:name w:val="Mention"/>
    <w:uiPriority w:val="99"/>
    <w:semiHidden/>
    <w:unhideWhenUsed/>
    <w:rsid w:val="00590FCB"/>
    <w:rPr>
      <w:color w:val="2B579A"/>
      <w:shd w:val="clear" w:color="auto" w:fill="E6E6E6"/>
    </w:rPr>
  </w:style>
  <w:style w:type="table" w:customStyle="1" w:styleId="NormalTable0">
    <w:name w:val="Normal Table0"/>
    <w:uiPriority w:val="2"/>
    <w:semiHidden/>
    <w:unhideWhenUsed/>
    <w:qFormat/>
    <w:rsid w:val="003244E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3244E3"/>
    <w:pPr>
      <w:widowControl w:val="0"/>
      <w:autoSpaceDE w:val="0"/>
      <w:autoSpaceDN w:val="0"/>
      <w:spacing w:before="0" w:after="0" w:line="243" w:lineRule="exact"/>
      <w:ind w:left="0"/>
      <w:jc w:val="right"/>
    </w:pPr>
    <w:rPr>
      <w:rFonts w:ascii="Calibri" w:eastAsia="Calibri" w:hAnsi="Calibri" w:cs="Calibri"/>
      <w:sz w:val="22"/>
      <w:szCs w:val="22"/>
      <w:lang w:eastAsia="en-US"/>
    </w:rPr>
  </w:style>
  <w:style w:type="character" w:customStyle="1" w:styleId="BallontekstChar">
    <w:name w:val="Ballontekst Char"/>
    <w:link w:val="Ballontekst"/>
    <w:uiPriority w:val="99"/>
    <w:semiHidden/>
    <w:rsid w:val="003244E3"/>
    <w:rPr>
      <w:rFonts w:ascii="Tahoma" w:hAnsi="Tahoma" w:cs="Tahoma"/>
      <w:sz w:val="16"/>
      <w:szCs w:val="16"/>
      <w:lang w:val="nl-NL" w:eastAsia="nl-NL"/>
    </w:rPr>
  </w:style>
  <w:style w:type="character" w:customStyle="1" w:styleId="KoptekstChar">
    <w:name w:val="Koptekst Char"/>
    <w:link w:val="Koptekst"/>
    <w:uiPriority w:val="99"/>
    <w:rsid w:val="003244E3"/>
    <w:rPr>
      <w:rFonts w:ascii="Arial" w:hAnsi="Arial"/>
      <w:sz w:val="24"/>
      <w:lang w:val="nl-NL" w:eastAsia="nl-NL"/>
    </w:rPr>
  </w:style>
  <w:style w:type="character" w:customStyle="1" w:styleId="VoettekstChar">
    <w:name w:val="Voettekst Char"/>
    <w:link w:val="Voettekst"/>
    <w:uiPriority w:val="99"/>
    <w:rsid w:val="003244E3"/>
    <w:rPr>
      <w:rFonts w:ascii="Arial" w:hAnsi="Arial"/>
      <w:sz w:val="24"/>
      <w:lang w:val="nl-NL" w:eastAsia="nl-NL"/>
    </w:rPr>
  </w:style>
  <w:style w:type="paragraph" w:styleId="Kopvaninhoudsopgave">
    <w:name w:val="TOC Heading"/>
    <w:basedOn w:val="Kop1"/>
    <w:next w:val="Standaard"/>
    <w:uiPriority w:val="39"/>
    <w:unhideWhenUsed/>
    <w:qFormat/>
    <w:rsid w:val="003244E3"/>
    <w:pPr>
      <w:keepLines/>
      <w:pageBreakBefore w:val="0"/>
      <w:shd w:val="clear" w:color="auto" w:fill="auto"/>
      <w:spacing w:before="240" w:after="0" w:line="259" w:lineRule="auto"/>
      <w:ind w:right="0"/>
      <w:jc w:val="left"/>
      <w:outlineLvl w:val="9"/>
    </w:pPr>
    <w:rPr>
      <w:rFonts w:ascii="Cambria" w:hAnsi="Cambria"/>
      <w:b w:val="0"/>
      <w:caps w:val="0"/>
      <w:color w:val="365F91"/>
      <w:sz w:val="32"/>
      <w:szCs w:val="32"/>
      <w:lang w:val="nl-BE" w:eastAsia="nl-BE"/>
    </w:rPr>
  </w:style>
  <w:style w:type="paragraph" w:styleId="Normaalweb">
    <w:name w:val="Normal (Web)"/>
    <w:basedOn w:val="Standaard"/>
    <w:uiPriority w:val="99"/>
    <w:semiHidden/>
    <w:unhideWhenUsed/>
    <w:rsid w:val="009F7359"/>
    <w:pPr>
      <w:spacing w:before="100" w:beforeAutospacing="1" w:after="100" w:afterAutospacing="1"/>
      <w:ind w:left="0"/>
      <w:jc w:val="left"/>
    </w:pPr>
    <w:rPr>
      <w:rFonts w:ascii="Times New Roman" w:eastAsia="Calibri" w:hAnsi="Times New Roman"/>
      <w:sz w:val="24"/>
      <w:szCs w:val="24"/>
      <w:lang w:val="nl-BE" w:eastAsia="nl-BE"/>
    </w:rPr>
  </w:style>
  <w:style w:type="paragraph" w:styleId="Tekstopmerking">
    <w:name w:val="annotation text"/>
    <w:basedOn w:val="Standaard"/>
    <w:link w:val="TekstopmerkingChar"/>
    <w:uiPriority w:val="99"/>
    <w:unhideWhenUsed/>
    <w:rsid w:val="00FF05EC"/>
  </w:style>
  <w:style w:type="character" w:customStyle="1" w:styleId="TekstopmerkingChar">
    <w:name w:val="Tekst opmerking Char"/>
    <w:basedOn w:val="Standaardalinea-lettertype"/>
    <w:link w:val="Tekstopmerking"/>
    <w:uiPriority w:val="99"/>
    <w:rsid w:val="00FF05EC"/>
    <w:rPr>
      <w:rFonts w:ascii="Arial" w:hAnsi="Arial"/>
      <w:lang w:val="nl-NL" w:eastAsia="nl-NL"/>
    </w:rPr>
  </w:style>
  <w:style w:type="character" w:styleId="Verwijzingopmerking">
    <w:name w:val="annotation reference"/>
    <w:uiPriority w:val="99"/>
    <w:semiHidden/>
    <w:unhideWhenUsed/>
    <w:rsid w:val="00FF05EC"/>
    <w:rPr>
      <w:sz w:val="16"/>
      <w:szCs w:val="16"/>
    </w:rPr>
  </w:style>
  <w:style w:type="numbering" w:customStyle="1" w:styleId="Geenlijst1">
    <w:name w:val="Geen lijst1"/>
    <w:next w:val="Geenlijst"/>
    <w:uiPriority w:val="99"/>
    <w:semiHidden/>
    <w:unhideWhenUsed/>
    <w:rsid w:val="00DB12ED"/>
  </w:style>
  <w:style w:type="character" w:customStyle="1" w:styleId="Kop2Char">
    <w:name w:val="Kop 2 Char"/>
    <w:aliases w:val="hoofdstukA Char"/>
    <w:basedOn w:val="Standaardalinea-lettertype"/>
    <w:link w:val="Kop2"/>
    <w:uiPriority w:val="1"/>
    <w:rsid w:val="00B44CF7"/>
    <w:rPr>
      <w:rFonts w:ascii="Arial" w:hAnsi="Arial"/>
      <w:b/>
      <w:caps/>
      <w:sz w:val="16"/>
      <w:szCs w:val="16"/>
      <w:lang w:val="nl-NL" w:eastAsia="nl-NL"/>
    </w:rPr>
  </w:style>
  <w:style w:type="paragraph" w:customStyle="1" w:styleId="Onderwerpvanopmerking1">
    <w:name w:val="Onderwerp van opmerking1"/>
    <w:basedOn w:val="Tekstopmerking"/>
    <w:next w:val="Tekstopmerking"/>
    <w:uiPriority w:val="99"/>
    <w:semiHidden/>
    <w:unhideWhenUsed/>
    <w:rsid w:val="00DB12ED"/>
    <w:pPr>
      <w:spacing w:before="0" w:after="160"/>
      <w:ind w:left="0"/>
      <w:jc w:val="left"/>
    </w:pPr>
    <w:rPr>
      <w:rFonts w:ascii="Calibri" w:eastAsia="Calibri" w:hAnsi="Calibri"/>
      <w:b/>
      <w:bCs/>
      <w:kern w:val="2"/>
      <w:lang w:val="nl-BE"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DB12ED"/>
    <w:rPr>
      <w:rFonts w:ascii="Arial" w:eastAsia="Times New Roman" w:hAnsi="Arial" w:cs="Times New Roman"/>
      <w:b/>
      <w:bCs/>
      <w:kern w:val="0"/>
      <w:sz w:val="20"/>
      <w:szCs w:val="20"/>
      <w:lang w:val="nl-NL" w:eastAsia="nl-NL"/>
      <w14:ligatures w14:val="none"/>
    </w:rPr>
  </w:style>
  <w:style w:type="character" w:customStyle="1" w:styleId="Kop4Char">
    <w:name w:val="Kop 4 Char"/>
    <w:basedOn w:val="Standaardalinea-lettertype"/>
    <w:link w:val="Kop4"/>
    <w:rsid w:val="00DB12ED"/>
    <w:rPr>
      <w:rFonts w:ascii="Arial" w:hAnsi="Arial"/>
      <w:b/>
      <w:sz w:val="24"/>
      <w:shd w:val="pct10" w:color="auto" w:fill="auto"/>
      <w:lang w:val="nl-NL" w:eastAsia="nl-NL"/>
    </w:rPr>
  </w:style>
  <w:style w:type="character" w:customStyle="1" w:styleId="Kop7Char">
    <w:name w:val="Kop 7 Char"/>
    <w:basedOn w:val="Standaardalinea-lettertype"/>
    <w:link w:val="Kop7"/>
    <w:rsid w:val="00DB12ED"/>
    <w:rPr>
      <w:rFonts w:ascii="Arial" w:hAnsi="Arial"/>
      <w:sz w:val="24"/>
      <w:szCs w:val="24"/>
      <w:lang w:val="nl-NL" w:eastAsia="nl-NL"/>
    </w:rPr>
  </w:style>
  <w:style w:type="character" w:customStyle="1" w:styleId="Kop8Char">
    <w:name w:val="Kop 8 Char"/>
    <w:basedOn w:val="Standaardalinea-lettertype"/>
    <w:link w:val="Kop8"/>
    <w:rsid w:val="00DB12ED"/>
    <w:rPr>
      <w:rFonts w:ascii="Arial" w:hAnsi="Arial"/>
      <w:i/>
      <w:iCs/>
      <w:sz w:val="24"/>
      <w:szCs w:val="24"/>
      <w:lang w:val="nl-NL" w:eastAsia="nl-NL"/>
    </w:rPr>
  </w:style>
  <w:style w:type="character" w:customStyle="1" w:styleId="Kop9Char">
    <w:name w:val="Kop 9 Char"/>
    <w:basedOn w:val="Standaardalinea-lettertype"/>
    <w:link w:val="Kop9"/>
    <w:rsid w:val="00DB12ED"/>
    <w:rPr>
      <w:rFonts w:ascii="Arial" w:hAnsi="Arial" w:cs="Arial"/>
      <w:sz w:val="22"/>
      <w:szCs w:val="22"/>
      <w:lang w:val="nl-NL" w:eastAsia="nl-NL"/>
    </w:rPr>
  </w:style>
  <w:style w:type="numbering" w:customStyle="1" w:styleId="Geenlijst11">
    <w:name w:val="Geen lijst11"/>
    <w:next w:val="Geenlijst"/>
    <w:uiPriority w:val="99"/>
    <w:semiHidden/>
    <w:unhideWhenUsed/>
    <w:rsid w:val="00DB12ED"/>
  </w:style>
  <w:style w:type="character" w:customStyle="1" w:styleId="TitelChar">
    <w:name w:val="Titel Char"/>
    <w:basedOn w:val="Standaardalinea-lettertype"/>
    <w:link w:val="Titel"/>
    <w:uiPriority w:val="1"/>
    <w:rsid w:val="00DB12ED"/>
    <w:rPr>
      <w:rFonts w:ascii="Arial" w:hAnsi="Arial"/>
      <w:b/>
      <w:kern w:val="28"/>
      <w:sz w:val="32"/>
      <w:lang w:val="nl-NL" w:eastAsia="nl-NL"/>
    </w:rPr>
  </w:style>
  <w:style w:type="character" w:customStyle="1" w:styleId="PlattetekstChar">
    <w:name w:val="Platte tekst Char"/>
    <w:basedOn w:val="Standaardalinea-lettertype"/>
    <w:link w:val="Plattetekst"/>
    <w:uiPriority w:val="1"/>
    <w:rsid w:val="00DB12ED"/>
    <w:rPr>
      <w:rFonts w:ascii="Arial" w:hAnsi="Arial"/>
      <w:lang w:val="nl-NL" w:eastAsia="nl-NL"/>
    </w:rPr>
  </w:style>
  <w:style w:type="character" w:customStyle="1" w:styleId="Plattetekst3Char">
    <w:name w:val="Platte tekst 3 Char"/>
    <w:basedOn w:val="Standaardalinea-lettertype"/>
    <w:link w:val="Plattetekst3"/>
    <w:rsid w:val="00DB12ED"/>
    <w:rPr>
      <w:rFonts w:ascii="Arial" w:hAnsi="Arial"/>
      <w:lang w:val="nl-NL" w:eastAsia="nl-NL"/>
    </w:rPr>
  </w:style>
  <w:style w:type="character" w:customStyle="1" w:styleId="Plattetekstinspringen3Char">
    <w:name w:val="Platte tekst inspringen 3 Char"/>
    <w:basedOn w:val="Standaardalinea-lettertype"/>
    <w:link w:val="Plattetekstinspringen3"/>
    <w:rsid w:val="00DB12ED"/>
    <w:rPr>
      <w:rFonts w:ascii="Arial" w:hAnsi="Arial"/>
      <w:i/>
      <w:sz w:val="22"/>
      <w:lang w:val="nl-NL" w:eastAsia="nl-NL"/>
    </w:rPr>
  </w:style>
  <w:style w:type="character" w:customStyle="1" w:styleId="Plattetekstinspringen2Char">
    <w:name w:val="Platte tekst inspringen 2 Char"/>
    <w:basedOn w:val="Standaardalinea-lettertype"/>
    <w:link w:val="Plattetekstinspringen2"/>
    <w:rsid w:val="00DB12ED"/>
    <w:rPr>
      <w:rFonts w:ascii="Arial" w:hAnsi="Arial"/>
      <w:lang w:val="nl-NL" w:eastAsia="nl-NL"/>
    </w:rPr>
  </w:style>
  <w:style w:type="character" w:customStyle="1" w:styleId="CharChar30">
    <w:name w:val="Char Char30"/>
    <w:semiHidden/>
    <w:rsid w:val="00DB12ED"/>
    <w:rPr>
      <w:b/>
      <w:lang w:val="nl-NL" w:eastAsia="nl-NL" w:bidi="ar-SA"/>
    </w:rPr>
  </w:style>
  <w:style w:type="character" w:customStyle="1" w:styleId="CharChar0">
    <w:name w:val="Char Char0"/>
    <w:semiHidden/>
    <w:rsid w:val="00DB12ED"/>
    <w:rPr>
      <w:lang w:val="nl-NL" w:eastAsia="nl-NL" w:bidi="ar-SA"/>
    </w:rPr>
  </w:style>
  <w:style w:type="character" w:customStyle="1" w:styleId="CharChar20">
    <w:name w:val="Char Char20"/>
    <w:semiHidden/>
    <w:rsid w:val="00DB12ED"/>
    <w:rPr>
      <w:b/>
      <w:i/>
      <w:lang w:val="nl-NL" w:eastAsia="nl-NL" w:bidi="ar-SA"/>
    </w:rPr>
  </w:style>
  <w:style w:type="character" w:customStyle="1" w:styleId="CharChar10">
    <w:name w:val="Char Char10"/>
    <w:semiHidden/>
    <w:rsid w:val="00DB12ED"/>
    <w:rPr>
      <w:lang w:val="nl-NL" w:eastAsia="nl-NL" w:bidi="ar-SA"/>
    </w:rPr>
  </w:style>
  <w:style w:type="character" w:customStyle="1" w:styleId="CharChar40">
    <w:name w:val="Char Char40"/>
    <w:semiHidden/>
    <w:rsid w:val="00DB12ED"/>
    <w:rPr>
      <w:b/>
      <w:sz w:val="24"/>
      <w:lang w:val="nl-NL" w:eastAsia="nl-NL" w:bidi="ar-SA"/>
    </w:rPr>
  </w:style>
  <w:style w:type="paragraph" w:customStyle="1" w:styleId="Bloktekst10">
    <w:name w:val="Bloktekst10"/>
    <w:basedOn w:val="Standaard"/>
    <w:rsid w:val="00DB12ED"/>
    <w:pPr>
      <w:overflowPunct w:val="0"/>
      <w:autoSpaceDE w:val="0"/>
      <w:autoSpaceDN w:val="0"/>
      <w:adjustRightInd w:val="0"/>
      <w:spacing w:after="60"/>
      <w:ind w:left="0"/>
    </w:pPr>
    <w:rPr>
      <w:sz w:val="22"/>
    </w:rPr>
  </w:style>
  <w:style w:type="character" w:customStyle="1" w:styleId="DocumentstructuurChar">
    <w:name w:val="Documentstructuur Char"/>
    <w:basedOn w:val="Standaardalinea-lettertype"/>
    <w:link w:val="Documentstructuur"/>
    <w:semiHidden/>
    <w:rsid w:val="00DB12ED"/>
    <w:rPr>
      <w:rFonts w:ascii="Tahoma" w:hAnsi="Tahoma" w:cs="Tahoma"/>
      <w:shd w:val="clear" w:color="auto" w:fill="000080"/>
      <w:lang w:val="nl-NL" w:eastAsia="nl-NL"/>
    </w:rPr>
  </w:style>
  <w:style w:type="character" w:customStyle="1" w:styleId="Vermelding1">
    <w:name w:val="Vermelding1"/>
    <w:uiPriority w:val="99"/>
    <w:semiHidden/>
    <w:unhideWhenUsed/>
    <w:rsid w:val="00DB12ED"/>
    <w:rPr>
      <w:color w:val="2B579A"/>
      <w:shd w:val="clear" w:color="auto" w:fill="E6E6E6"/>
    </w:rPr>
  </w:style>
  <w:style w:type="paragraph" w:styleId="Revisie">
    <w:name w:val="Revision"/>
    <w:hidden/>
    <w:uiPriority w:val="99"/>
    <w:semiHidden/>
    <w:rsid w:val="00DB12ED"/>
    <w:rPr>
      <w:rFonts w:ascii="Arial" w:hAnsi="Arial"/>
      <w:lang w:val="nl-NL" w:eastAsia="nl-NL"/>
    </w:rPr>
  </w:style>
  <w:style w:type="character" w:customStyle="1" w:styleId="ui-provider">
    <w:name w:val="ui-provider"/>
    <w:basedOn w:val="Standaardalinea-lettertype"/>
    <w:rsid w:val="00DB12ED"/>
  </w:style>
  <w:style w:type="paragraph" w:customStyle="1" w:styleId="pf0">
    <w:name w:val="pf0"/>
    <w:basedOn w:val="Standaard"/>
    <w:rsid w:val="00DB12ED"/>
    <w:pPr>
      <w:spacing w:before="100" w:beforeAutospacing="1" w:after="100" w:afterAutospacing="1"/>
      <w:ind w:left="0"/>
      <w:jc w:val="left"/>
    </w:pPr>
    <w:rPr>
      <w:rFonts w:ascii="Times New Roman" w:hAnsi="Times New Roman"/>
      <w:sz w:val="24"/>
      <w:szCs w:val="24"/>
      <w:lang w:val="nl-BE" w:eastAsia="nl-BE"/>
    </w:rPr>
  </w:style>
  <w:style w:type="paragraph" w:styleId="Onderwerpvanopmerking">
    <w:name w:val="annotation subject"/>
    <w:basedOn w:val="Tekstopmerking"/>
    <w:next w:val="Tekstopmerking"/>
    <w:link w:val="OnderwerpvanopmerkingChar"/>
    <w:uiPriority w:val="99"/>
    <w:semiHidden/>
    <w:unhideWhenUsed/>
    <w:rsid w:val="00DB12ED"/>
    <w:rPr>
      <w:b/>
      <w:bCs/>
    </w:rPr>
  </w:style>
  <w:style w:type="character" w:customStyle="1" w:styleId="OnderwerpvanopmerkingChar1">
    <w:name w:val="Onderwerp van opmerking Char1"/>
    <w:basedOn w:val="TekstopmerkingChar"/>
    <w:uiPriority w:val="99"/>
    <w:semiHidden/>
    <w:rsid w:val="00DB12ED"/>
    <w:rPr>
      <w:rFonts w:ascii="Arial" w:hAnsi="Arial"/>
      <w:b/>
      <w:bCs/>
      <w:lang w:val="nl-NL" w:eastAsia="nl-NL"/>
    </w:rPr>
  </w:style>
  <w:style w:type="character" w:styleId="Onopgelostemelding">
    <w:name w:val="Unresolved Mention"/>
    <w:basedOn w:val="Standaardalinea-lettertype"/>
    <w:uiPriority w:val="99"/>
    <w:semiHidden/>
    <w:unhideWhenUsed/>
    <w:rsid w:val="001A4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0274">
      <w:bodyDiv w:val="1"/>
      <w:marLeft w:val="0"/>
      <w:marRight w:val="0"/>
      <w:marTop w:val="0"/>
      <w:marBottom w:val="0"/>
      <w:divBdr>
        <w:top w:val="none" w:sz="0" w:space="0" w:color="auto"/>
        <w:left w:val="none" w:sz="0" w:space="0" w:color="auto"/>
        <w:bottom w:val="none" w:sz="0" w:space="0" w:color="auto"/>
        <w:right w:val="none" w:sz="0" w:space="0" w:color="auto"/>
      </w:divBdr>
    </w:div>
    <w:div w:id="45572597">
      <w:bodyDiv w:val="1"/>
      <w:marLeft w:val="0"/>
      <w:marRight w:val="0"/>
      <w:marTop w:val="0"/>
      <w:marBottom w:val="0"/>
      <w:divBdr>
        <w:top w:val="none" w:sz="0" w:space="0" w:color="auto"/>
        <w:left w:val="none" w:sz="0" w:space="0" w:color="auto"/>
        <w:bottom w:val="none" w:sz="0" w:space="0" w:color="auto"/>
        <w:right w:val="none" w:sz="0" w:space="0" w:color="auto"/>
      </w:divBdr>
    </w:div>
    <w:div w:id="83115488">
      <w:bodyDiv w:val="1"/>
      <w:marLeft w:val="0"/>
      <w:marRight w:val="0"/>
      <w:marTop w:val="0"/>
      <w:marBottom w:val="0"/>
      <w:divBdr>
        <w:top w:val="none" w:sz="0" w:space="0" w:color="auto"/>
        <w:left w:val="none" w:sz="0" w:space="0" w:color="auto"/>
        <w:bottom w:val="none" w:sz="0" w:space="0" w:color="auto"/>
        <w:right w:val="none" w:sz="0" w:space="0" w:color="auto"/>
      </w:divBdr>
    </w:div>
    <w:div w:id="91821030">
      <w:bodyDiv w:val="1"/>
      <w:marLeft w:val="0"/>
      <w:marRight w:val="0"/>
      <w:marTop w:val="0"/>
      <w:marBottom w:val="0"/>
      <w:divBdr>
        <w:top w:val="none" w:sz="0" w:space="0" w:color="auto"/>
        <w:left w:val="none" w:sz="0" w:space="0" w:color="auto"/>
        <w:bottom w:val="none" w:sz="0" w:space="0" w:color="auto"/>
        <w:right w:val="none" w:sz="0" w:space="0" w:color="auto"/>
      </w:divBdr>
    </w:div>
    <w:div w:id="98643121">
      <w:bodyDiv w:val="1"/>
      <w:marLeft w:val="0"/>
      <w:marRight w:val="0"/>
      <w:marTop w:val="0"/>
      <w:marBottom w:val="0"/>
      <w:divBdr>
        <w:top w:val="none" w:sz="0" w:space="0" w:color="auto"/>
        <w:left w:val="none" w:sz="0" w:space="0" w:color="auto"/>
        <w:bottom w:val="none" w:sz="0" w:space="0" w:color="auto"/>
        <w:right w:val="none" w:sz="0" w:space="0" w:color="auto"/>
      </w:divBdr>
    </w:div>
    <w:div w:id="162168718">
      <w:bodyDiv w:val="1"/>
      <w:marLeft w:val="0"/>
      <w:marRight w:val="0"/>
      <w:marTop w:val="0"/>
      <w:marBottom w:val="0"/>
      <w:divBdr>
        <w:top w:val="none" w:sz="0" w:space="0" w:color="auto"/>
        <w:left w:val="none" w:sz="0" w:space="0" w:color="auto"/>
        <w:bottom w:val="none" w:sz="0" w:space="0" w:color="auto"/>
        <w:right w:val="none" w:sz="0" w:space="0" w:color="auto"/>
      </w:divBdr>
    </w:div>
    <w:div w:id="215971535">
      <w:bodyDiv w:val="1"/>
      <w:marLeft w:val="0"/>
      <w:marRight w:val="0"/>
      <w:marTop w:val="0"/>
      <w:marBottom w:val="0"/>
      <w:divBdr>
        <w:top w:val="none" w:sz="0" w:space="0" w:color="auto"/>
        <w:left w:val="none" w:sz="0" w:space="0" w:color="auto"/>
        <w:bottom w:val="none" w:sz="0" w:space="0" w:color="auto"/>
        <w:right w:val="none" w:sz="0" w:space="0" w:color="auto"/>
      </w:divBdr>
    </w:div>
    <w:div w:id="399326999">
      <w:bodyDiv w:val="1"/>
      <w:marLeft w:val="0"/>
      <w:marRight w:val="0"/>
      <w:marTop w:val="0"/>
      <w:marBottom w:val="0"/>
      <w:divBdr>
        <w:top w:val="none" w:sz="0" w:space="0" w:color="auto"/>
        <w:left w:val="none" w:sz="0" w:space="0" w:color="auto"/>
        <w:bottom w:val="none" w:sz="0" w:space="0" w:color="auto"/>
        <w:right w:val="none" w:sz="0" w:space="0" w:color="auto"/>
      </w:divBdr>
    </w:div>
    <w:div w:id="415594141">
      <w:bodyDiv w:val="1"/>
      <w:marLeft w:val="0"/>
      <w:marRight w:val="0"/>
      <w:marTop w:val="0"/>
      <w:marBottom w:val="0"/>
      <w:divBdr>
        <w:top w:val="none" w:sz="0" w:space="0" w:color="auto"/>
        <w:left w:val="none" w:sz="0" w:space="0" w:color="auto"/>
        <w:bottom w:val="none" w:sz="0" w:space="0" w:color="auto"/>
        <w:right w:val="none" w:sz="0" w:space="0" w:color="auto"/>
      </w:divBdr>
    </w:div>
    <w:div w:id="470443440">
      <w:bodyDiv w:val="1"/>
      <w:marLeft w:val="0"/>
      <w:marRight w:val="0"/>
      <w:marTop w:val="0"/>
      <w:marBottom w:val="0"/>
      <w:divBdr>
        <w:top w:val="none" w:sz="0" w:space="0" w:color="auto"/>
        <w:left w:val="none" w:sz="0" w:space="0" w:color="auto"/>
        <w:bottom w:val="none" w:sz="0" w:space="0" w:color="auto"/>
        <w:right w:val="none" w:sz="0" w:space="0" w:color="auto"/>
      </w:divBdr>
    </w:div>
    <w:div w:id="496304892">
      <w:bodyDiv w:val="1"/>
      <w:marLeft w:val="0"/>
      <w:marRight w:val="0"/>
      <w:marTop w:val="0"/>
      <w:marBottom w:val="0"/>
      <w:divBdr>
        <w:top w:val="none" w:sz="0" w:space="0" w:color="auto"/>
        <w:left w:val="none" w:sz="0" w:space="0" w:color="auto"/>
        <w:bottom w:val="none" w:sz="0" w:space="0" w:color="auto"/>
        <w:right w:val="none" w:sz="0" w:space="0" w:color="auto"/>
      </w:divBdr>
    </w:div>
    <w:div w:id="668412098">
      <w:bodyDiv w:val="1"/>
      <w:marLeft w:val="0"/>
      <w:marRight w:val="0"/>
      <w:marTop w:val="0"/>
      <w:marBottom w:val="0"/>
      <w:divBdr>
        <w:top w:val="none" w:sz="0" w:space="0" w:color="auto"/>
        <w:left w:val="none" w:sz="0" w:space="0" w:color="auto"/>
        <w:bottom w:val="none" w:sz="0" w:space="0" w:color="auto"/>
        <w:right w:val="none" w:sz="0" w:space="0" w:color="auto"/>
      </w:divBdr>
    </w:div>
    <w:div w:id="720901363">
      <w:bodyDiv w:val="1"/>
      <w:marLeft w:val="0"/>
      <w:marRight w:val="0"/>
      <w:marTop w:val="0"/>
      <w:marBottom w:val="0"/>
      <w:divBdr>
        <w:top w:val="none" w:sz="0" w:space="0" w:color="auto"/>
        <w:left w:val="none" w:sz="0" w:space="0" w:color="auto"/>
        <w:bottom w:val="none" w:sz="0" w:space="0" w:color="auto"/>
        <w:right w:val="none" w:sz="0" w:space="0" w:color="auto"/>
      </w:divBdr>
    </w:div>
    <w:div w:id="721095235">
      <w:bodyDiv w:val="1"/>
      <w:marLeft w:val="0"/>
      <w:marRight w:val="0"/>
      <w:marTop w:val="0"/>
      <w:marBottom w:val="0"/>
      <w:divBdr>
        <w:top w:val="none" w:sz="0" w:space="0" w:color="auto"/>
        <w:left w:val="none" w:sz="0" w:space="0" w:color="auto"/>
        <w:bottom w:val="none" w:sz="0" w:space="0" w:color="auto"/>
        <w:right w:val="none" w:sz="0" w:space="0" w:color="auto"/>
      </w:divBdr>
    </w:div>
    <w:div w:id="723335166">
      <w:bodyDiv w:val="1"/>
      <w:marLeft w:val="0"/>
      <w:marRight w:val="0"/>
      <w:marTop w:val="0"/>
      <w:marBottom w:val="0"/>
      <w:divBdr>
        <w:top w:val="none" w:sz="0" w:space="0" w:color="auto"/>
        <w:left w:val="none" w:sz="0" w:space="0" w:color="auto"/>
        <w:bottom w:val="none" w:sz="0" w:space="0" w:color="auto"/>
        <w:right w:val="none" w:sz="0" w:space="0" w:color="auto"/>
      </w:divBdr>
    </w:div>
    <w:div w:id="734858525">
      <w:bodyDiv w:val="1"/>
      <w:marLeft w:val="0"/>
      <w:marRight w:val="0"/>
      <w:marTop w:val="0"/>
      <w:marBottom w:val="0"/>
      <w:divBdr>
        <w:top w:val="none" w:sz="0" w:space="0" w:color="auto"/>
        <w:left w:val="none" w:sz="0" w:space="0" w:color="auto"/>
        <w:bottom w:val="none" w:sz="0" w:space="0" w:color="auto"/>
        <w:right w:val="none" w:sz="0" w:space="0" w:color="auto"/>
      </w:divBdr>
    </w:div>
    <w:div w:id="870730759">
      <w:bodyDiv w:val="1"/>
      <w:marLeft w:val="0"/>
      <w:marRight w:val="0"/>
      <w:marTop w:val="0"/>
      <w:marBottom w:val="0"/>
      <w:divBdr>
        <w:top w:val="none" w:sz="0" w:space="0" w:color="auto"/>
        <w:left w:val="none" w:sz="0" w:space="0" w:color="auto"/>
        <w:bottom w:val="none" w:sz="0" w:space="0" w:color="auto"/>
        <w:right w:val="none" w:sz="0" w:space="0" w:color="auto"/>
      </w:divBdr>
    </w:div>
    <w:div w:id="953319079">
      <w:bodyDiv w:val="1"/>
      <w:marLeft w:val="0"/>
      <w:marRight w:val="0"/>
      <w:marTop w:val="0"/>
      <w:marBottom w:val="0"/>
      <w:divBdr>
        <w:top w:val="none" w:sz="0" w:space="0" w:color="auto"/>
        <w:left w:val="none" w:sz="0" w:space="0" w:color="auto"/>
        <w:bottom w:val="none" w:sz="0" w:space="0" w:color="auto"/>
        <w:right w:val="none" w:sz="0" w:space="0" w:color="auto"/>
      </w:divBdr>
    </w:div>
    <w:div w:id="1167748772">
      <w:bodyDiv w:val="1"/>
      <w:marLeft w:val="0"/>
      <w:marRight w:val="0"/>
      <w:marTop w:val="0"/>
      <w:marBottom w:val="0"/>
      <w:divBdr>
        <w:top w:val="none" w:sz="0" w:space="0" w:color="auto"/>
        <w:left w:val="none" w:sz="0" w:space="0" w:color="auto"/>
        <w:bottom w:val="none" w:sz="0" w:space="0" w:color="auto"/>
        <w:right w:val="none" w:sz="0" w:space="0" w:color="auto"/>
      </w:divBdr>
    </w:div>
    <w:div w:id="1384140908">
      <w:bodyDiv w:val="1"/>
      <w:marLeft w:val="0"/>
      <w:marRight w:val="0"/>
      <w:marTop w:val="0"/>
      <w:marBottom w:val="0"/>
      <w:divBdr>
        <w:top w:val="none" w:sz="0" w:space="0" w:color="auto"/>
        <w:left w:val="none" w:sz="0" w:space="0" w:color="auto"/>
        <w:bottom w:val="none" w:sz="0" w:space="0" w:color="auto"/>
        <w:right w:val="none" w:sz="0" w:space="0" w:color="auto"/>
      </w:divBdr>
    </w:div>
    <w:div w:id="1415007148">
      <w:bodyDiv w:val="1"/>
      <w:marLeft w:val="0"/>
      <w:marRight w:val="0"/>
      <w:marTop w:val="0"/>
      <w:marBottom w:val="0"/>
      <w:divBdr>
        <w:top w:val="none" w:sz="0" w:space="0" w:color="auto"/>
        <w:left w:val="none" w:sz="0" w:space="0" w:color="auto"/>
        <w:bottom w:val="none" w:sz="0" w:space="0" w:color="auto"/>
        <w:right w:val="none" w:sz="0" w:space="0" w:color="auto"/>
      </w:divBdr>
    </w:div>
    <w:div w:id="1535268005">
      <w:bodyDiv w:val="1"/>
      <w:marLeft w:val="0"/>
      <w:marRight w:val="0"/>
      <w:marTop w:val="0"/>
      <w:marBottom w:val="0"/>
      <w:divBdr>
        <w:top w:val="none" w:sz="0" w:space="0" w:color="auto"/>
        <w:left w:val="none" w:sz="0" w:space="0" w:color="auto"/>
        <w:bottom w:val="none" w:sz="0" w:space="0" w:color="auto"/>
        <w:right w:val="none" w:sz="0" w:space="0" w:color="auto"/>
      </w:divBdr>
    </w:div>
    <w:div w:id="1540899945">
      <w:bodyDiv w:val="1"/>
      <w:marLeft w:val="0"/>
      <w:marRight w:val="0"/>
      <w:marTop w:val="0"/>
      <w:marBottom w:val="0"/>
      <w:divBdr>
        <w:top w:val="none" w:sz="0" w:space="0" w:color="auto"/>
        <w:left w:val="none" w:sz="0" w:space="0" w:color="auto"/>
        <w:bottom w:val="none" w:sz="0" w:space="0" w:color="auto"/>
        <w:right w:val="none" w:sz="0" w:space="0" w:color="auto"/>
      </w:divBdr>
    </w:div>
    <w:div w:id="1559054899">
      <w:bodyDiv w:val="1"/>
      <w:marLeft w:val="0"/>
      <w:marRight w:val="0"/>
      <w:marTop w:val="0"/>
      <w:marBottom w:val="0"/>
      <w:divBdr>
        <w:top w:val="none" w:sz="0" w:space="0" w:color="auto"/>
        <w:left w:val="none" w:sz="0" w:space="0" w:color="auto"/>
        <w:bottom w:val="none" w:sz="0" w:space="0" w:color="auto"/>
        <w:right w:val="none" w:sz="0" w:space="0" w:color="auto"/>
      </w:divBdr>
    </w:div>
    <w:div w:id="1589803124">
      <w:bodyDiv w:val="1"/>
      <w:marLeft w:val="0"/>
      <w:marRight w:val="0"/>
      <w:marTop w:val="0"/>
      <w:marBottom w:val="0"/>
      <w:divBdr>
        <w:top w:val="none" w:sz="0" w:space="0" w:color="auto"/>
        <w:left w:val="none" w:sz="0" w:space="0" w:color="auto"/>
        <w:bottom w:val="none" w:sz="0" w:space="0" w:color="auto"/>
        <w:right w:val="none" w:sz="0" w:space="0" w:color="auto"/>
      </w:divBdr>
    </w:div>
    <w:div w:id="1607737894">
      <w:bodyDiv w:val="1"/>
      <w:marLeft w:val="0"/>
      <w:marRight w:val="0"/>
      <w:marTop w:val="0"/>
      <w:marBottom w:val="0"/>
      <w:divBdr>
        <w:top w:val="none" w:sz="0" w:space="0" w:color="auto"/>
        <w:left w:val="none" w:sz="0" w:space="0" w:color="auto"/>
        <w:bottom w:val="none" w:sz="0" w:space="0" w:color="auto"/>
        <w:right w:val="none" w:sz="0" w:space="0" w:color="auto"/>
      </w:divBdr>
    </w:div>
    <w:div w:id="1662276605">
      <w:bodyDiv w:val="1"/>
      <w:marLeft w:val="0"/>
      <w:marRight w:val="0"/>
      <w:marTop w:val="0"/>
      <w:marBottom w:val="0"/>
      <w:divBdr>
        <w:top w:val="none" w:sz="0" w:space="0" w:color="auto"/>
        <w:left w:val="none" w:sz="0" w:space="0" w:color="auto"/>
        <w:bottom w:val="none" w:sz="0" w:space="0" w:color="auto"/>
        <w:right w:val="none" w:sz="0" w:space="0" w:color="auto"/>
      </w:divBdr>
    </w:div>
    <w:div w:id="1699813852">
      <w:bodyDiv w:val="1"/>
      <w:marLeft w:val="0"/>
      <w:marRight w:val="0"/>
      <w:marTop w:val="0"/>
      <w:marBottom w:val="0"/>
      <w:divBdr>
        <w:top w:val="none" w:sz="0" w:space="0" w:color="auto"/>
        <w:left w:val="none" w:sz="0" w:space="0" w:color="auto"/>
        <w:bottom w:val="none" w:sz="0" w:space="0" w:color="auto"/>
        <w:right w:val="none" w:sz="0" w:space="0" w:color="auto"/>
      </w:divBdr>
    </w:div>
    <w:div w:id="1802531268">
      <w:bodyDiv w:val="1"/>
      <w:marLeft w:val="0"/>
      <w:marRight w:val="0"/>
      <w:marTop w:val="0"/>
      <w:marBottom w:val="0"/>
      <w:divBdr>
        <w:top w:val="none" w:sz="0" w:space="0" w:color="auto"/>
        <w:left w:val="none" w:sz="0" w:space="0" w:color="auto"/>
        <w:bottom w:val="none" w:sz="0" w:space="0" w:color="auto"/>
        <w:right w:val="none" w:sz="0" w:space="0" w:color="auto"/>
      </w:divBdr>
    </w:div>
    <w:div w:id="1809934818">
      <w:bodyDiv w:val="1"/>
      <w:marLeft w:val="0"/>
      <w:marRight w:val="0"/>
      <w:marTop w:val="0"/>
      <w:marBottom w:val="0"/>
      <w:divBdr>
        <w:top w:val="none" w:sz="0" w:space="0" w:color="auto"/>
        <w:left w:val="none" w:sz="0" w:space="0" w:color="auto"/>
        <w:bottom w:val="none" w:sz="0" w:space="0" w:color="auto"/>
        <w:right w:val="none" w:sz="0" w:space="0" w:color="auto"/>
      </w:divBdr>
    </w:div>
    <w:div w:id="2045716310">
      <w:bodyDiv w:val="1"/>
      <w:marLeft w:val="0"/>
      <w:marRight w:val="0"/>
      <w:marTop w:val="0"/>
      <w:marBottom w:val="0"/>
      <w:divBdr>
        <w:top w:val="none" w:sz="0" w:space="0" w:color="auto"/>
        <w:left w:val="none" w:sz="0" w:space="0" w:color="auto"/>
        <w:bottom w:val="none" w:sz="0" w:space="0" w:color="auto"/>
        <w:right w:val="none" w:sz="0" w:space="0" w:color="auto"/>
      </w:divBdr>
    </w:div>
    <w:div w:id="2137798245">
      <w:bodyDiv w:val="1"/>
      <w:marLeft w:val="0"/>
      <w:marRight w:val="0"/>
      <w:marTop w:val="0"/>
      <w:marBottom w:val="0"/>
      <w:divBdr>
        <w:top w:val="none" w:sz="0" w:space="0" w:color="auto"/>
        <w:left w:val="none" w:sz="0" w:space="0" w:color="auto"/>
        <w:bottom w:val="none" w:sz="0" w:space="0" w:color="auto"/>
        <w:right w:val="none" w:sz="0" w:space="0" w:color="auto"/>
      </w:divBdr>
    </w:div>
    <w:div w:id="214704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D2E5676106EB498AE0477A19DB3744" ma:contentTypeVersion="8" ma:contentTypeDescription="Een nieuw document maken." ma:contentTypeScope="" ma:versionID="7ec9b8fc234cd96829b1b2e248bc47f8">
  <xsd:schema xmlns:xsd="http://www.w3.org/2001/XMLSchema" xmlns:xs="http://www.w3.org/2001/XMLSchema" xmlns:p="http://schemas.microsoft.com/office/2006/metadata/properties" xmlns:ns2="7befef4a-b8ef-4b78-8088-c81a804b3619" xmlns:ns3="e554a155-8911-481a-aeb3-c7a16720396f" targetNamespace="http://schemas.microsoft.com/office/2006/metadata/properties" ma:root="true" ma:fieldsID="236681aab24d4d022a5aaa386386cd37" ns2:_="" ns3:_="">
    <xsd:import namespace="7befef4a-b8ef-4b78-8088-c81a804b3619"/>
    <xsd:import namespace="e554a155-8911-481a-aeb3-c7a1672039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fef4a-b8ef-4b78-8088-c81a804b3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54a155-8911-481a-aeb3-c7a16720396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6F281-529B-4634-AF27-CBF5E234D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fef4a-b8ef-4b78-8088-c81a804b3619"/>
    <ds:schemaRef ds:uri="e554a155-8911-481a-aeb3-c7a167203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0F30B7-1AC2-4E97-ABE2-BCE4C2310C78}">
  <ds:schemaRefs>
    <ds:schemaRef ds:uri="http://schemas.microsoft.com/sharepoint/v3/contenttype/forms"/>
  </ds:schemaRefs>
</ds:datastoreItem>
</file>

<file path=customXml/itemProps3.xml><?xml version="1.0" encoding="utf-8"?>
<ds:datastoreItem xmlns:ds="http://schemas.openxmlformats.org/officeDocument/2006/customXml" ds:itemID="{8E946F6A-914C-4034-A906-1F5BC8FC57E8}">
  <ds:schemaRefs>
    <ds:schemaRef ds:uri="http://schemas.microsoft.com/office/2006/documentManagement/types"/>
    <ds:schemaRef ds:uri="e554a155-8911-481a-aeb3-c7a16720396f"/>
    <ds:schemaRef ds:uri="http://www.w3.org/XML/1998/namespace"/>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7befef4a-b8ef-4b78-8088-c81a804b3619"/>
    <ds:schemaRef ds:uri="http://purl.org/dc/dcmitype/"/>
  </ds:schemaRefs>
</ds:datastoreItem>
</file>

<file path=customXml/itemProps4.xml><?xml version="1.0" encoding="utf-8"?>
<ds:datastoreItem xmlns:ds="http://schemas.openxmlformats.org/officeDocument/2006/customXml" ds:itemID="{97146162-BBF6-4287-9CAD-EEFE5F284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132</Pages>
  <Words>45189</Words>
  <Characters>248542</Characters>
  <Application>Microsoft Office Word</Application>
  <DocSecurity>0</DocSecurity>
  <Lines>2071</Lines>
  <Paragraphs>586</Paragraphs>
  <ScaleCrop>false</ScaleCrop>
  <HeadingPairs>
    <vt:vector size="2" baseType="variant">
      <vt:variant>
        <vt:lpstr>Titel</vt:lpstr>
      </vt:variant>
      <vt:variant>
        <vt:i4>1</vt:i4>
      </vt:variant>
    </vt:vector>
  </HeadingPairs>
  <TitlesOfParts>
    <vt:vector size="1" baseType="lpstr">
      <vt:lpstr>GEMEENTE</vt:lpstr>
    </vt:vector>
  </TitlesOfParts>
  <Company>Gemeentebestuur Beersel</Company>
  <LinksUpToDate>false</LinksUpToDate>
  <CharactersWithSpaces>293145</CharactersWithSpaces>
  <SharedDoc>false</SharedDoc>
  <HLinks>
    <vt:vector size="858" baseType="variant">
      <vt:variant>
        <vt:i4>1376305</vt:i4>
      </vt:variant>
      <vt:variant>
        <vt:i4>854</vt:i4>
      </vt:variant>
      <vt:variant>
        <vt:i4>0</vt:i4>
      </vt:variant>
      <vt:variant>
        <vt:i4>5</vt:i4>
      </vt:variant>
      <vt:variant>
        <vt:lpwstr/>
      </vt:variant>
      <vt:variant>
        <vt:lpwstr>_Toc177054218</vt:lpwstr>
      </vt:variant>
      <vt:variant>
        <vt:i4>1376305</vt:i4>
      </vt:variant>
      <vt:variant>
        <vt:i4>848</vt:i4>
      </vt:variant>
      <vt:variant>
        <vt:i4>0</vt:i4>
      </vt:variant>
      <vt:variant>
        <vt:i4>5</vt:i4>
      </vt:variant>
      <vt:variant>
        <vt:lpwstr/>
      </vt:variant>
      <vt:variant>
        <vt:lpwstr>_Toc177054217</vt:lpwstr>
      </vt:variant>
      <vt:variant>
        <vt:i4>1376305</vt:i4>
      </vt:variant>
      <vt:variant>
        <vt:i4>842</vt:i4>
      </vt:variant>
      <vt:variant>
        <vt:i4>0</vt:i4>
      </vt:variant>
      <vt:variant>
        <vt:i4>5</vt:i4>
      </vt:variant>
      <vt:variant>
        <vt:lpwstr/>
      </vt:variant>
      <vt:variant>
        <vt:lpwstr>_Toc177054216</vt:lpwstr>
      </vt:variant>
      <vt:variant>
        <vt:i4>1376305</vt:i4>
      </vt:variant>
      <vt:variant>
        <vt:i4>836</vt:i4>
      </vt:variant>
      <vt:variant>
        <vt:i4>0</vt:i4>
      </vt:variant>
      <vt:variant>
        <vt:i4>5</vt:i4>
      </vt:variant>
      <vt:variant>
        <vt:lpwstr/>
      </vt:variant>
      <vt:variant>
        <vt:lpwstr>_Toc177054215</vt:lpwstr>
      </vt:variant>
      <vt:variant>
        <vt:i4>1376305</vt:i4>
      </vt:variant>
      <vt:variant>
        <vt:i4>830</vt:i4>
      </vt:variant>
      <vt:variant>
        <vt:i4>0</vt:i4>
      </vt:variant>
      <vt:variant>
        <vt:i4>5</vt:i4>
      </vt:variant>
      <vt:variant>
        <vt:lpwstr/>
      </vt:variant>
      <vt:variant>
        <vt:lpwstr>_Toc177054214</vt:lpwstr>
      </vt:variant>
      <vt:variant>
        <vt:i4>1376305</vt:i4>
      </vt:variant>
      <vt:variant>
        <vt:i4>824</vt:i4>
      </vt:variant>
      <vt:variant>
        <vt:i4>0</vt:i4>
      </vt:variant>
      <vt:variant>
        <vt:i4>5</vt:i4>
      </vt:variant>
      <vt:variant>
        <vt:lpwstr/>
      </vt:variant>
      <vt:variant>
        <vt:lpwstr>_Toc177054213</vt:lpwstr>
      </vt:variant>
      <vt:variant>
        <vt:i4>1376305</vt:i4>
      </vt:variant>
      <vt:variant>
        <vt:i4>818</vt:i4>
      </vt:variant>
      <vt:variant>
        <vt:i4>0</vt:i4>
      </vt:variant>
      <vt:variant>
        <vt:i4>5</vt:i4>
      </vt:variant>
      <vt:variant>
        <vt:lpwstr/>
      </vt:variant>
      <vt:variant>
        <vt:lpwstr>_Toc177054212</vt:lpwstr>
      </vt:variant>
      <vt:variant>
        <vt:i4>1376305</vt:i4>
      </vt:variant>
      <vt:variant>
        <vt:i4>812</vt:i4>
      </vt:variant>
      <vt:variant>
        <vt:i4>0</vt:i4>
      </vt:variant>
      <vt:variant>
        <vt:i4>5</vt:i4>
      </vt:variant>
      <vt:variant>
        <vt:lpwstr/>
      </vt:variant>
      <vt:variant>
        <vt:lpwstr>_Toc177054211</vt:lpwstr>
      </vt:variant>
      <vt:variant>
        <vt:i4>1376305</vt:i4>
      </vt:variant>
      <vt:variant>
        <vt:i4>806</vt:i4>
      </vt:variant>
      <vt:variant>
        <vt:i4>0</vt:i4>
      </vt:variant>
      <vt:variant>
        <vt:i4>5</vt:i4>
      </vt:variant>
      <vt:variant>
        <vt:lpwstr/>
      </vt:variant>
      <vt:variant>
        <vt:lpwstr>_Toc177054210</vt:lpwstr>
      </vt:variant>
      <vt:variant>
        <vt:i4>1310769</vt:i4>
      </vt:variant>
      <vt:variant>
        <vt:i4>800</vt:i4>
      </vt:variant>
      <vt:variant>
        <vt:i4>0</vt:i4>
      </vt:variant>
      <vt:variant>
        <vt:i4>5</vt:i4>
      </vt:variant>
      <vt:variant>
        <vt:lpwstr/>
      </vt:variant>
      <vt:variant>
        <vt:lpwstr>_Toc177054209</vt:lpwstr>
      </vt:variant>
      <vt:variant>
        <vt:i4>1310769</vt:i4>
      </vt:variant>
      <vt:variant>
        <vt:i4>794</vt:i4>
      </vt:variant>
      <vt:variant>
        <vt:i4>0</vt:i4>
      </vt:variant>
      <vt:variant>
        <vt:i4>5</vt:i4>
      </vt:variant>
      <vt:variant>
        <vt:lpwstr/>
      </vt:variant>
      <vt:variant>
        <vt:lpwstr>_Toc177054208</vt:lpwstr>
      </vt:variant>
      <vt:variant>
        <vt:i4>1310769</vt:i4>
      </vt:variant>
      <vt:variant>
        <vt:i4>788</vt:i4>
      </vt:variant>
      <vt:variant>
        <vt:i4>0</vt:i4>
      </vt:variant>
      <vt:variant>
        <vt:i4>5</vt:i4>
      </vt:variant>
      <vt:variant>
        <vt:lpwstr/>
      </vt:variant>
      <vt:variant>
        <vt:lpwstr>_Toc177054207</vt:lpwstr>
      </vt:variant>
      <vt:variant>
        <vt:i4>1310769</vt:i4>
      </vt:variant>
      <vt:variant>
        <vt:i4>782</vt:i4>
      </vt:variant>
      <vt:variant>
        <vt:i4>0</vt:i4>
      </vt:variant>
      <vt:variant>
        <vt:i4>5</vt:i4>
      </vt:variant>
      <vt:variant>
        <vt:lpwstr/>
      </vt:variant>
      <vt:variant>
        <vt:lpwstr>_Toc177054206</vt:lpwstr>
      </vt:variant>
      <vt:variant>
        <vt:i4>1310769</vt:i4>
      </vt:variant>
      <vt:variant>
        <vt:i4>776</vt:i4>
      </vt:variant>
      <vt:variant>
        <vt:i4>0</vt:i4>
      </vt:variant>
      <vt:variant>
        <vt:i4>5</vt:i4>
      </vt:variant>
      <vt:variant>
        <vt:lpwstr/>
      </vt:variant>
      <vt:variant>
        <vt:lpwstr>_Toc177054205</vt:lpwstr>
      </vt:variant>
      <vt:variant>
        <vt:i4>1310769</vt:i4>
      </vt:variant>
      <vt:variant>
        <vt:i4>770</vt:i4>
      </vt:variant>
      <vt:variant>
        <vt:i4>0</vt:i4>
      </vt:variant>
      <vt:variant>
        <vt:i4>5</vt:i4>
      </vt:variant>
      <vt:variant>
        <vt:lpwstr/>
      </vt:variant>
      <vt:variant>
        <vt:lpwstr>_Toc177054204</vt:lpwstr>
      </vt:variant>
      <vt:variant>
        <vt:i4>1310769</vt:i4>
      </vt:variant>
      <vt:variant>
        <vt:i4>764</vt:i4>
      </vt:variant>
      <vt:variant>
        <vt:i4>0</vt:i4>
      </vt:variant>
      <vt:variant>
        <vt:i4>5</vt:i4>
      </vt:variant>
      <vt:variant>
        <vt:lpwstr/>
      </vt:variant>
      <vt:variant>
        <vt:lpwstr>_Toc177054203</vt:lpwstr>
      </vt:variant>
      <vt:variant>
        <vt:i4>1310769</vt:i4>
      </vt:variant>
      <vt:variant>
        <vt:i4>758</vt:i4>
      </vt:variant>
      <vt:variant>
        <vt:i4>0</vt:i4>
      </vt:variant>
      <vt:variant>
        <vt:i4>5</vt:i4>
      </vt:variant>
      <vt:variant>
        <vt:lpwstr/>
      </vt:variant>
      <vt:variant>
        <vt:lpwstr>_Toc177054202</vt:lpwstr>
      </vt:variant>
      <vt:variant>
        <vt:i4>1310769</vt:i4>
      </vt:variant>
      <vt:variant>
        <vt:i4>752</vt:i4>
      </vt:variant>
      <vt:variant>
        <vt:i4>0</vt:i4>
      </vt:variant>
      <vt:variant>
        <vt:i4>5</vt:i4>
      </vt:variant>
      <vt:variant>
        <vt:lpwstr/>
      </vt:variant>
      <vt:variant>
        <vt:lpwstr>_Toc177054201</vt:lpwstr>
      </vt:variant>
      <vt:variant>
        <vt:i4>1310769</vt:i4>
      </vt:variant>
      <vt:variant>
        <vt:i4>746</vt:i4>
      </vt:variant>
      <vt:variant>
        <vt:i4>0</vt:i4>
      </vt:variant>
      <vt:variant>
        <vt:i4>5</vt:i4>
      </vt:variant>
      <vt:variant>
        <vt:lpwstr/>
      </vt:variant>
      <vt:variant>
        <vt:lpwstr>_Toc177054200</vt:lpwstr>
      </vt:variant>
      <vt:variant>
        <vt:i4>1900594</vt:i4>
      </vt:variant>
      <vt:variant>
        <vt:i4>740</vt:i4>
      </vt:variant>
      <vt:variant>
        <vt:i4>0</vt:i4>
      </vt:variant>
      <vt:variant>
        <vt:i4>5</vt:i4>
      </vt:variant>
      <vt:variant>
        <vt:lpwstr/>
      </vt:variant>
      <vt:variant>
        <vt:lpwstr>_Toc177054199</vt:lpwstr>
      </vt:variant>
      <vt:variant>
        <vt:i4>1900594</vt:i4>
      </vt:variant>
      <vt:variant>
        <vt:i4>734</vt:i4>
      </vt:variant>
      <vt:variant>
        <vt:i4>0</vt:i4>
      </vt:variant>
      <vt:variant>
        <vt:i4>5</vt:i4>
      </vt:variant>
      <vt:variant>
        <vt:lpwstr/>
      </vt:variant>
      <vt:variant>
        <vt:lpwstr>_Toc177054198</vt:lpwstr>
      </vt:variant>
      <vt:variant>
        <vt:i4>1900594</vt:i4>
      </vt:variant>
      <vt:variant>
        <vt:i4>728</vt:i4>
      </vt:variant>
      <vt:variant>
        <vt:i4>0</vt:i4>
      </vt:variant>
      <vt:variant>
        <vt:i4>5</vt:i4>
      </vt:variant>
      <vt:variant>
        <vt:lpwstr/>
      </vt:variant>
      <vt:variant>
        <vt:lpwstr>_Toc177054197</vt:lpwstr>
      </vt:variant>
      <vt:variant>
        <vt:i4>1900594</vt:i4>
      </vt:variant>
      <vt:variant>
        <vt:i4>722</vt:i4>
      </vt:variant>
      <vt:variant>
        <vt:i4>0</vt:i4>
      </vt:variant>
      <vt:variant>
        <vt:i4>5</vt:i4>
      </vt:variant>
      <vt:variant>
        <vt:lpwstr/>
      </vt:variant>
      <vt:variant>
        <vt:lpwstr>_Toc177054196</vt:lpwstr>
      </vt:variant>
      <vt:variant>
        <vt:i4>1900594</vt:i4>
      </vt:variant>
      <vt:variant>
        <vt:i4>716</vt:i4>
      </vt:variant>
      <vt:variant>
        <vt:i4>0</vt:i4>
      </vt:variant>
      <vt:variant>
        <vt:i4>5</vt:i4>
      </vt:variant>
      <vt:variant>
        <vt:lpwstr/>
      </vt:variant>
      <vt:variant>
        <vt:lpwstr>_Toc177054195</vt:lpwstr>
      </vt:variant>
      <vt:variant>
        <vt:i4>1900594</vt:i4>
      </vt:variant>
      <vt:variant>
        <vt:i4>710</vt:i4>
      </vt:variant>
      <vt:variant>
        <vt:i4>0</vt:i4>
      </vt:variant>
      <vt:variant>
        <vt:i4>5</vt:i4>
      </vt:variant>
      <vt:variant>
        <vt:lpwstr/>
      </vt:variant>
      <vt:variant>
        <vt:lpwstr>_Toc177054194</vt:lpwstr>
      </vt:variant>
      <vt:variant>
        <vt:i4>1900594</vt:i4>
      </vt:variant>
      <vt:variant>
        <vt:i4>704</vt:i4>
      </vt:variant>
      <vt:variant>
        <vt:i4>0</vt:i4>
      </vt:variant>
      <vt:variant>
        <vt:i4>5</vt:i4>
      </vt:variant>
      <vt:variant>
        <vt:lpwstr/>
      </vt:variant>
      <vt:variant>
        <vt:lpwstr>_Toc177054193</vt:lpwstr>
      </vt:variant>
      <vt:variant>
        <vt:i4>1900594</vt:i4>
      </vt:variant>
      <vt:variant>
        <vt:i4>698</vt:i4>
      </vt:variant>
      <vt:variant>
        <vt:i4>0</vt:i4>
      </vt:variant>
      <vt:variant>
        <vt:i4>5</vt:i4>
      </vt:variant>
      <vt:variant>
        <vt:lpwstr/>
      </vt:variant>
      <vt:variant>
        <vt:lpwstr>_Toc177054192</vt:lpwstr>
      </vt:variant>
      <vt:variant>
        <vt:i4>1900594</vt:i4>
      </vt:variant>
      <vt:variant>
        <vt:i4>692</vt:i4>
      </vt:variant>
      <vt:variant>
        <vt:i4>0</vt:i4>
      </vt:variant>
      <vt:variant>
        <vt:i4>5</vt:i4>
      </vt:variant>
      <vt:variant>
        <vt:lpwstr/>
      </vt:variant>
      <vt:variant>
        <vt:lpwstr>_Toc177054191</vt:lpwstr>
      </vt:variant>
      <vt:variant>
        <vt:i4>1900594</vt:i4>
      </vt:variant>
      <vt:variant>
        <vt:i4>686</vt:i4>
      </vt:variant>
      <vt:variant>
        <vt:i4>0</vt:i4>
      </vt:variant>
      <vt:variant>
        <vt:i4>5</vt:i4>
      </vt:variant>
      <vt:variant>
        <vt:lpwstr/>
      </vt:variant>
      <vt:variant>
        <vt:lpwstr>_Toc177054190</vt:lpwstr>
      </vt:variant>
      <vt:variant>
        <vt:i4>1835058</vt:i4>
      </vt:variant>
      <vt:variant>
        <vt:i4>680</vt:i4>
      </vt:variant>
      <vt:variant>
        <vt:i4>0</vt:i4>
      </vt:variant>
      <vt:variant>
        <vt:i4>5</vt:i4>
      </vt:variant>
      <vt:variant>
        <vt:lpwstr/>
      </vt:variant>
      <vt:variant>
        <vt:lpwstr>_Toc177054189</vt:lpwstr>
      </vt:variant>
      <vt:variant>
        <vt:i4>1835058</vt:i4>
      </vt:variant>
      <vt:variant>
        <vt:i4>674</vt:i4>
      </vt:variant>
      <vt:variant>
        <vt:i4>0</vt:i4>
      </vt:variant>
      <vt:variant>
        <vt:i4>5</vt:i4>
      </vt:variant>
      <vt:variant>
        <vt:lpwstr/>
      </vt:variant>
      <vt:variant>
        <vt:lpwstr>_Toc177054188</vt:lpwstr>
      </vt:variant>
      <vt:variant>
        <vt:i4>1835058</vt:i4>
      </vt:variant>
      <vt:variant>
        <vt:i4>668</vt:i4>
      </vt:variant>
      <vt:variant>
        <vt:i4>0</vt:i4>
      </vt:variant>
      <vt:variant>
        <vt:i4>5</vt:i4>
      </vt:variant>
      <vt:variant>
        <vt:lpwstr/>
      </vt:variant>
      <vt:variant>
        <vt:lpwstr>_Toc177054187</vt:lpwstr>
      </vt:variant>
      <vt:variant>
        <vt:i4>1835058</vt:i4>
      </vt:variant>
      <vt:variant>
        <vt:i4>662</vt:i4>
      </vt:variant>
      <vt:variant>
        <vt:i4>0</vt:i4>
      </vt:variant>
      <vt:variant>
        <vt:i4>5</vt:i4>
      </vt:variant>
      <vt:variant>
        <vt:lpwstr/>
      </vt:variant>
      <vt:variant>
        <vt:lpwstr>_Toc177054186</vt:lpwstr>
      </vt:variant>
      <vt:variant>
        <vt:i4>1835058</vt:i4>
      </vt:variant>
      <vt:variant>
        <vt:i4>656</vt:i4>
      </vt:variant>
      <vt:variant>
        <vt:i4>0</vt:i4>
      </vt:variant>
      <vt:variant>
        <vt:i4>5</vt:i4>
      </vt:variant>
      <vt:variant>
        <vt:lpwstr/>
      </vt:variant>
      <vt:variant>
        <vt:lpwstr>_Toc177054185</vt:lpwstr>
      </vt:variant>
      <vt:variant>
        <vt:i4>1835058</vt:i4>
      </vt:variant>
      <vt:variant>
        <vt:i4>650</vt:i4>
      </vt:variant>
      <vt:variant>
        <vt:i4>0</vt:i4>
      </vt:variant>
      <vt:variant>
        <vt:i4>5</vt:i4>
      </vt:variant>
      <vt:variant>
        <vt:lpwstr/>
      </vt:variant>
      <vt:variant>
        <vt:lpwstr>_Toc177054184</vt:lpwstr>
      </vt:variant>
      <vt:variant>
        <vt:i4>1835058</vt:i4>
      </vt:variant>
      <vt:variant>
        <vt:i4>644</vt:i4>
      </vt:variant>
      <vt:variant>
        <vt:i4>0</vt:i4>
      </vt:variant>
      <vt:variant>
        <vt:i4>5</vt:i4>
      </vt:variant>
      <vt:variant>
        <vt:lpwstr/>
      </vt:variant>
      <vt:variant>
        <vt:lpwstr>_Toc177054183</vt:lpwstr>
      </vt:variant>
      <vt:variant>
        <vt:i4>1835058</vt:i4>
      </vt:variant>
      <vt:variant>
        <vt:i4>638</vt:i4>
      </vt:variant>
      <vt:variant>
        <vt:i4>0</vt:i4>
      </vt:variant>
      <vt:variant>
        <vt:i4>5</vt:i4>
      </vt:variant>
      <vt:variant>
        <vt:lpwstr/>
      </vt:variant>
      <vt:variant>
        <vt:lpwstr>_Toc177054182</vt:lpwstr>
      </vt:variant>
      <vt:variant>
        <vt:i4>1835058</vt:i4>
      </vt:variant>
      <vt:variant>
        <vt:i4>632</vt:i4>
      </vt:variant>
      <vt:variant>
        <vt:i4>0</vt:i4>
      </vt:variant>
      <vt:variant>
        <vt:i4>5</vt:i4>
      </vt:variant>
      <vt:variant>
        <vt:lpwstr/>
      </vt:variant>
      <vt:variant>
        <vt:lpwstr>_Toc177054181</vt:lpwstr>
      </vt:variant>
      <vt:variant>
        <vt:i4>1835058</vt:i4>
      </vt:variant>
      <vt:variant>
        <vt:i4>626</vt:i4>
      </vt:variant>
      <vt:variant>
        <vt:i4>0</vt:i4>
      </vt:variant>
      <vt:variant>
        <vt:i4>5</vt:i4>
      </vt:variant>
      <vt:variant>
        <vt:lpwstr/>
      </vt:variant>
      <vt:variant>
        <vt:lpwstr>_Toc177054180</vt:lpwstr>
      </vt:variant>
      <vt:variant>
        <vt:i4>1245234</vt:i4>
      </vt:variant>
      <vt:variant>
        <vt:i4>620</vt:i4>
      </vt:variant>
      <vt:variant>
        <vt:i4>0</vt:i4>
      </vt:variant>
      <vt:variant>
        <vt:i4>5</vt:i4>
      </vt:variant>
      <vt:variant>
        <vt:lpwstr/>
      </vt:variant>
      <vt:variant>
        <vt:lpwstr>_Toc177054179</vt:lpwstr>
      </vt:variant>
      <vt:variant>
        <vt:i4>1245234</vt:i4>
      </vt:variant>
      <vt:variant>
        <vt:i4>614</vt:i4>
      </vt:variant>
      <vt:variant>
        <vt:i4>0</vt:i4>
      </vt:variant>
      <vt:variant>
        <vt:i4>5</vt:i4>
      </vt:variant>
      <vt:variant>
        <vt:lpwstr/>
      </vt:variant>
      <vt:variant>
        <vt:lpwstr>_Toc177054178</vt:lpwstr>
      </vt:variant>
      <vt:variant>
        <vt:i4>1245234</vt:i4>
      </vt:variant>
      <vt:variant>
        <vt:i4>608</vt:i4>
      </vt:variant>
      <vt:variant>
        <vt:i4>0</vt:i4>
      </vt:variant>
      <vt:variant>
        <vt:i4>5</vt:i4>
      </vt:variant>
      <vt:variant>
        <vt:lpwstr/>
      </vt:variant>
      <vt:variant>
        <vt:lpwstr>_Toc177054177</vt:lpwstr>
      </vt:variant>
      <vt:variant>
        <vt:i4>1245234</vt:i4>
      </vt:variant>
      <vt:variant>
        <vt:i4>602</vt:i4>
      </vt:variant>
      <vt:variant>
        <vt:i4>0</vt:i4>
      </vt:variant>
      <vt:variant>
        <vt:i4>5</vt:i4>
      </vt:variant>
      <vt:variant>
        <vt:lpwstr/>
      </vt:variant>
      <vt:variant>
        <vt:lpwstr>_Toc177054176</vt:lpwstr>
      </vt:variant>
      <vt:variant>
        <vt:i4>1245234</vt:i4>
      </vt:variant>
      <vt:variant>
        <vt:i4>596</vt:i4>
      </vt:variant>
      <vt:variant>
        <vt:i4>0</vt:i4>
      </vt:variant>
      <vt:variant>
        <vt:i4>5</vt:i4>
      </vt:variant>
      <vt:variant>
        <vt:lpwstr/>
      </vt:variant>
      <vt:variant>
        <vt:lpwstr>_Toc177054175</vt:lpwstr>
      </vt:variant>
      <vt:variant>
        <vt:i4>1245234</vt:i4>
      </vt:variant>
      <vt:variant>
        <vt:i4>590</vt:i4>
      </vt:variant>
      <vt:variant>
        <vt:i4>0</vt:i4>
      </vt:variant>
      <vt:variant>
        <vt:i4>5</vt:i4>
      </vt:variant>
      <vt:variant>
        <vt:lpwstr/>
      </vt:variant>
      <vt:variant>
        <vt:lpwstr>_Toc177054174</vt:lpwstr>
      </vt:variant>
      <vt:variant>
        <vt:i4>1245234</vt:i4>
      </vt:variant>
      <vt:variant>
        <vt:i4>584</vt:i4>
      </vt:variant>
      <vt:variant>
        <vt:i4>0</vt:i4>
      </vt:variant>
      <vt:variant>
        <vt:i4>5</vt:i4>
      </vt:variant>
      <vt:variant>
        <vt:lpwstr/>
      </vt:variant>
      <vt:variant>
        <vt:lpwstr>_Toc177054173</vt:lpwstr>
      </vt:variant>
      <vt:variant>
        <vt:i4>1245234</vt:i4>
      </vt:variant>
      <vt:variant>
        <vt:i4>578</vt:i4>
      </vt:variant>
      <vt:variant>
        <vt:i4>0</vt:i4>
      </vt:variant>
      <vt:variant>
        <vt:i4>5</vt:i4>
      </vt:variant>
      <vt:variant>
        <vt:lpwstr/>
      </vt:variant>
      <vt:variant>
        <vt:lpwstr>_Toc177054172</vt:lpwstr>
      </vt:variant>
      <vt:variant>
        <vt:i4>1245234</vt:i4>
      </vt:variant>
      <vt:variant>
        <vt:i4>572</vt:i4>
      </vt:variant>
      <vt:variant>
        <vt:i4>0</vt:i4>
      </vt:variant>
      <vt:variant>
        <vt:i4>5</vt:i4>
      </vt:variant>
      <vt:variant>
        <vt:lpwstr/>
      </vt:variant>
      <vt:variant>
        <vt:lpwstr>_Toc177054171</vt:lpwstr>
      </vt:variant>
      <vt:variant>
        <vt:i4>1245234</vt:i4>
      </vt:variant>
      <vt:variant>
        <vt:i4>566</vt:i4>
      </vt:variant>
      <vt:variant>
        <vt:i4>0</vt:i4>
      </vt:variant>
      <vt:variant>
        <vt:i4>5</vt:i4>
      </vt:variant>
      <vt:variant>
        <vt:lpwstr/>
      </vt:variant>
      <vt:variant>
        <vt:lpwstr>_Toc177054170</vt:lpwstr>
      </vt:variant>
      <vt:variant>
        <vt:i4>1179698</vt:i4>
      </vt:variant>
      <vt:variant>
        <vt:i4>560</vt:i4>
      </vt:variant>
      <vt:variant>
        <vt:i4>0</vt:i4>
      </vt:variant>
      <vt:variant>
        <vt:i4>5</vt:i4>
      </vt:variant>
      <vt:variant>
        <vt:lpwstr/>
      </vt:variant>
      <vt:variant>
        <vt:lpwstr>_Toc177054169</vt:lpwstr>
      </vt:variant>
      <vt:variant>
        <vt:i4>1179698</vt:i4>
      </vt:variant>
      <vt:variant>
        <vt:i4>554</vt:i4>
      </vt:variant>
      <vt:variant>
        <vt:i4>0</vt:i4>
      </vt:variant>
      <vt:variant>
        <vt:i4>5</vt:i4>
      </vt:variant>
      <vt:variant>
        <vt:lpwstr/>
      </vt:variant>
      <vt:variant>
        <vt:lpwstr>_Toc177054168</vt:lpwstr>
      </vt:variant>
      <vt:variant>
        <vt:i4>1179698</vt:i4>
      </vt:variant>
      <vt:variant>
        <vt:i4>548</vt:i4>
      </vt:variant>
      <vt:variant>
        <vt:i4>0</vt:i4>
      </vt:variant>
      <vt:variant>
        <vt:i4>5</vt:i4>
      </vt:variant>
      <vt:variant>
        <vt:lpwstr/>
      </vt:variant>
      <vt:variant>
        <vt:lpwstr>_Toc177054167</vt:lpwstr>
      </vt:variant>
      <vt:variant>
        <vt:i4>1179698</vt:i4>
      </vt:variant>
      <vt:variant>
        <vt:i4>542</vt:i4>
      </vt:variant>
      <vt:variant>
        <vt:i4>0</vt:i4>
      </vt:variant>
      <vt:variant>
        <vt:i4>5</vt:i4>
      </vt:variant>
      <vt:variant>
        <vt:lpwstr/>
      </vt:variant>
      <vt:variant>
        <vt:lpwstr>_Toc177054166</vt:lpwstr>
      </vt:variant>
      <vt:variant>
        <vt:i4>1179698</vt:i4>
      </vt:variant>
      <vt:variant>
        <vt:i4>536</vt:i4>
      </vt:variant>
      <vt:variant>
        <vt:i4>0</vt:i4>
      </vt:variant>
      <vt:variant>
        <vt:i4>5</vt:i4>
      </vt:variant>
      <vt:variant>
        <vt:lpwstr/>
      </vt:variant>
      <vt:variant>
        <vt:lpwstr>_Toc177054165</vt:lpwstr>
      </vt:variant>
      <vt:variant>
        <vt:i4>1179698</vt:i4>
      </vt:variant>
      <vt:variant>
        <vt:i4>530</vt:i4>
      </vt:variant>
      <vt:variant>
        <vt:i4>0</vt:i4>
      </vt:variant>
      <vt:variant>
        <vt:i4>5</vt:i4>
      </vt:variant>
      <vt:variant>
        <vt:lpwstr/>
      </vt:variant>
      <vt:variant>
        <vt:lpwstr>_Toc177054164</vt:lpwstr>
      </vt:variant>
      <vt:variant>
        <vt:i4>1179698</vt:i4>
      </vt:variant>
      <vt:variant>
        <vt:i4>524</vt:i4>
      </vt:variant>
      <vt:variant>
        <vt:i4>0</vt:i4>
      </vt:variant>
      <vt:variant>
        <vt:i4>5</vt:i4>
      </vt:variant>
      <vt:variant>
        <vt:lpwstr/>
      </vt:variant>
      <vt:variant>
        <vt:lpwstr>_Toc177054163</vt:lpwstr>
      </vt:variant>
      <vt:variant>
        <vt:i4>1179698</vt:i4>
      </vt:variant>
      <vt:variant>
        <vt:i4>518</vt:i4>
      </vt:variant>
      <vt:variant>
        <vt:i4>0</vt:i4>
      </vt:variant>
      <vt:variant>
        <vt:i4>5</vt:i4>
      </vt:variant>
      <vt:variant>
        <vt:lpwstr/>
      </vt:variant>
      <vt:variant>
        <vt:lpwstr>_Toc177054162</vt:lpwstr>
      </vt:variant>
      <vt:variant>
        <vt:i4>1179698</vt:i4>
      </vt:variant>
      <vt:variant>
        <vt:i4>512</vt:i4>
      </vt:variant>
      <vt:variant>
        <vt:i4>0</vt:i4>
      </vt:variant>
      <vt:variant>
        <vt:i4>5</vt:i4>
      </vt:variant>
      <vt:variant>
        <vt:lpwstr/>
      </vt:variant>
      <vt:variant>
        <vt:lpwstr>_Toc177054161</vt:lpwstr>
      </vt:variant>
      <vt:variant>
        <vt:i4>1179698</vt:i4>
      </vt:variant>
      <vt:variant>
        <vt:i4>506</vt:i4>
      </vt:variant>
      <vt:variant>
        <vt:i4>0</vt:i4>
      </vt:variant>
      <vt:variant>
        <vt:i4>5</vt:i4>
      </vt:variant>
      <vt:variant>
        <vt:lpwstr/>
      </vt:variant>
      <vt:variant>
        <vt:lpwstr>_Toc177054160</vt:lpwstr>
      </vt:variant>
      <vt:variant>
        <vt:i4>1114162</vt:i4>
      </vt:variant>
      <vt:variant>
        <vt:i4>500</vt:i4>
      </vt:variant>
      <vt:variant>
        <vt:i4>0</vt:i4>
      </vt:variant>
      <vt:variant>
        <vt:i4>5</vt:i4>
      </vt:variant>
      <vt:variant>
        <vt:lpwstr/>
      </vt:variant>
      <vt:variant>
        <vt:lpwstr>_Toc177054159</vt:lpwstr>
      </vt:variant>
      <vt:variant>
        <vt:i4>1114162</vt:i4>
      </vt:variant>
      <vt:variant>
        <vt:i4>494</vt:i4>
      </vt:variant>
      <vt:variant>
        <vt:i4>0</vt:i4>
      </vt:variant>
      <vt:variant>
        <vt:i4>5</vt:i4>
      </vt:variant>
      <vt:variant>
        <vt:lpwstr/>
      </vt:variant>
      <vt:variant>
        <vt:lpwstr>_Toc177054158</vt:lpwstr>
      </vt:variant>
      <vt:variant>
        <vt:i4>1114162</vt:i4>
      </vt:variant>
      <vt:variant>
        <vt:i4>488</vt:i4>
      </vt:variant>
      <vt:variant>
        <vt:i4>0</vt:i4>
      </vt:variant>
      <vt:variant>
        <vt:i4>5</vt:i4>
      </vt:variant>
      <vt:variant>
        <vt:lpwstr/>
      </vt:variant>
      <vt:variant>
        <vt:lpwstr>_Toc177054157</vt:lpwstr>
      </vt:variant>
      <vt:variant>
        <vt:i4>1114162</vt:i4>
      </vt:variant>
      <vt:variant>
        <vt:i4>482</vt:i4>
      </vt:variant>
      <vt:variant>
        <vt:i4>0</vt:i4>
      </vt:variant>
      <vt:variant>
        <vt:i4>5</vt:i4>
      </vt:variant>
      <vt:variant>
        <vt:lpwstr/>
      </vt:variant>
      <vt:variant>
        <vt:lpwstr>_Toc177054156</vt:lpwstr>
      </vt:variant>
      <vt:variant>
        <vt:i4>1114162</vt:i4>
      </vt:variant>
      <vt:variant>
        <vt:i4>476</vt:i4>
      </vt:variant>
      <vt:variant>
        <vt:i4>0</vt:i4>
      </vt:variant>
      <vt:variant>
        <vt:i4>5</vt:i4>
      </vt:variant>
      <vt:variant>
        <vt:lpwstr/>
      </vt:variant>
      <vt:variant>
        <vt:lpwstr>_Toc177054155</vt:lpwstr>
      </vt:variant>
      <vt:variant>
        <vt:i4>1114162</vt:i4>
      </vt:variant>
      <vt:variant>
        <vt:i4>470</vt:i4>
      </vt:variant>
      <vt:variant>
        <vt:i4>0</vt:i4>
      </vt:variant>
      <vt:variant>
        <vt:i4>5</vt:i4>
      </vt:variant>
      <vt:variant>
        <vt:lpwstr/>
      </vt:variant>
      <vt:variant>
        <vt:lpwstr>_Toc177054154</vt:lpwstr>
      </vt:variant>
      <vt:variant>
        <vt:i4>1114162</vt:i4>
      </vt:variant>
      <vt:variant>
        <vt:i4>464</vt:i4>
      </vt:variant>
      <vt:variant>
        <vt:i4>0</vt:i4>
      </vt:variant>
      <vt:variant>
        <vt:i4>5</vt:i4>
      </vt:variant>
      <vt:variant>
        <vt:lpwstr/>
      </vt:variant>
      <vt:variant>
        <vt:lpwstr>_Toc177054153</vt:lpwstr>
      </vt:variant>
      <vt:variant>
        <vt:i4>1114162</vt:i4>
      </vt:variant>
      <vt:variant>
        <vt:i4>458</vt:i4>
      </vt:variant>
      <vt:variant>
        <vt:i4>0</vt:i4>
      </vt:variant>
      <vt:variant>
        <vt:i4>5</vt:i4>
      </vt:variant>
      <vt:variant>
        <vt:lpwstr/>
      </vt:variant>
      <vt:variant>
        <vt:lpwstr>_Toc177054152</vt:lpwstr>
      </vt:variant>
      <vt:variant>
        <vt:i4>1114162</vt:i4>
      </vt:variant>
      <vt:variant>
        <vt:i4>452</vt:i4>
      </vt:variant>
      <vt:variant>
        <vt:i4>0</vt:i4>
      </vt:variant>
      <vt:variant>
        <vt:i4>5</vt:i4>
      </vt:variant>
      <vt:variant>
        <vt:lpwstr/>
      </vt:variant>
      <vt:variant>
        <vt:lpwstr>_Toc177054151</vt:lpwstr>
      </vt:variant>
      <vt:variant>
        <vt:i4>1114162</vt:i4>
      </vt:variant>
      <vt:variant>
        <vt:i4>446</vt:i4>
      </vt:variant>
      <vt:variant>
        <vt:i4>0</vt:i4>
      </vt:variant>
      <vt:variant>
        <vt:i4>5</vt:i4>
      </vt:variant>
      <vt:variant>
        <vt:lpwstr/>
      </vt:variant>
      <vt:variant>
        <vt:lpwstr>_Toc177054150</vt:lpwstr>
      </vt:variant>
      <vt:variant>
        <vt:i4>1048626</vt:i4>
      </vt:variant>
      <vt:variant>
        <vt:i4>440</vt:i4>
      </vt:variant>
      <vt:variant>
        <vt:i4>0</vt:i4>
      </vt:variant>
      <vt:variant>
        <vt:i4>5</vt:i4>
      </vt:variant>
      <vt:variant>
        <vt:lpwstr/>
      </vt:variant>
      <vt:variant>
        <vt:lpwstr>_Toc177054149</vt:lpwstr>
      </vt:variant>
      <vt:variant>
        <vt:i4>1048626</vt:i4>
      </vt:variant>
      <vt:variant>
        <vt:i4>434</vt:i4>
      </vt:variant>
      <vt:variant>
        <vt:i4>0</vt:i4>
      </vt:variant>
      <vt:variant>
        <vt:i4>5</vt:i4>
      </vt:variant>
      <vt:variant>
        <vt:lpwstr/>
      </vt:variant>
      <vt:variant>
        <vt:lpwstr>_Toc177054148</vt:lpwstr>
      </vt:variant>
      <vt:variant>
        <vt:i4>1048626</vt:i4>
      </vt:variant>
      <vt:variant>
        <vt:i4>428</vt:i4>
      </vt:variant>
      <vt:variant>
        <vt:i4>0</vt:i4>
      </vt:variant>
      <vt:variant>
        <vt:i4>5</vt:i4>
      </vt:variant>
      <vt:variant>
        <vt:lpwstr/>
      </vt:variant>
      <vt:variant>
        <vt:lpwstr>_Toc177054147</vt:lpwstr>
      </vt:variant>
      <vt:variant>
        <vt:i4>1048626</vt:i4>
      </vt:variant>
      <vt:variant>
        <vt:i4>422</vt:i4>
      </vt:variant>
      <vt:variant>
        <vt:i4>0</vt:i4>
      </vt:variant>
      <vt:variant>
        <vt:i4>5</vt:i4>
      </vt:variant>
      <vt:variant>
        <vt:lpwstr/>
      </vt:variant>
      <vt:variant>
        <vt:lpwstr>_Toc177054146</vt:lpwstr>
      </vt:variant>
      <vt:variant>
        <vt:i4>1048626</vt:i4>
      </vt:variant>
      <vt:variant>
        <vt:i4>416</vt:i4>
      </vt:variant>
      <vt:variant>
        <vt:i4>0</vt:i4>
      </vt:variant>
      <vt:variant>
        <vt:i4>5</vt:i4>
      </vt:variant>
      <vt:variant>
        <vt:lpwstr/>
      </vt:variant>
      <vt:variant>
        <vt:lpwstr>_Toc177054145</vt:lpwstr>
      </vt:variant>
      <vt:variant>
        <vt:i4>1048626</vt:i4>
      </vt:variant>
      <vt:variant>
        <vt:i4>410</vt:i4>
      </vt:variant>
      <vt:variant>
        <vt:i4>0</vt:i4>
      </vt:variant>
      <vt:variant>
        <vt:i4>5</vt:i4>
      </vt:variant>
      <vt:variant>
        <vt:lpwstr/>
      </vt:variant>
      <vt:variant>
        <vt:lpwstr>_Toc177054144</vt:lpwstr>
      </vt:variant>
      <vt:variant>
        <vt:i4>1048626</vt:i4>
      </vt:variant>
      <vt:variant>
        <vt:i4>404</vt:i4>
      </vt:variant>
      <vt:variant>
        <vt:i4>0</vt:i4>
      </vt:variant>
      <vt:variant>
        <vt:i4>5</vt:i4>
      </vt:variant>
      <vt:variant>
        <vt:lpwstr/>
      </vt:variant>
      <vt:variant>
        <vt:lpwstr>_Toc177054143</vt:lpwstr>
      </vt:variant>
      <vt:variant>
        <vt:i4>1048626</vt:i4>
      </vt:variant>
      <vt:variant>
        <vt:i4>398</vt:i4>
      </vt:variant>
      <vt:variant>
        <vt:i4>0</vt:i4>
      </vt:variant>
      <vt:variant>
        <vt:i4>5</vt:i4>
      </vt:variant>
      <vt:variant>
        <vt:lpwstr/>
      </vt:variant>
      <vt:variant>
        <vt:lpwstr>_Toc177054142</vt:lpwstr>
      </vt:variant>
      <vt:variant>
        <vt:i4>1048626</vt:i4>
      </vt:variant>
      <vt:variant>
        <vt:i4>392</vt:i4>
      </vt:variant>
      <vt:variant>
        <vt:i4>0</vt:i4>
      </vt:variant>
      <vt:variant>
        <vt:i4>5</vt:i4>
      </vt:variant>
      <vt:variant>
        <vt:lpwstr/>
      </vt:variant>
      <vt:variant>
        <vt:lpwstr>_Toc177054141</vt:lpwstr>
      </vt:variant>
      <vt:variant>
        <vt:i4>1048626</vt:i4>
      </vt:variant>
      <vt:variant>
        <vt:i4>386</vt:i4>
      </vt:variant>
      <vt:variant>
        <vt:i4>0</vt:i4>
      </vt:variant>
      <vt:variant>
        <vt:i4>5</vt:i4>
      </vt:variant>
      <vt:variant>
        <vt:lpwstr/>
      </vt:variant>
      <vt:variant>
        <vt:lpwstr>_Toc177054140</vt:lpwstr>
      </vt:variant>
      <vt:variant>
        <vt:i4>1507378</vt:i4>
      </vt:variant>
      <vt:variant>
        <vt:i4>380</vt:i4>
      </vt:variant>
      <vt:variant>
        <vt:i4>0</vt:i4>
      </vt:variant>
      <vt:variant>
        <vt:i4>5</vt:i4>
      </vt:variant>
      <vt:variant>
        <vt:lpwstr/>
      </vt:variant>
      <vt:variant>
        <vt:lpwstr>_Toc177054139</vt:lpwstr>
      </vt:variant>
      <vt:variant>
        <vt:i4>1507378</vt:i4>
      </vt:variant>
      <vt:variant>
        <vt:i4>374</vt:i4>
      </vt:variant>
      <vt:variant>
        <vt:i4>0</vt:i4>
      </vt:variant>
      <vt:variant>
        <vt:i4>5</vt:i4>
      </vt:variant>
      <vt:variant>
        <vt:lpwstr/>
      </vt:variant>
      <vt:variant>
        <vt:lpwstr>_Toc177054138</vt:lpwstr>
      </vt:variant>
      <vt:variant>
        <vt:i4>1507378</vt:i4>
      </vt:variant>
      <vt:variant>
        <vt:i4>368</vt:i4>
      </vt:variant>
      <vt:variant>
        <vt:i4>0</vt:i4>
      </vt:variant>
      <vt:variant>
        <vt:i4>5</vt:i4>
      </vt:variant>
      <vt:variant>
        <vt:lpwstr/>
      </vt:variant>
      <vt:variant>
        <vt:lpwstr>_Toc177054137</vt:lpwstr>
      </vt:variant>
      <vt:variant>
        <vt:i4>1507378</vt:i4>
      </vt:variant>
      <vt:variant>
        <vt:i4>362</vt:i4>
      </vt:variant>
      <vt:variant>
        <vt:i4>0</vt:i4>
      </vt:variant>
      <vt:variant>
        <vt:i4>5</vt:i4>
      </vt:variant>
      <vt:variant>
        <vt:lpwstr/>
      </vt:variant>
      <vt:variant>
        <vt:lpwstr>_Toc177054136</vt:lpwstr>
      </vt:variant>
      <vt:variant>
        <vt:i4>1507378</vt:i4>
      </vt:variant>
      <vt:variant>
        <vt:i4>356</vt:i4>
      </vt:variant>
      <vt:variant>
        <vt:i4>0</vt:i4>
      </vt:variant>
      <vt:variant>
        <vt:i4>5</vt:i4>
      </vt:variant>
      <vt:variant>
        <vt:lpwstr/>
      </vt:variant>
      <vt:variant>
        <vt:lpwstr>_Toc177054135</vt:lpwstr>
      </vt:variant>
      <vt:variant>
        <vt:i4>1507378</vt:i4>
      </vt:variant>
      <vt:variant>
        <vt:i4>350</vt:i4>
      </vt:variant>
      <vt:variant>
        <vt:i4>0</vt:i4>
      </vt:variant>
      <vt:variant>
        <vt:i4>5</vt:i4>
      </vt:variant>
      <vt:variant>
        <vt:lpwstr/>
      </vt:variant>
      <vt:variant>
        <vt:lpwstr>_Toc177054134</vt:lpwstr>
      </vt:variant>
      <vt:variant>
        <vt:i4>1507378</vt:i4>
      </vt:variant>
      <vt:variant>
        <vt:i4>344</vt:i4>
      </vt:variant>
      <vt:variant>
        <vt:i4>0</vt:i4>
      </vt:variant>
      <vt:variant>
        <vt:i4>5</vt:i4>
      </vt:variant>
      <vt:variant>
        <vt:lpwstr/>
      </vt:variant>
      <vt:variant>
        <vt:lpwstr>_Toc177054133</vt:lpwstr>
      </vt:variant>
      <vt:variant>
        <vt:i4>1507378</vt:i4>
      </vt:variant>
      <vt:variant>
        <vt:i4>338</vt:i4>
      </vt:variant>
      <vt:variant>
        <vt:i4>0</vt:i4>
      </vt:variant>
      <vt:variant>
        <vt:i4>5</vt:i4>
      </vt:variant>
      <vt:variant>
        <vt:lpwstr/>
      </vt:variant>
      <vt:variant>
        <vt:lpwstr>_Toc177054132</vt:lpwstr>
      </vt:variant>
      <vt:variant>
        <vt:i4>1507378</vt:i4>
      </vt:variant>
      <vt:variant>
        <vt:i4>332</vt:i4>
      </vt:variant>
      <vt:variant>
        <vt:i4>0</vt:i4>
      </vt:variant>
      <vt:variant>
        <vt:i4>5</vt:i4>
      </vt:variant>
      <vt:variant>
        <vt:lpwstr/>
      </vt:variant>
      <vt:variant>
        <vt:lpwstr>_Toc177054131</vt:lpwstr>
      </vt:variant>
      <vt:variant>
        <vt:i4>1507378</vt:i4>
      </vt:variant>
      <vt:variant>
        <vt:i4>326</vt:i4>
      </vt:variant>
      <vt:variant>
        <vt:i4>0</vt:i4>
      </vt:variant>
      <vt:variant>
        <vt:i4>5</vt:i4>
      </vt:variant>
      <vt:variant>
        <vt:lpwstr/>
      </vt:variant>
      <vt:variant>
        <vt:lpwstr>_Toc177054130</vt:lpwstr>
      </vt:variant>
      <vt:variant>
        <vt:i4>1441842</vt:i4>
      </vt:variant>
      <vt:variant>
        <vt:i4>320</vt:i4>
      </vt:variant>
      <vt:variant>
        <vt:i4>0</vt:i4>
      </vt:variant>
      <vt:variant>
        <vt:i4>5</vt:i4>
      </vt:variant>
      <vt:variant>
        <vt:lpwstr/>
      </vt:variant>
      <vt:variant>
        <vt:lpwstr>_Toc177054129</vt:lpwstr>
      </vt:variant>
      <vt:variant>
        <vt:i4>1441842</vt:i4>
      </vt:variant>
      <vt:variant>
        <vt:i4>314</vt:i4>
      </vt:variant>
      <vt:variant>
        <vt:i4>0</vt:i4>
      </vt:variant>
      <vt:variant>
        <vt:i4>5</vt:i4>
      </vt:variant>
      <vt:variant>
        <vt:lpwstr/>
      </vt:variant>
      <vt:variant>
        <vt:lpwstr>_Toc177054128</vt:lpwstr>
      </vt:variant>
      <vt:variant>
        <vt:i4>1441842</vt:i4>
      </vt:variant>
      <vt:variant>
        <vt:i4>308</vt:i4>
      </vt:variant>
      <vt:variant>
        <vt:i4>0</vt:i4>
      </vt:variant>
      <vt:variant>
        <vt:i4>5</vt:i4>
      </vt:variant>
      <vt:variant>
        <vt:lpwstr/>
      </vt:variant>
      <vt:variant>
        <vt:lpwstr>_Toc177054127</vt:lpwstr>
      </vt:variant>
      <vt:variant>
        <vt:i4>1441842</vt:i4>
      </vt:variant>
      <vt:variant>
        <vt:i4>302</vt:i4>
      </vt:variant>
      <vt:variant>
        <vt:i4>0</vt:i4>
      </vt:variant>
      <vt:variant>
        <vt:i4>5</vt:i4>
      </vt:variant>
      <vt:variant>
        <vt:lpwstr/>
      </vt:variant>
      <vt:variant>
        <vt:lpwstr>_Toc177054126</vt:lpwstr>
      </vt:variant>
      <vt:variant>
        <vt:i4>1441842</vt:i4>
      </vt:variant>
      <vt:variant>
        <vt:i4>296</vt:i4>
      </vt:variant>
      <vt:variant>
        <vt:i4>0</vt:i4>
      </vt:variant>
      <vt:variant>
        <vt:i4>5</vt:i4>
      </vt:variant>
      <vt:variant>
        <vt:lpwstr/>
      </vt:variant>
      <vt:variant>
        <vt:lpwstr>_Toc177054125</vt:lpwstr>
      </vt:variant>
      <vt:variant>
        <vt:i4>1441842</vt:i4>
      </vt:variant>
      <vt:variant>
        <vt:i4>290</vt:i4>
      </vt:variant>
      <vt:variant>
        <vt:i4>0</vt:i4>
      </vt:variant>
      <vt:variant>
        <vt:i4>5</vt:i4>
      </vt:variant>
      <vt:variant>
        <vt:lpwstr/>
      </vt:variant>
      <vt:variant>
        <vt:lpwstr>_Toc177054124</vt:lpwstr>
      </vt:variant>
      <vt:variant>
        <vt:i4>1441842</vt:i4>
      </vt:variant>
      <vt:variant>
        <vt:i4>284</vt:i4>
      </vt:variant>
      <vt:variant>
        <vt:i4>0</vt:i4>
      </vt:variant>
      <vt:variant>
        <vt:i4>5</vt:i4>
      </vt:variant>
      <vt:variant>
        <vt:lpwstr/>
      </vt:variant>
      <vt:variant>
        <vt:lpwstr>_Toc177054123</vt:lpwstr>
      </vt:variant>
      <vt:variant>
        <vt:i4>1441842</vt:i4>
      </vt:variant>
      <vt:variant>
        <vt:i4>278</vt:i4>
      </vt:variant>
      <vt:variant>
        <vt:i4>0</vt:i4>
      </vt:variant>
      <vt:variant>
        <vt:i4>5</vt:i4>
      </vt:variant>
      <vt:variant>
        <vt:lpwstr/>
      </vt:variant>
      <vt:variant>
        <vt:lpwstr>_Toc177054122</vt:lpwstr>
      </vt:variant>
      <vt:variant>
        <vt:i4>1441842</vt:i4>
      </vt:variant>
      <vt:variant>
        <vt:i4>272</vt:i4>
      </vt:variant>
      <vt:variant>
        <vt:i4>0</vt:i4>
      </vt:variant>
      <vt:variant>
        <vt:i4>5</vt:i4>
      </vt:variant>
      <vt:variant>
        <vt:lpwstr/>
      </vt:variant>
      <vt:variant>
        <vt:lpwstr>_Toc177054121</vt:lpwstr>
      </vt:variant>
      <vt:variant>
        <vt:i4>1441842</vt:i4>
      </vt:variant>
      <vt:variant>
        <vt:i4>266</vt:i4>
      </vt:variant>
      <vt:variant>
        <vt:i4>0</vt:i4>
      </vt:variant>
      <vt:variant>
        <vt:i4>5</vt:i4>
      </vt:variant>
      <vt:variant>
        <vt:lpwstr/>
      </vt:variant>
      <vt:variant>
        <vt:lpwstr>_Toc177054120</vt:lpwstr>
      </vt:variant>
      <vt:variant>
        <vt:i4>1376306</vt:i4>
      </vt:variant>
      <vt:variant>
        <vt:i4>260</vt:i4>
      </vt:variant>
      <vt:variant>
        <vt:i4>0</vt:i4>
      </vt:variant>
      <vt:variant>
        <vt:i4>5</vt:i4>
      </vt:variant>
      <vt:variant>
        <vt:lpwstr/>
      </vt:variant>
      <vt:variant>
        <vt:lpwstr>_Toc177054119</vt:lpwstr>
      </vt:variant>
      <vt:variant>
        <vt:i4>1376306</vt:i4>
      </vt:variant>
      <vt:variant>
        <vt:i4>254</vt:i4>
      </vt:variant>
      <vt:variant>
        <vt:i4>0</vt:i4>
      </vt:variant>
      <vt:variant>
        <vt:i4>5</vt:i4>
      </vt:variant>
      <vt:variant>
        <vt:lpwstr/>
      </vt:variant>
      <vt:variant>
        <vt:lpwstr>_Toc177054118</vt:lpwstr>
      </vt:variant>
      <vt:variant>
        <vt:i4>1376306</vt:i4>
      </vt:variant>
      <vt:variant>
        <vt:i4>248</vt:i4>
      </vt:variant>
      <vt:variant>
        <vt:i4>0</vt:i4>
      </vt:variant>
      <vt:variant>
        <vt:i4>5</vt:i4>
      </vt:variant>
      <vt:variant>
        <vt:lpwstr/>
      </vt:variant>
      <vt:variant>
        <vt:lpwstr>_Toc177054117</vt:lpwstr>
      </vt:variant>
      <vt:variant>
        <vt:i4>1376306</vt:i4>
      </vt:variant>
      <vt:variant>
        <vt:i4>242</vt:i4>
      </vt:variant>
      <vt:variant>
        <vt:i4>0</vt:i4>
      </vt:variant>
      <vt:variant>
        <vt:i4>5</vt:i4>
      </vt:variant>
      <vt:variant>
        <vt:lpwstr/>
      </vt:variant>
      <vt:variant>
        <vt:lpwstr>_Toc177054116</vt:lpwstr>
      </vt:variant>
      <vt:variant>
        <vt:i4>1376306</vt:i4>
      </vt:variant>
      <vt:variant>
        <vt:i4>236</vt:i4>
      </vt:variant>
      <vt:variant>
        <vt:i4>0</vt:i4>
      </vt:variant>
      <vt:variant>
        <vt:i4>5</vt:i4>
      </vt:variant>
      <vt:variant>
        <vt:lpwstr/>
      </vt:variant>
      <vt:variant>
        <vt:lpwstr>_Toc177054115</vt:lpwstr>
      </vt:variant>
      <vt:variant>
        <vt:i4>1376306</vt:i4>
      </vt:variant>
      <vt:variant>
        <vt:i4>230</vt:i4>
      </vt:variant>
      <vt:variant>
        <vt:i4>0</vt:i4>
      </vt:variant>
      <vt:variant>
        <vt:i4>5</vt:i4>
      </vt:variant>
      <vt:variant>
        <vt:lpwstr/>
      </vt:variant>
      <vt:variant>
        <vt:lpwstr>_Toc177054114</vt:lpwstr>
      </vt:variant>
      <vt:variant>
        <vt:i4>1376306</vt:i4>
      </vt:variant>
      <vt:variant>
        <vt:i4>224</vt:i4>
      </vt:variant>
      <vt:variant>
        <vt:i4>0</vt:i4>
      </vt:variant>
      <vt:variant>
        <vt:i4>5</vt:i4>
      </vt:variant>
      <vt:variant>
        <vt:lpwstr/>
      </vt:variant>
      <vt:variant>
        <vt:lpwstr>_Toc177054113</vt:lpwstr>
      </vt:variant>
      <vt:variant>
        <vt:i4>1376306</vt:i4>
      </vt:variant>
      <vt:variant>
        <vt:i4>218</vt:i4>
      </vt:variant>
      <vt:variant>
        <vt:i4>0</vt:i4>
      </vt:variant>
      <vt:variant>
        <vt:i4>5</vt:i4>
      </vt:variant>
      <vt:variant>
        <vt:lpwstr/>
      </vt:variant>
      <vt:variant>
        <vt:lpwstr>_Toc177054112</vt:lpwstr>
      </vt:variant>
      <vt:variant>
        <vt:i4>1376306</vt:i4>
      </vt:variant>
      <vt:variant>
        <vt:i4>212</vt:i4>
      </vt:variant>
      <vt:variant>
        <vt:i4>0</vt:i4>
      </vt:variant>
      <vt:variant>
        <vt:i4>5</vt:i4>
      </vt:variant>
      <vt:variant>
        <vt:lpwstr/>
      </vt:variant>
      <vt:variant>
        <vt:lpwstr>_Toc177054111</vt:lpwstr>
      </vt:variant>
      <vt:variant>
        <vt:i4>1376306</vt:i4>
      </vt:variant>
      <vt:variant>
        <vt:i4>206</vt:i4>
      </vt:variant>
      <vt:variant>
        <vt:i4>0</vt:i4>
      </vt:variant>
      <vt:variant>
        <vt:i4>5</vt:i4>
      </vt:variant>
      <vt:variant>
        <vt:lpwstr/>
      </vt:variant>
      <vt:variant>
        <vt:lpwstr>_Toc177054110</vt:lpwstr>
      </vt:variant>
      <vt:variant>
        <vt:i4>1310770</vt:i4>
      </vt:variant>
      <vt:variant>
        <vt:i4>200</vt:i4>
      </vt:variant>
      <vt:variant>
        <vt:i4>0</vt:i4>
      </vt:variant>
      <vt:variant>
        <vt:i4>5</vt:i4>
      </vt:variant>
      <vt:variant>
        <vt:lpwstr/>
      </vt:variant>
      <vt:variant>
        <vt:lpwstr>_Toc177054109</vt:lpwstr>
      </vt:variant>
      <vt:variant>
        <vt:i4>1310770</vt:i4>
      </vt:variant>
      <vt:variant>
        <vt:i4>194</vt:i4>
      </vt:variant>
      <vt:variant>
        <vt:i4>0</vt:i4>
      </vt:variant>
      <vt:variant>
        <vt:i4>5</vt:i4>
      </vt:variant>
      <vt:variant>
        <vt:lpwstr/>
      </vt:variant>
      <vt:variant>
        <vt:lpwstr>_Toc177054108</vt:lpwstr>
      </vt:variant>
      <vt:variant>
        <vt:i4>1310770</vt:i4>
      </vt:variant>
      <vt:variant>
        <vt:i4>188</vt:i4>
      </vt:variant>
      <vt:variant>
        <vt:i4>0</vt:i4>
      </vt:variant>
      <vt:variant>
        <vt:i4>5</vt:i4>
      </vt:variant>
      <vt:variant>
        <vt:lpwstr/>
      </vt:variant>
      <vt:variant>
        <vt:lpwstr>_Toc177054107</vt:lpwstr>
      </vt:variant>
      <vt:variant>
        <vt:i4>1310770</vt:i4>
      </vt:variant>
      <vt:variant>
        <vt:i4>182</vt:i4>
      </vt:variant>
      <vt:variant>
        <vt:i4>0</vt:i4>
      </vt:variant>
      <vt:variant>
        <vt:i4>5</vt:i4>
      </vt:variant>
      <vt:variant>
        <vt:lpwstr/>
      </vt:variant>
      <vt:variant>
        <vt:lpwstr>_Toc177054106</vt:lpwstr>
      </vt:variant>
      <vt:variant>
        <vt:i4>1310770</vt:i4>
      </vt:variant>
      <vt:variant>
        <vt:i4>176</vt:i4>
      </vt:variant>
      <vt:variant>
        <vt:i4>0</vt:i4>
      </vt:variant>
      <vt:variant>
        <vt:i4>5</vt:i4>
      </vt:variant>
      <vt:variant>
        <vt:lpwstr/>
      </vt:variant>
      <vt:variant>
        <vt:lpwstr>_Toc177054105</vt:lpwstr>
      </vt:variant>
      <vt:variant>
        <vt:i4>1310770</vt:i4>
      </vt:variant>
      <vt:variant>
        <vt:i4>170</vt:i4>
      </vt:variant>
      <vt:variant>
        <vt:i4>0</vt:i4>
      </vt:variant>
      <vt:variant>
        <vt:i4>5</vt:i4>
      </vt:variant>
      <vt:variant>
        <vt:lpwstr/>
      </vt:variant>
      <vt:variant>
        <vt:lpwstr>_Toc177054104</vt:lpwstr>
      </vt:variant>
      <vt:variant>
        <vt:i4>1310770</vt:i4>
      </vt:variant>
      <vt:variant>
        <vt:i4>164</vt:i4>
      </vt:variant>
      <vt:variant>
        <vt:i4>0</vt:i4>
      </vt:variant>
      <vt:variant>
        <vt:i4>5</vt:i4>
      </vt:variant>
      <vt:variant>
        <vt:lpwstr/>
      </vt:variant>
      <vt:variant>
        <vt:lpwstr>_Toc177054103</vt:lpwstr>
      </vt:variant>
      <vt:variant>
        <vt:i4>1310770</vt:i4>
      </vt:variant>
      <vt:variant>
        <vt:i4>158</vt:i4>
      </vt:variant>
      <vt:variant>
        <vt:i4>0</vt:i4>
      </vt:variant>
      <vt:variant>
        <vt:i4>5</vt:i4>
      </vt:variant>
      <vt:variant>
        <vt:lpwstr/>
      </vt:variant>
      <vt:variant>
        <vt:lpwstr>_Toc177054102</vt:lpwstr>
      </vt:variant>
      <vt:variant>
        <vt:i4>1310770</vt:i4>
      </vt:variant>
      <vt:variant>
        <vt:i4>152</vt:i4>
      </vt:variant>
      <vt:variant>
        <vt:i4>0</vt:i4>
      </vt:variant>
      <vt:variant>
        <vt:i4>5</vt:i4>
      </vt:variant>
      <vt:variant>
        <vt:lpwstr/>
      </vt:variant>
      <vt:variant>
        <vt:lpwstr>_Toc177054101</vt:lpwstr>
      </vt:variant>
      <vt:variant>
        <vt:i4>1310770</vt:i4>
      </vt:variant>
      <vt:variant>
        <vt:i4>146</vt:i4>
      </vt:variant>
      <vt:variant>
        <vt:i4>0</vt:i4>
      </vt:variant>
      <vt:variant>
        <vt:i4>5</vt:i4>
      </vt:variant>
      <vt:variant>
        <vt:lpwstr/>
      </vt:variant>
      <vt:variant>
        <vt:lpwstr>_Toc177054100</vt:lpwstr>
      </vt:variant>
      <vt:variant>
        <vt:i4>1900595</vt:i4>
      </vt:variant>
      <vt:variant>
        <vt:i4>140</vt:i4>
      </vt:variant>
      <vt:variant>
        <vt:i4>0</vt:i4>
      </vt:variant>
      <vt:variant>
        <vt:i4>5</vt:i4>
      </vt:variant>
      <vt:variant>
        <vt:lpwstr/>
      </vt:variant>
      <vt:variant>
        <vt:lpwstr>_Toc177054099</vt:lpwstr>
      </vt:variant>
      <vt:variant>
        <vt:i4>1900595</vt:i4>
      </vt:variant>
      <vt:variant>
        <vt:i4>134</vt:i4>
      </vt:variant>
      <vt:variant>
        <vt:i4>0</vt:i4>
      </vt:variant>
      <vt:variant>
        <vt:i4>5</vt:i4>
      </vt:variant>
      <vt:variant>
        <vt:lpwstr/>
      </vt:variant>
      <vt:variant>
        <vt:lpwstr>_Toc177054098</vt:lpwstr>
      </vt:variant>
      <vt:variant>
        <vt:i4>1900595</vt:i4>
      </vt:variant>
      <vt:variant>
        <vt:i4>128</vt:i4>
      </vt:variant>
      <vt:variant>
        <vt:i4>0</vt:i4>
      </vt:variant>
      <vt:variant>
        <vt:i4>5</vt:i4>
      </vt:variant>
      <vt:variant>
        <vt:lpwstr/>
      </vt:variant>
      <vt:variant>
        <vt:lpwstr>_Toc177054097</vt:lpwstr>
      </vt:variant>
      <vt:variant>
        <vt:i4>1900595</vt:i4>
      </vt:variant>
      <vt:variant>
        <vt:i4>122</vt:i4>
      </vt:variant>
      <vt:variant>
        <vt:i4>0</vt:i4>
      </vt:variant>
      <vt:variant>
        <vt:i4>5</vt:i4>
      </vt:variant>
      <vt:variant>
        <vt:lpwstr/>
      </vt:variant>
      <vt:variant>
        <vt:lpwstr>_Toc177054096</vt:lpwstr>
      </vt:variant>
      <vt:variant>
        <vt:i4>1900595</vt:i4>
      </vt:variant>
      <vt:variant>
        <vt:i4>116</vt:i4>
      </vt:variant>
      <vt:variant>
        <vt:i4>0</vt:i4>
      </vt:variant>
      <vt:variant>
        <vt:i4>5</vt:i4>
      </vt:variant>
      <vt:variant>
        <vt:lpwstr/>
      </vt:variant>
      <vt:variant>
        <vt:lpwstr>_Toc177054095</vt:lpwstr>
      </vt:variant>
      <vt:variant>
        <vt:i4>1900595</vt:i4>
      </vt:variant>
      <vt:variant>
        <vt:i4>110</vt:i4>
      </vt:variant>
      <vt:variant>
        <vt:i4>0</vt:i4>
      </vt:variant>
      <vt:variant>
        <vt:i4>5</vt:i4>
      </vt:variant>
      <vt:variant>
        <vt:lpwstr/>
      </vt:variant>
      <vt:variant>
        <vt:lpwstr>_Toc177054094</vt:lpwstr>
      </vt:variant>
      <vt:variant>
        <vt:i4>1900595</vt:i4>
      </vt:variant>
      <vt:variant>
        <vt:i4>104</vt:i4>
      </vt:variant>
      <vt:variant>
        <vt:i4>0</vt:i4>
      </vt:variant>
      <vt:variant>
        <vt:i4>5</vt:i4>
      </vt:variant>
      <vt:variant>
        <vt:lpwstr/>
      </vt:variant>
      <vt:variant>
        <vt:lpwstr>_Toc177054093</vt:lpwstr>
      </vt:variant>
      <vt:variant>
        <vt:i4>1900595</vt:i4>
      </vt:variant>
      <vt:variant>
        <vt:i4>98</vt:i4>
      </vt:variant>
      <vt:variant>
        <vt:i4>0</vt:i4>
      </vt:variant>
      <vt:variant>
        <vt:i4>5</vt:i4>
      </vt:variant>
      <vt:variant>
        <vt:lpwstr/>
      </vt:variant>
      <vt:variant>
        <vt:lpwstr>_Toc177054092</vt:lpwstr>
      </vt:variant>
      <vt:variant>
        <vt:i4>1900595</vt:i4>
      </vt:variant>
      <vt:variant>
        <vt:i4>92</vt:i4>
      </vt:variant>
      <vt:variant>
        <vt:i4>0</vt:i4>
      </vt:variant>
      <vt:variant>
        <vt:i4>5</vt:i4>
      </vt:variant>
      <vt:variant>
        <vt:lpwstr/>
      </vt:variant>
      <vt:variant>
        <vt:lpwstr>_Toc177054091</vt:lpwstr>
      </vt:variant>
      <vt:variant>
        <vt:i4>1900595</vt:i4>
      </vt:variant>
      <vt:variant>
        <vt:i4>86</vt:i4>
      </vt:variant>
      <vt:variant>
        <vt:i4>0</vt:i4>
      </vt:variant>
      <vt:variant>
        <vt:i4>5</vt:i4>
      </vt:variant>
      <vt:variant>
        <vt:lpwstr/>
      </vt:variant>
      <vt:variant>
        <vt:lpwstr>_Toc177054090</vt:lpwstr>
      </vt:variant>
      <vt:variant>
        <vt:i4>1835059</vt:i4>
      </vt:variant>
      <vt:variant>
        <vt:i4>80</vt:i4>
      </vt:variant>
      <vt:variant>
        <vt:i4>0</vt:i4>
      </vt:variant>
      <vt:variant>
        <vt:i4>5</vt:i4>
      </vt:variant>
      <vt:variant>
        <vt:lpwstr/>
      </vt:variant>
      <vt:variant>
        <vt:lpwstr>_Toc177054089</vt:lpwstr>
      </vt:variant>
      <vt:variant>
        <vt:i4>1835059</vt:i4>
      </vt:variant>
      <vt:variant>
        <vt:i4>74</vt:i4>
      </vt:variant>
      <vt:variant>
        <vt:i4>0</vt:i4>
      </vt:variant>
      <vt:variant>
        <vt:i4>5</vt:i4>
      </vt:variant>
      <vt:variant>
        <vt:lpwstr/>
      </vt:variant>
      <vt:variant>
        <vt:lpwstr>_Toc177054088</vt:lpwstr>
      </vt:variant>
      <vt:variant>
        <vt:i4>1835059</vt:i4>
      </vt:variant>
      <vt:variant>
        <vt:i4>68</vt:i4>
      </vt:variant>
      <vt:variant>
        <vt:i4>0</vt:i4>
      </vt:variant>
      <vt:variant>
        <vt:i4>5</vt:i4>
      </vt:variant>
      <vt:variant>
        <vt:lpwstr/>
      </vt:variant>
      <vt:variant>
        <vt:lpwstr>_Toc177054087</vt:lpwstr>
      </vt:variant>
      <vt:variant>
        <vt:i4>1835059</vt:i4>
      </vt:variant>
      <vt:variant>
        <vt:i4>62</vt:i4>
      </vt:variant>
      <vt:variant>
        <vt:i4>0</vt:i4>
      </vt:variant>
      <vt:variant>
        <vt:i4>5</vt:i4>
      </vt:variant>
      <vt:variant>
        <vt:lpwstr/>
      </vt:variant>
      <vt:variant>
        <vt:lpwstr>_Toc177054086</vt:lpwstr>
      </vt:variant>
      <vt:variant>
        <vt:i4>1835059</vt:i4>
      </vt:variant>
      <vt:variant>
        <vt:i4>56</vt:i4>
      </vt:variant>
      <vt:variant>
        <vt:i4>0</vt:i4>
      </vt:variant>
      <vt:variant>
        <vt:i4>5</vt:i4>
      </vt:variant>
      <vt:variant>
        <vt:lpwstr/>
      </vt:variant>
      <vt:variant>
        <vt:lpwstr>_Toc177054085</vt:lpwstr>
      </vt:variant>
      <vt:variant>
        <vt:i4>1835059</vt:i4>
      </vt:variant>
      <vt:variant>
        <vt:i4>50</vt:i4>
      </vt:variant>
      <vt:variant>
        <vt:i4>0</vt:i4>
      </vt:variant>
      <vt:variant>
        <vt:i4>5</vt:i4>
      </vt:variant>
      <vt:variant>
        <vt:lpwstr/>
      </vt:variant>
      <vt:variant>
        <vt:lpwstr>_Toc177054084</vt:lpwstr>
      </vt:variant>
      <vt:variant>
        <vt:i4>1835059</vt:i4>
      </vt:variant>
      <vt:variant>
        <vt:i4>44</vt:i4>
      </vt:variant>
      <vt:variant>
        <vt:i4>0</vt:i4>
      </vt:variant>
      <vt:variant>
        <vt:i4>5</vt:i4>
      </vt:variant>
      <vt:variant>
        <vt:lpwstr/>
      </vt:variant>
      <vt:variant>
        <vt:lpwstr>_Toc177054083</vt:lpwstr>
      </vt:variant>
      <vt:variant>
        <vt:i4>1835059</vt:i4>
      </vt:variant>
      <vt:variant>
        <vt:i4>38</vt:i4>
      </vt:variant>
      <vt:variant>
        <vt:i4>0</vt:i4>
      </vt:variant>
      <vt:variant>
        <vt:i4>5</vt:i4>
      </vt:variant>
      <vt:variant>
        <vt:lpwstr/>
      </vt:variant>
      <vt:variant>
        <vt:lpwstr>_Toc177054082</vt:lpwstr>
      </vt:variant>
      <vt:variant>
        <vt:i4>1835059</vt:i4>
      </vt:variant>
      <vt:variant>
        <vt:i4>32</vt:i4>
      </vt:variant>
      <vt:variant>
        <vt:i4>0</vt:i4>
      </vt:variant>
      <vt:variant>
        <vt:i4>5</vt:i4>
      </vt:variant>
      <vt:variant>
        <vt:lpwstr/>
      </vt:variant>
      <vt:variant>
        <vt:lpwstr>_Toc177054081</vt:lpwstr>
      </vt:variant>
      <vt:variant>
        <vt:i4>1835059</vt:i4>
      </vt:variant>
      <vt:variant>
        <vt:i4>26</vt:i4>
      </vt:variant>
      <vt:variant>
        <vt:i4>0</vt:i4>
      </vt:variant>
      <vt:variant>
        <vt:i4>5</vt:i4>
      </vt:variant>
      <vt:variant>
        <vt:lpwstr/>
      </vt:variant>
      <vt:variant>
        <vt:lpwstr>_Toc177054080</vt:lpwstr>
      </vt:variant>
      <vt:variant>
        <vt:i4>1245235</vt:i4>
      </vt:variant>
      <vt:variant>
        <vt:i4>20</vt:i4>
      </vt:variant>
      <vt:variant>
        <vt:i4>0</vt:i4>
      </vt:variant>
      <vt:variant>
        <vt:i4>5</vt:i4>
      </vt:variant>
      <vt:variant>
        <vt:lpwstr/>
      </vt:variant>
      <vt:variant>
        <vt:lpwstr>_Toc177054079</vt:lpwstr>
      </vt:variant>
      <vt:variant>
        <vt:i4>1245235</vt:i4>
      </vt:variant>
      <vt:variant>
        <vt:i4>14</vt:i4>
      </vt:variant>
      <vt:variant>
        <vt:i4>0</vt:i4>
      </vt:variant>
      <vt:variant>
        <vt:i4>5</vt:i4>
      </vt:variant>
      <vt:variant>
        <vt:lpwstr/>
      </vt:variant>
      <vt:variant>
        <vt:lpwstr>_Toc177054078</vt:lpwstr>
      </vt:variant>
      <vt:variant>
        <vt:i4>1245235</vt:i4>
      </vt:variant>
      <vt:variant>
        <vt:i4>8</vt:i4>
      </vt:variant>
      <vt:variant>
        <vt:i4>0</vt:i4>
      </vt:variant>
      <vt:variant>
        <vt:i4>5</vt:i4>
      </vt:variant>
      <vt:variant>
        <vt:lpwstr/>
      </vt:variant>
      <vt:variant>
        <vt:lpwstr>_Toc177054077</vt:lpwstr>
      </vt:variant>
      <vt:variant>
        <vt:i4>1245235</vt:i4>
      </vt:variant>
      <vt:variant>
        <vt:i4>2</vt:i4>
      </vt:variant>
      <vt:variant>
        <vt:i4>0</vt:i4>
      </vt:variant>
      <vt:variant>
        <vt:i4>5</vt:i4>
      </vt:variant>
      <vt:variant>
        <vt:lpwstr/>
      </vt:variant>
      <vt:variant>
        <vt:lpwstr>_Toc177054076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GEMEENTE</dc:title>
  <dc:subject/>
  <dc:creator>hivis</dc:creator>
  <cp:keywords/>
  <cp:lastModifiedBy>BIESEMANS Jarne</cp:lastModifiedBy>
  <cp:revision>31</cp:revision>
  <cp:lastPrinted>2024-09-05T10:12:00Z</cp:lastPrinted>
  <dcterms:created xsi:type="dcterms:W3CDTF">2025-11-14T14:06:00Z</dcterms:created>
  <dcterms:modified xsi:type="dcterms:W3CDTF">2025-12-08T09:53:00Z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0x010100DFD2E5676106EB498AE0477A19DB3744</vt:lpwstr>
  </property>
  <property fmtid="{D5CDD505-2E9C-101B-9397-08002B2CF9AE}" pid="3" name="MediaServiceImageTags">
    <vt:lpwstr/>
  </property>
</Properties>
</file>